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0F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line="2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石柱土家族自治县水利工程质量和安全监督站</w:t>
      </w: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年度决算说明</w:t>
      </w:r>
    </w:p>
    <w:p w14:paraId="23B70B04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Style w:val="9"/>
          <w:rFonts w:hint="default" w:asciiTheme="minorEastAsia" w:hAnsiTheme="minorEastAsia" w:eastAsiaTheme="minorEastAsia" w:cstheme="minorEastAsia"/>
          <w:b/>
          <w:sz w:val="32"/>
          <w:szCs w:val="32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Theme="minorEastAsia" w:hAnsiTheme="minorEastAsia" w:eastAsiaTheme="minorEastAsia" w:cstheme="minorEastAsia"/>
          <w:b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hint="eastAsia" w:asciiTheme="minorEastAsia" w:hAnsiTheme="minorEastAsia" w:eastAsiaTheme="minorEastAsia" w:cstheme="minorEastAsia"/>
          <w:b/>
          <w:sz w:val="32"/>
          <w:szCs w:val="32"/>
          <w:shd w:val="clear" w:color="auto" w:fill="FFFFFF"/>
        </w:rPr>
        <w:t>基本情况</w:t>
      </w:r>
    </w:p>
    <w:p w14:paraId="736172C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（一）职能职责</w:t>
      </w:r>
    </w:p>
    <w:p w14:paraId="04DE0D00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1.贯彻执行国家和市级有关水环境监测方面的政策法规、标准和质检管理制度。</w:t>
      </w:r>
    </w:p>
    <w:p w14:paraId="533EBF98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2.承担水质、水环境监测和评价工作。</w:t>
      </w:r>
    </w:p>
    <w:p w14:paraId="424B124F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3.负责拟订水质监测年度计划，编制水质监测报告及年度评价报告。</w:t>
      </w:r>
    </w:p>
    <w:p w14:paraId="2EFD7CCB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4.负责仪器设备的使用、维护、保管和定期检定工作。</w:t>
      </w:r>
    </w:p>
    <w:p w14:paraId="259A25EB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5.负责水质抽样检测及检测技术资料归档、保管工作。</w:t>
      </w:r>
    </w:p>
    <w:p w14:paraId="130253CE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Style w:val="9"/>
          <w:rFonts w:hint="default"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6.承担县水利局领导交办的其他工作。</w:t>
      </w:r>
    </w:p>
    <w:p w14:paraId="361590E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（二）机构设置</w:t>
      </w:r>
    </w:p>
    <w:p w14:paraId="043734A0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ind w:firstLine="560"/>
        <w:jc w:val="left"/>
        <w:textAlignment w:val="auto"/>
        <w:rPr>
          <w:rFonts w:hint="default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本单位无内部机构设置情况。</w:t>
      </w:r>
    </w:p>
    <w:p w14:paraId="30F01BB5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Style w:val="9"/>
          <w:rFonts w:hint="default" w:asciiTheme="minorEastAsia" w:hAnsiTheme="minorEastAsia" w:eastAsiaTheme="minorEastAsia" w:cstheme="minorEastAsia"/>
          <w:b/>
          <w:sz w:val="32"/>
          <w:szCs w:val="32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Theme="minorEastAsia" w:hAnsiTheme="minorEastAsia" w:eastAsiaTheme="minorEastAsia" w:cstheme="minorEastAsia"/>
          <w:b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hint="eastAsia" w:asciiTheme="minorEastAsia" w:hAnsiTheme="minorEastAsia" w:eastAsiaTheme="minorEastAsia" w:cstheme="minorEastAsia"/>
          <w:b/>
          <w:sz w:val="32"/>
          <w:szCs w:val="32"/>
          <w:shd w:val="clear" w:color="auto" w:fill="FFFFFF"/>
        </w:rPr>
        <w:t>决算</w:t>
      </w:r>
      <w:r>
        <w:rPr>
          <w:rStyle w:val="9"/>
          <w:rFonts w:hint="eastAsia" w:asciiTheme="minorEastAsia" w:hAnsiTheme="minorEastAsia" w:eastAsiaTheme="minorEastAsia" w:cstheme="minorEastAsia"/>
          <w:b/>
          <w:sz w:val="32"/>
          <w:szCs w:val="32"/>
          <w:shd w:val="clear" w:color="auto" w:fill="FFFFFF"/>
          <w:lang w:eastAsia="zh-CN"/>
        </w:rPr>
        <w:t>收支</w:t>
      </w:r>
      <w:r>
        <w:rPr>
          <w:rStyle w:val="9"/>
          <w:rFonts w:hint="eastAsia" w:asciiTheme="minorEastAsia" w:hAnsiTheme="minorEastAsia" w:eastAsiaTheme="minorEastAsia" w:cstheme="minorEastAsia"/>
          <w:b/>
          <w:sz w:val="32"/>
          <w:szCs w:val="32"/>
          <w:shd w:val="clear" w:color="auto" w:fill="FFFFFF"/>
        </w:rPr>
        <w:t>情况说明</w:t>
      </w:r>
    </w:p>
    <w:p w14:paraId="2D793E7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（一）收入支出决算总体情况说明</w:t>
      </w:r>
    </w:p>
    <w:p w14:paraId="6951EB76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年度收、支总计均为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114.43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收、支与2023年度相比，增加12.46万元，增长12.2%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人员工资、社保等有所增加。</w:t>
      </w:r>
    </w:p>
    <w:p w14:paraId="5B37E17E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8"/>
          <w:szCs w:val="24"/>
          <w:lang w:val="en-US" w:eastAsia="zh-CN"/>
        </w:rPr>
        <w:t>1.收入情况。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年度收入合计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114.43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与2023年度相比，增加12.46万元，增长12.2%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人员工资、社保等有所增加。其中：财政拨款收入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114.43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100.0%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；事业收入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；经营收入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；其他收入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。此外，使用非财政拨款结余（含专用结余）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万元，年初结转和结余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</w:p>
    <w:p w14:paraId="5C1BF136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8"/>
          <w:szCs w:val="24"/>
          <w:lang w:val="en-US" w:eastAsia="zh-CN"/>
        </w:rPr>
        <w:t>2.支出情况。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年度支出合计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114.43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与2023年度相比，增加12.46万元，增长12.2%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人员工资、社保等有所增加。其中：基本支出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114.43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100.0%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；项目支出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；经营支出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。此外，结余分配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</w:p>
    <w:p w14:paraId="66B54B97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28"/>
          <w:szCs w:val="24"/>
          <w:lang w:val="en-US" w:eastAsia="zh-CN"/>
        </w:rPr>
        <w:t>3.结转结余情况。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年度年末结转和结余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与2023年度相比，无增减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。</w:t>
      </w:r>
    </w:p>
    <w:p w14:paraId="7952F29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（二）财政拨款收入支出决算总体情况说明</w:t>
      </w:r>
    </w:p>
    <w:p w14:paraId="43F1F999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年度财政拨款收、支总计均为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114.43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万元。与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2023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年度相比，</w:t>
      </w:r>
      <w:r>
        <w:rPr>
          <w:rFonts w:hint="default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财政拨款收、支总计各增加12.46万元，增长12.2%</w:t>
      </w:r>
      <w:r>
        <w:rPr>
          <w:rFonts w:hint="eastAsia" w:ascii="宋体" w:hAnsi="宋体" w:cs="Times New Roman"/>
          <w:b w:val="0"/>
          <w:bCs w:val="0"/>
          <w:color w:val="auto"/>
          <w:sz w:val="28"/>
          <w:szCs w:val="24"/>
          <w:lang w:val="en-US" w:eastAsia="zh-CN"/>
        </w:rPr>
        <w:t>。主要原因是人员工资、社保等有所增加。</w:t>
      </w:r>
    </w:p>
    <w:p w14:paraId="4FCB404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（三）一般公共预算财政拨款收入支出决算情况说明</w:t>
      </w:r>
    </w:p>
    <w:p w14:paraId="654466B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b/>
          <w:bCs/>
          <w:color w:val="auto"/>
          <w:sz w:val="28"/>
          <w:szCs w:val="24"/>
          <w:lang w:val="en-US" w:eastAsia="zh-CN"/>
        </w:rPr>
        <w:t>1</w:t>
      </w:r>
      <w:r>
        <w:rPr>
          <w:rFonts w:hint="eastAsia" w:ascii="宋体" w:hAnsi="宋体" w:cs="Times New Roman"/>
          <w:b/>
          <w:bCs/>
          <w:color w:val="auto"/>
          <w:sz w:val="28"/>
          <w:szCs w:val="24"/>
          <w:lang w:val="en-US" w:eastAsia="zh-CN"/>
        </w:rPr>
        <w:t>.收入情况。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年度一般公共预算财政拨款收入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114.43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与2023年度相比，增加12.46万元，增长12.2%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。主要原因是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人员工资、社保等有所增加。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较年初预算数增加14.70万元，增长14.7%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。主要原因是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人员工资、社保等有所增加。此外，年初财政拨款结转和结余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</w:p>
    <w:p w14:paraId="37298690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b/>
          <w:bCs/>
          <w:color w:val="auto"/>
          <w:sz w:val="28"/>
          <w:szCs w:val="24"/>
          <w:lang w:val="en-US" w:eastAsia="zh-CN"/>
        </w:rPr>
        <w:t>2</w:t>
      </w:r>
      <w:r>
        <w:rPr>
          <w:rFonts w:hint="eastAsia" w:ascii="宋体" w:hAnsi="宋体" w:cs="Times New Roman"/>
          <w:b/>
          <w:bCs/>
          <w:color w:val="auto"/>
          <w:sz w:val="28"/>
          <w:szCs w:val="24"/>
          <w:lang w:val="en-US" w:eastAsia="zh-CN"/>
        </w:rPr>
        <w:t>.支出情况。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年度一般公共预算财政拨款支出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114.43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与2023年度相比，增加12.46万元，增长12.2%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。主要原因是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人员工资、社保等有所增加。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较年初预算数增加14.70万元，增长14.7%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。主要原因是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人员工资、社保等有所增加。</w:t>
      </w:r>
    </w:p>
    <w:p w14:paraId="4A05B7CA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一般公共预算财政拨款支出主要用途如下：</w:t>
      </w:r>
    </w:p>
    <w:p w14:paraId="4AEDF77B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（1）社会保障和就业支出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15.30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13.4%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较年初预算数增加4.74万元，增长44.9%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，主要原因是本年度基本养老保险基数有所调整。</w:t>
      </w:r>
    </w:p>
    <w:p w14:paraId="5CEA5DA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（2）卫生健康支出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5.43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4.8%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较年初预算数无增减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</w:t>
      </w:r>
    </w:p>
    <w:p w14:paraId="36D0D9BE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（3）农林水支出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88.42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77.3%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较年初预算数增加9.96万元，增长12.7%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，主要原因是本年度人员经费有所增加。</w:t>
      </w:r>
    </w:p>
    <w:p w14:paraId="2AC9B0DC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（4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）住房保障支出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5.28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万元，占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4.6%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较年初预算数无增减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</w:t>
      </w:r>
    </w:p>
    <w:p w14:paraId="59A46A25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b/>
          <w:bCs/>
          <w:color w:val="auto"/>
          <w:sz w:val="28"/>
          <w:szCs w:val="24"/>
          <w:lang w:val="en-US" w:eastAsia="zh-CN"/>
        </w:rPr>
        <w:t>3</w:t>
      </w:r>
      <w:r>
        <w:rPr>
          <w:rFonts w:hint="eastAsia" w:ascii="宋体" w:hAnsi="宋体" w:cs="Times New Roman"/>
          <w:b/>
          <w:bCs/>
          <w:color w:val="auto"/>
          <w:sz w:val="28"/>
          <w:szCs w:val="24"/>
          <w:lang w:val="en-US" w:eastAsia="zh-CN"/>
        </w:rPr>
        <w:t>.结转结余情况。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年度年末一般公共预算财政拨款结转和结余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与2023年度相比，无增减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。</w:t>
      </w:r>
    </w:p>
    <w:p w14:paraId="46834CA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（四）一般公共预算财政拨款基本支出决算情况说明</w:t>
      </w:r>
    </w:p>
    <w:p w14:paraId="2A7D0653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年度一般公共财政拨款基本支出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114.43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</w:p>
    <w:p w14:paraId="40552607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其中：</w:t>
      </w:r>
    </w:p>
    <w:p w14:paraId="47A7624C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人员经费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100.66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与2023年度相比，增加14.58万元，增长16.9%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，主要原因是人员工资、社保等有所增加。人员经费用途主要包括</w:t>
      </w:r>
      <w:r>
        <w:rPr>
          <w:rStyle w:val="9"/>
          <w:rFonts w:hint="eastAsia" w:ascii="宋体" w:hAnsi="宋体" w:eastAsia="宋体" w:cs="宋体"/>
          <w:b w:val="0"/>
          <w:bCs/>
          <w:sz w:val="28"/>
          <w:szCs w:val="28"/>
          <w:shd w:val="clear" w:color="auto" w:fill="FFFFFF"/>
          <w:lang w:eastAsia="zh-CN"/>
        </w:rPr>
        <w:t>基本工资、津贴补贴、绩效工资、社会保障缴费、住房公积金、医疗费等。</w:t>
      </w:r>
    </w:p>
    <w:p w14:paraId="6A83BC0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公用经费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13.78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与2023年度相比，减少2.12万元，下降13.3%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，主要原因是本年度办公费等有所减少。公用经费用途主要包括办公费、水费、电费、邮电费、物业管理费、差旅费、委托业务费、工会经费等。</w:t>
      </w:r>
    </w:p>
    <w:p w14:paraId="24E8EED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（五）政府性基金预算收支决算情况说明</w:t>
      </w:r>
    </w:p>
    <w:p w14:paraId="729382B1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eastAsia"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本部门202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4</w:t>
      </w:r>
      <w:r>
        <w:rPr>
          <w:rFonts w:hint="eastAsia" w:ascii="宋体" w:hAnsi="宋体" w:cs="Times New Roman"/>
          <w:color w:val="auto"/>
          <w:sz w:val="28"/>
          <w:szCs w:val="24"/>
        </w:rPr>
        <w:t>年度无政府性基金预算财政拨款收支。</w:t>
      </w:r>
    </w:p>
    <w:p w14:paraId="6FECB78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（六）国有资本经营预算财政拨款支出决算情况说明</w:t>
      </w:r>
    </w:p>
    <w:p w14:paraId="1CA85078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cs="Times New Roman"/>
          <w:b w:val="0"/>
          <w:bCs/>
          <w:color w:val="auto"/>
          <w:sz w:val="28"/>
          <w:szCs w:val="24"/>
        </w:rPr>
      </w:pPr>
      <w:r>
        <w:rPr>
          <w:rFonts w:hint="eastAsia" w:ascii="宋体" w:hAnsi="宋体" w:cs="Times New Roman"/>
          <w:b w:val="0"/>
          <w:bCs/>
          <w:color w:val="auto"/>
          <w:sz w:val="28"/>
          <w:szCs w:val="24"/>
        </w:rPr>
        <w:t>本部门202</w:t>
      </w:r>
      <w:r>
        <w:rPr>
          <w:rFonts w:hint="eastAsia" w:cs="Times New Roman"/>
          <w:b w:val="0"/>
          <w:bCs/>
          <w:color w:val="auto"/>
          <w:sz w:val="28"/>
          <w:szCs w:val="24"/>
          <w:lang w:val="en-US" w:eastAsia="zh-CN"/>
        </w:rPr>
        <w:t>4</w:t>
      </w:r>
      <w:r>
        <w:rPr>
          <w:rFonts w:hint="eastAsia" w:ascii="宋体" w:hAnsi="宋体" w:cs="Times New Roman"/>
          <w:b w:val="0"/>
          <w:bCs/>
          <w:color w:val="auto"/>
          <w:sz w:val="28"/>
          <w:szCs w:val="24"/>
        </w:rPr>
        <w:t>年度无国有资本经营预算财政拨款支出。</w:t>
      </w:r>
    </w:p>
    <w:p w14:paraId="562680E0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财政拨款</w:t>
      </w:r>
      <w:r>
        <w:rPr>
          <w:rFonts w:hint="eastAsia" w:ascii="宋体" w:hAnsi="宋体" w:eastAsia="宋体" w:cs="宋体"/>
          <w:sz w:val="32"/>
          <w:szCs w:val="32"/>
        </w:rPr>
        <w:t>“三公”经费情况说明</w:t>
      </w:r>
    </w:p>
    <w:p w14:paraId="5F5103FB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</w:rPr>
      </w:pPr>
    </w:p>
    <w:p w14:paraId="3FF0AEB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（一）“三公”经费支出总体情况说明</w:t>
      </w:r>
    </w:p>
    <w:p w14:paraId="4D0A4382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年度“三公”经费支出共计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0.20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较年初预算数减少0.60万元，下降75.0%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，主要原因是落实政府过“紧日子”要求，严格控制“三公”经费支出。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较上年支出数增加0.13万元，增长185.7%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，主要原因是本年度业务招待费有所增加。</w:t>
      </w:r>
    </w:p>
    <w:p w14:paraId="50EC35D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（二）“三公”经费分项支出情况</w:t>
      </w:r>
    </w:p>
    <w:p w14:paraId="57438E71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年度本单位因公出国（境）费用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2530475E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公务用车购置费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180A25F0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公务用车运行维护费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0.00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较年初预算数减少1.50万元，下降100.0%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</w:t>
      </w:r>
      <w:r>
        <w:rPr>
          <w:rFonts w:hint="eastAsia" w:ascii="宋体" w:hAnsi="宋体" w:eastAsia="宋体" w:cs="Times New Roman"/>
          <w:sz w:val="28"/>
          <w:szCs w:val="28"/>
          <w:lang w:val="en-US" w:eastAsia="zh-CN" w:bidi="ar-SA"/>
        </w:rPr>
        <w:t>本单位为水利局二级单位，所有公车运行维护费已调整至水利局本级核算。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较上年支出数无增减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285F07E5">
      <w:pPr>
        <w:pStyle w:val="6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40" w:lineRule="auto"/>
        <w:ind w:firstLine="560" w:firstLineChars="200"/>
        <w:jc w:val="both"/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公务接待费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0.20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万元，主要用于接待市级部门巡查和区县水利部门交流学习等。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费用支出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较年初预算数减少0.60万元，下降75.0%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Times New Roman"/>
          <w:color w:val="auto"/>
          <w:sz w:val="28"/>
          <w:szCs w:val="24"/>
          <w:lang w:val="en-US" w:eastAsia="zh-CN" w:bidi="ar-SA"/>
        </w:rPr>
        <w:t>较上年支出数增加0.13万元，增长185.7%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，主要原因是本年度接待区县交流学习次数有所增加。</w:t>
      </w:r>
    </w:p>
    <w:p w14:paraId="4D1322C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（三）“三公”经费实物量情况</w:t>
      </w:r>
    </w:p>
    <w:p w14:paraId="42B0B80D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年度本单位因公出国（境）共计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个团组，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人；公务用车购置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辆，公务车保有量为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辆；国内公务接待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7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批次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12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人，其中：国内外事接待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批次，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人；国（境）外公务接待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批次，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人。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2024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年本单位人均接待费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166.67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元，车均购置费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万元，车均维护费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万元。</w:t>
      </w:r>
    </w:p>
    <w:p w14:paraId="47FDA03E">
      <w:pPr>
        <w:pStyle w:val="2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20" w:lineRule="atLeast"/>
        <w:textAlignment w:val="auto"/>
        <w:rPr>
          <w:rStyle w:val="9"/>
          <w:rFonts w:hint="default" w:asciiTheme="minorEastAsia" w:hAnsiTheme="minorEastAsia" w:eastAsiaTheme="minorEastAsia" w:cstheme="minorEastAsia"/>
          <w:b/>
          <w:sz w:val="32"/>
          <w:szCs w:val="32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sz w:val="32"/>
          <w:szCs w:val="32"/>
          <w:shd w:val="clear" w:color="auto" w:fill="FFFFFF"/>
        </w:rPr>
        <w:t>四、其他需要说明的事项</w:t>
      </w:r>
    </w:p>
    <w:p w14:paraId="4E5BB30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（一）财政拨款会议费、培训费和差旅费情况说明</w:t>
      </w:r>
    </w:p>
    <w:p w14:paraId="0F3C0283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N/>
        <w:bidi w:val="0"/>
        <w:adjustRightInd/>
        <w:snapToGrid w:val="0"/>
        <w:spacing w:beforeLines="0" w:afterLines="0" w:line="20" w:lineRule="atLeas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本年度会议费支出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与2023年度相比，无增减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。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本年度培训费支出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0.00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与2023年度相比，无变化</w:t>
      </w:r>
      <w:r>
        <w:rPr>
          <w:rFonts w:hint="eastAsia" w:cs="Times New Roman"/>
          <w:color w:val="auto"/>
          <w:sz w:val="28"/>
          <w:szCs w:val="24"/>
          <w:lang w:val="en-US" w:eastAsia="zh-CN"/>
        </w:rPr>
        <w:t>。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本年度差旅费支出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2.93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万元，</w:t>
      </w:r>
      <w:r>
        <w:rPr>
          <w:rFonts w:hint="default" w:ascii="宋体" w:hAnsi="宋体" w:cs="Times New Roman"/>
          <w:color w:val="auto"/>
          <w:sz w:val="28"/>
          <w:szCs w:val="24"/>
          <w:lang w:val="en-US" w:eastAsia="zh-CN"/>
        </w:rPr>
        <w:t>与2023年度相比，增加2.19万元，增长296.0%</w:t>
      </w:r>
      <w:r>
        <w:rPr>
          <w:rFonts w:hint="eastAsia" w:ascii="宋体" w:hAnsi="宋体" w:cs="Times New Roman"/>
          <w:color w:val="auto"/>
          <w:sz w:val="28"/>
          <w:szCs w:val="24"/>
          <w:lang w:val="en-US" w:eastAsia="zh-CN"/>
        </w:rPr>
        <w:t>，主要原因是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本年度外出会议、学习交流次数有所增加。</w:t>
      </w:r>
    </w:p>
    <w:p w14:paraId="61E2AE8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（二）机关运行经费情况说明</w:t>
      </w:r>
    </w:p>
    <w:p w14:paraId="7DC79100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default" w:ascii="宋体" w:hAnsi="宋体" w:eastAsia="宋体" w:cs="Times New Roman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 w:bidi="ar-SA"/>
        </w:rPr>
        <w:t>按照部门决算列报口径，我单位不在机关运行经费统计范围之内。</w:t>
      </w:r>
    </w:p>
    <w:p w14:paraId="6AE968A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（三）国有资产占用情况说明</w:t>
      </w:r>
    </w:p>
    <w:p w14:paraId="5F2341DC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宋体" w:hAnsi="宋体" w:cs="Times New Roman"/>
          <w:color w:val="auto"/>
          <w:sz w:val="28"/>
          <w:szCs w:val="24"/>
        </w:rPr>
        <w:t>因国有资产纳入县</w:t>
      </w:r>
      <w:r>
        <w:rPr>
          <w:rFonts w:hint="eastAsia" w:ascii="宋体" w:hAnsi="宋体" w:cs="Times New Roman"/>
          <w:color w:val="auto"/>
          <w:sz w:val="28"/>
          <w:szCs w:val="24"/>
          <w:lang w:eastAsia="zh-CN"/>
        </w:rPr>
        <w:t>水利局</w:t>
      </w:r>
      <w:r>
        <w:rPr>
          <w:rFonts w:hint="eastAsia" w:ascii="宋体" w:hAnsi="宋体" w:cs="Times New Roman"/>
          <w:color w:val="auto"/>
          <w:sz w:val="28"/>
          <w:szCs w:val="24"/>
        </w:rPr>
        <w:t>本级统一登记管理，我单位资产未纳入部门决算报表</w:t>
      </w:r>
      <w:r>
        <w:rPr>
          <w:rFonts w:hint="eastAsia" w:ascii="宋体" w:hAnsi="宋体" w:cs="Times New Roman"/>
          <w:color w:val="auto"/>
          <w:sz w:val="28"/>
          <w:szCs w:val="24"/>
          <w:lang w:eastAsia="zh-CN"/>
        </w:rPr>
        <w:t>。</w:t>
      </w:r>
    </w:p>
    <w:p w14:paraId="05F3917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line="20" w:lineRule="atLeast"/>
        <w:ind w:left="0" w:leftChars="0" w:firstLine="0" w:firstLineChars="0"/>
        <w:textAlignment w:val="auto"/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-SA"/>
        </w:rPr>
        <w:t>（四）政府采购支出情况说明</w:t>
      </w:r>
    </w:p>
    <w:p w14:paraId="2FA41631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202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color w:val="auto"/>
          <w:sz w:val="28"/>
          <w:szCs w:val="24"/>
          <w:lang w:val="en-US" w:eastAsia="zh-CN" w:bidi="ar-SA"/>
        </w:rPr>
        <w:t>年度我单位未发生政府采购事项，无相关经费支出</w:t>
      </w:r>
      <w:r>
        <w:rPr>
          <w:rFonts w:hint="eastAsia" w:cs="Times New Roman"/>
          <w:color w:val="auto"/>
          <w:sz w:val="28"/>
          <w:szCs w:val="24"/>
          <w:lang w:val="en-US" w:eastAsia="zh-CN" w:bidi="ar-SA"/>
        </w:rPr>
        <w:t>。</w:t>
      </w:r>
    </w:p>
    <w:p w14:paraId="2E26DFA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0E6C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DF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6071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EB92B7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石柱土家族自治县水利工程质量和安全监督站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546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0BF9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60EB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5DA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26A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6F4F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4DE5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7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410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4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62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0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F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79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D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E2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84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B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62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7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2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42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6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22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7B1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0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153,025.92 </w:t>
            </w:r>
          </w:p>
        </w:tc>
      </w:tr>
      <w:tr w14:paraId="09CB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2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C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BB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C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54,307.22 </w:t>
            </w:r>
          </w:p>
        </w:tc>
      </w:tr>
      <w:tr w14:paraId="2238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2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0A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55D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5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17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C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A1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2F0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3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06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B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E9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70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A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884,182.67 </w:t>
            </w:r>
          </w:p>
        </w:tc>
      </w:tr>
      <w:tr w14:paraId="182B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83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3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86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9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6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1F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7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8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E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E0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6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C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59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3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3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F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12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5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53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F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4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52,809.12 </w:t>
            </w:r>
          </w:p>
        </w:tc>
      </w:tr>
      <w:tr w14:paraId="0D98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7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6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1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E9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9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F3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F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3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E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87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6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F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B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8D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A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3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16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D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2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FD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1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F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93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B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D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1,144,324.93 </w:t>
            </w:r>
          </w:p>
        </w:tc>
      </w:tr>
      <w:tr w14:paraId="4C62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C1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4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D4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D8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C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1,144,324.93</w:t>
            </w:r>
          </w:p>
        </w:tc>
      </w:tr>
    </w:tbl>
    <w:p w14:paraId="44B4F726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573840E2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704E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DD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2917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459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石柱土家族自治县水利工程质量和安全监督站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63ADF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1A4615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5E9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1323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3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7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7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5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8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D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D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5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7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B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2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8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9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5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B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4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6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A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C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9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A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E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3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C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7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E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8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B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D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9D7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2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1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2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E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9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A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3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3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7F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180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6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153,025.92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4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153,025.92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D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E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1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49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74A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3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153,025.92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8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153,025.92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C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6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4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9C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AC9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102,017.28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D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102,017.28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6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F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9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5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4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58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084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8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51,008.64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1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51,008.64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B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C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C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904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35A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8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9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54,307.22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54,307.22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B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4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3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5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523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AB8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9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5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54,307.22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54,307.22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A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A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6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3D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77F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F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5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41,807.22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A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41,807.22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4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F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3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B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7A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407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2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8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F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5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2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986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44B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5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A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0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0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B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8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63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7A8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7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6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D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2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802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D22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2130322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6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水利安全监督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B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0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C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D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B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3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CA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9AE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8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4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3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2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3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5AF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BD0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3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F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0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F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4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5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1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1C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433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E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B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C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B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13B47E6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62FB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16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6129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D3000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石柱土家族自治县水利工程质量和安全监督站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00A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27F5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CDB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50A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F7A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0451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E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E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A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E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F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D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D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9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D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E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3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7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B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8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E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5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6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9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6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6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9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7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0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D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1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B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7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531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B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5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4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0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D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1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E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27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8B2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C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3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153,025.92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6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153,025.92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B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9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A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5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AE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322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3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153,025.92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4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153,025.92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B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C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8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B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B6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884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2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C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102,017.28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3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102,017.28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5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35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3D8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C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51,008.64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2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51,008.64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A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F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FE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626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7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E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54,307.22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6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54,307.22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D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6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8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A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833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9E0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B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A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54,307.22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54,307.22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0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C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9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07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151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41,807.22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D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41,807.22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C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4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5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D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17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828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4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3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9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D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E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F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3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AC1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630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3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0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3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D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87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BFF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4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5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7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22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BD3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2130322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2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水利安全监督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F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2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C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F3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C4D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E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9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9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A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9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3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3F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80F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E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2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C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A4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B55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4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4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4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F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1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3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187CAA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33B4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27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2D2D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AA4A8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石柱土家族自治县水利工程质量和安全监督站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B83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025F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B7B7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94A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AAB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4C9D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773A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E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D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9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2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A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D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8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6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5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8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1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C98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C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1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9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1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4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CD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9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A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5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1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3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27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5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3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F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5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4F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5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D8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B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1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B8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F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35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2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FA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2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BB0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A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6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5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16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2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5E0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3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8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B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5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76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A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D42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3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153,025.92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3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153,025.92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5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6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12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3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1BD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F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54,307.22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0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54,307.22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9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F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DF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9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E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5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C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9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B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F1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6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1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0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4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D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A7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C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9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6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884,182.67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C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F4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7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5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7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A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D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1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37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E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3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8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F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E1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5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0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1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E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D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60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0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B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B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3B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D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E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A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F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F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1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A9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5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B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1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B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80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4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4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C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A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0B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F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8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5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6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1E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2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C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5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07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D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7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F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8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E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D0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C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1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6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F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8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C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9F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6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6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F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8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4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0A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B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1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E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7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E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F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37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1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3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F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F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B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8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78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7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7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C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A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4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93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7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A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5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E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6E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F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6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B64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7B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BF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D66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3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D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6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B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D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5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0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B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6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3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1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B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E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C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2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4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C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1,144,324.93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F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A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120281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07F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57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15EA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99ACC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石柱土家族自治县水利工程质量和安全监督站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FD9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13E2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165D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3D5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96F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CBB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8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50C0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1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E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A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0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2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8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C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A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C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8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1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A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77FF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2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A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D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D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8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5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F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9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0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8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6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F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AC4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B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4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D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9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6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7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1,144,324.93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3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1,144,324.93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0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8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1,144,324.93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1,144,324.93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2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D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C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8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719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D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F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0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E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C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153,025.92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5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153,025.92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153,025.92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D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153,025.92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2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C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9E9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D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C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A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F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4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153,025.92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153,025.92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E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153,025.92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7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153,025.92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3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1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7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1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E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2DC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E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3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8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A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102,017.28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102,017.28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C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F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102,017.28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3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102,017.28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1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D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8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A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62F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C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1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C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1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2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7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51,008.64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0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51,008.64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F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51,008.64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7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51,008.64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8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2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144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2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B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5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7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C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54,307.22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54,307.22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9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54,307.22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54,307.22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F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5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3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8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79D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F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B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3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0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3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54,307.22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C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54,307.22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54,307.22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54,307.22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7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1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D24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0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6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D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D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41,807.22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0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41,807.22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E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D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41,807.22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6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41,807.22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D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B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7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5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E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015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F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E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8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9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5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12,500.00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5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C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6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E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0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BBE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A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E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5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8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4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A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3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E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4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6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A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D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2C6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0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7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3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1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9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5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B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B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B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5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C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D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9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F53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7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2130322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C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水利安全监督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1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9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6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7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0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F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884,182.67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F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E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0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2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EC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0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B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3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C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F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A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B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8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E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D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5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C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E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63C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E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E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9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C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9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A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2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D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E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0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0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B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5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162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1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4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D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A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A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1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3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8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52,809.12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C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7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3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6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B9BE21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48D9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A0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5572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A2E68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石柱土家族自治县水利工程质量和安全监督站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C73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155A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780B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8F5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F6B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4E64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2CDF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A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3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A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B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D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6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2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E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D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39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C9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F5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1,004,558.25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DB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F0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B9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137,766.68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6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55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F6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2F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D6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62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09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243,960.00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58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E9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06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83,800.00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1D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C7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97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15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6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3B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84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34,200.00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E4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3D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06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2F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00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31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5A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06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2F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9F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B3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36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9C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CA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A7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4B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4C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42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36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30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23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8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58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FB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6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E1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A6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F9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D7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C7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462,535.00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55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73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70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8F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13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6D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F0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F4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FC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AB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102,017.28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70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BF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88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8,825.16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47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0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C8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77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CD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A1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AA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51,008.64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11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1A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EE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E7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02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77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5F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DD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A3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4C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44,007.60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8A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11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0C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A4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05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5D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C8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E6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44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AA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DF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B7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D0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7A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E7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78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79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40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BF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CA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3,520.61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3A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09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1D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29,340.00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B7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86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A7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21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90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A2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2E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52,809.12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CB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FA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01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46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D4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16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DF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4E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C7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4E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2E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3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F8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E9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65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E4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9C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FA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63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27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A7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96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38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A1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67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69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EF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D2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6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12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9C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F4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7D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B8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45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E2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10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9F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3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24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DA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E6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51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95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5F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6B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68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68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9D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8F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DB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37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D7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B0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E3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33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43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94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65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BA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71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00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4B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3A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EF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94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4F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F3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70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70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B2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F4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C6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37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AA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CF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1C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1D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AD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BB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EB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2F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03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9B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D1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B8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CE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D0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E7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F1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F1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4B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B4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37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3E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B0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AF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9F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6A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8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7D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41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AA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F6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54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D7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DB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A3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DB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52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EE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A2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74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8,801.52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86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D8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A3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D4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41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4F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6C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58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10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6A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74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7C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FD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B5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4D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05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C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A7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BE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27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31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4C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83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BD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6A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20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7B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5A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0F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10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86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4C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D480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74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0B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C4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31EE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22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F3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E9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54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168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C6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76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A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770C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EA6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01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71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49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58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779C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C5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50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A1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F817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B3ED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76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2C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6D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FB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D3C2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13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3E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F8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709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50CC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A9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D1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FC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72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3B6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6B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6E7C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BB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FC5F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15A1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2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97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4C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2B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483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7D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9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93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F528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E68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A9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1A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A6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BE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7DDE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DD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1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90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6780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788B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1E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E5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40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D6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AB1D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4B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0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2D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D7F3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1,006,558.25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BE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C5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137,766.68 </w:t>
            </w:r>
          </w:p>
        </w:tc>
      </w:tr>
    </w:tbl>
    <w:p w14:paraId="0F3B4FB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085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6E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30F3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18ED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石柱土家族自治县水利工程质量和安全监督站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77B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714F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6612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B7F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6BC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6C7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F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3A01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8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7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0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9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7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F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D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6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A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C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1313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0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A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2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5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0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C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E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0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B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C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9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A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D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1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F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C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2747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E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F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F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4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F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2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8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5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5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B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3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2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352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5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1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3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7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F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7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C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8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5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1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6F90431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7BD6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2F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7D37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4F302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石柱土家族自治县水利工程质量和安全监督站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598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0304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C215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157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838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81C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D1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33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A2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48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2B6E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8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2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F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0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6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0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3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8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A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9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A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5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D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D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3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D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5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4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0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E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6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63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7D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31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AE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D8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CA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13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84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36B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80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CE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C8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9B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4A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6E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CA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48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C1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06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6F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1E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CC5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DC1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3E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F7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4B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40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C2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8F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DD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F7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9FEBAB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4E19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89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6F51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22AEDB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石柱土家族自治县水利工程质量和安全监督站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CB5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3D7B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36C8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163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F1D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79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A9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6C5C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82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E6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E03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CC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35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B0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33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64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7F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87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DD2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034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46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0E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D0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7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E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79A3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5F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56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2B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D3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74A2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DC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AD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5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77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6F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00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81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34E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2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11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94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AF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96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E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53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E9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0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CF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2F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C06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B2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3D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50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DF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41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1E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0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BF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12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83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E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D9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0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1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B3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A4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A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B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E5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66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49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A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1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A5C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B0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1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6A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D6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6F7E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8C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98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16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EF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BE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D4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6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F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B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E5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49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A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63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57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25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0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1B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3A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4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85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B7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56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6B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FF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8C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5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6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A16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6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63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2B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2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1C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3A6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A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55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E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D6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F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95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29,340.00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B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0072A16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B0959A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8C8C799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4D1641E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5187B4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5D6190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874CE5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A79580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436333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C8BB384">
      <w:pPr>
        <w:pStyle w:val="10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74A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DD5C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DD5C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AC9DC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4DD9DD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DD9DD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DF8C50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DF8C50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47C47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7C8C1E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C8C1E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795A68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8795A68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D9710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9FD58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532D51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45135D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C37F43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9">
    <w:name w:val="Strong"/>
    <w:qFormat/>
    <w:uiPriority w:val="0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4305</Words>
  <Characters>6492</Characters>
  <Lines>161</Lines>
  <Paragraphs>45</Paragraphs>
  <TotalTime>0</TotalTime>
  <ScaleCrop>false</ScaleCrop>
  <LinksUpToDate>false</LinksUpToDate>
  <CharactersWithSpaces>6918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坚果</cp:lastModifiedBy>
  <dcterms:modified xsi:type="dcterms:W3CDTF">2025-10-09T02:03:47Z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eyJoZGlkIjoiOTYzYjBhNmFiM2M5ZTdhMWQ3NTAwMjk3ZTUwM2Q3MDUiLCJ1c2VySWQiOiIxMjExMDA4NTY1In0=</vt:lpwstr>
  </property>
</Properties>
</file>