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ECCBA">
      <w:pPr>
        <w:pStyle w:val="10"/>
        <w:pageBreakBefore w:val="0"/>
        <w:widowControl/>
        <w:kinsoku/>
        <w:overflowPunct/>
        <w:topLinePunct w:val="0"/>
        <w:autoSpaceDN/>
        <w:bidi w:val="0"/>
        <w:adjustRightInd/>
        <w:snapToGrid w:val="0"/>
        <w:spacing w:before="0" w:beforeAutospacing="0" w:line="20" w:lineRule="atLeast"/>
        <w:jc w:val="center"/>
        <w:rPr>
          <w:rFonts w:hint="eastAsia" w:ascii="宋体" w:hAnsi="宋体" w:eastAsia="宋体" w:cs="宋体"/>
          <w:b/>
          <w:bCs/>
          <w:color w:val="auto"/>
          <w:sz w:val="28"/>
          <w:szCs w:val="24"/>
          <w:lang w:val="en-US" w:eastAsia="zh-CN" w:bidi="ar-SA"/>
        </w:rPr>
      </w:pPr>
      <w:bookmarkStart w:id="1" w:name="_GoBack"/>
      <w:bookmarkEnd w:id="1"/>
      <w:r>
        <w:rPr>
          <w:rFonts w:hint="eastAsia" w:ascii="宋体" w:hAnsi="宋体" w:eastAsia="宋体" w:cs="宋体"/>
          <w:b/>
          <w:bCs/>
          <w:sz w:val="36"/>
          <w:szCs w:val="36"/>
        </w:rPr>
        <w:t>重庆市石柱土家族自治县水利局本级</w:t>
      </w:r>
      <w:r>
        <w:rPr>
          <w:rFonts w:hint="eastAsia" w:ascii="宋体" w:hAnsi="宋体" w:eastAsia="宋体" w:cs="宋体"/>
          <w:b/>
          <w:bCs/>
          <w:sz w:val="36"/>
          <w:szCs w:val="36"/>
          <w:shd w:val="clear" w:color="auto" w:fill="FFFFFF"/>
        </w:rPr>
        <w:t>2023年度决算</w:t>
      </w:r>
      <w:r>
        <w:rPr>
          <w:rFonts w:hint="eastAsia" w:ascii="宋体" w:hAnsi="宋体" w:eastAsia="宋体" w:cs="宋体"/>
          <w:b/>
          <w:bCs/>
          <w:sz w:val="36"/>
          <w:szCs w:val="36"/>
          <w:lang w:val="en-US" w:eastAsia="zh-CN"/>
        </w:rPr>
        <w:t>公开说明</w:t>
      </w:r>
    </w:p>
    <w:p w14:paraId="24BF7587">
      <w:pPr>
        <w:pageBreakBefore w:val="0"/>
        <w:widowControl/>
        <w:kinsoku/>
        <w:overflowPunct/>
        <w:topLinePunct w:val="0"/>
        <w:autoSpaceDN/>
        <w:bidi w:val="0"/>
        <w:adjustRightInd/>
        <w:snapToGrid w:val="0"/>
        <w:spacing w:line="20" w:lineRule="atLeast"/>
        <w:rPr>
          <w:rFonts w:hint="default" w:ascii="宋体" w:hAnsi="宋体" w:eastAsia="宋体" w:cs="Times New Roman"/>
          <w:b/>
          <w:bCs/>
          <w:color w:val="auto"/>
          <w:sz w:val="32"/>
          <w:szCs w:val="32"/>
          <w:lang w:val="en-US" w:eastAsia="zh-CN" w:bidi="ar-SA"/>
        </w:rPr>
      </w:pPr>
      <w:r>
        <w:rPr>
          <w:rFonts w:hint="eastAsia" w:ascii="宋体" w:hAnsi="宋体" w:eastAsia="宋体" w:cs="Times New Roman"/>
          <w:b/>
          <w:bCs/>
          <w:color w:val="auto"/>
          <w:sz w:val="32"/>
          <w:szCs w:val="32"/>
          <w:lang w:val="en-US" w:eastAsia="zh-CN" w:bidi="ar-SA"/>
        </w:rPr>
        <w:t>一、单位基本情况</w:t>
      </w:r>
    </w:p>
    <w:p w14:paraId="346D6D08">
      <w:pPr>
        <w:pageBreakBefore w:val="0"/>
        <w:widowControl/>
        <w:kinsoku/>
        <w:overflowPunct/>
        <w:topLinePunct w:val="0"/>
        <w:autoSpaceDN/>
        <w:bidi w:val="0"/>
        <w:adjustRightInd/>
        <w:snapToGrid w:val="0"/>
        <w:spacing w:line="20" w:lineRule="atLeast"/>
        <w:rPr>
          <w:rFonts w:hint="eastAsia" w:ascii="宋体" w:hAnsi="宋体" w:eastAsia="宋体" w:cs="Times New Roman"/>
          <w:b/>
          <w:bCs/>
          <w:color w:val="auto"/>
          <w:sz w:val="28"/>
          <w:szCs w:val="28"/>
          <w:lang w:val="en-US" w:eastAsia="zh-CN" w:bidi="ar-SA"/>
        </w:rPr>
      </w:pPr>
      <w:r>
        <w:rPr>
          <w:rFonts w:hint="eastAsia" w:ascii="宋体" w:hAnsi="宋体" w:eastAsia="宋体" w:cs="Times New Roman"/>
          <w:b/>
          <w:bCs/>
          <w:color w:val="auto"/>
          <w:sz w:val="28"/>
          <w:szCs w:val="28"/>
          <w:lang w:val="en-US" w:eastAsia="zh-CN" w:bidi="ar-SA"/>
        </w:rPr>
        <w:t>（一）职能职责</w:t>
      </w:r>
    </w:p>
    <w:p w14:paraId="190B173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负责保障水资源的合理开发利用。贯彻执行水利水资源法律法规规章及方针政策；研究提出全县水利发展规划和政策建议，起草水利规范性文件，组织编制全县水资源规划、江河湖泊流域综合规划、防洪规划等水利规划。</w:t>
      </w:r>
    </w:p>
    <w:p w14:paraId="64877C0C">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负责生活、生产经营和生态环境用水的统筹和保障。组织实施最严格的水资源管理制度，实施水资源的统一监督管理，拟订全县和重要区域水中长期供求规划、水量分配方案并监督实施。负责主要流域、区域以及调水工程的水资源调度。按权限组织实施取水许可、水资源论证和防洪论证制度，推进开展水资源有偿使用工作。指导水利行业供水和乡镇供水工作。</w:t>
      </w:r>
    </w:p>
    <w:p w14:paraId="314CE32C">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按规定拟订水利工程建设有关制度并组织实施，负责提出全县水利固定资产投资规模、方向、具体安排建议并组织实施，按县政府规定权限审批、核准规划内和年度计划规模内固定资产投资项目，提出县级及以上水利资金安排建议并负责项目实施的监督管理。</w:t>
      </w:r>
    </w:p>
    <w:p w14:paraId="20129249">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4.负责水资源保护工作。组织编制并实施水资源保护规划。会同有关部门做好饮用水水源保护有关工作，指导地下水开发利用，按规定权限负责地下水的统一管理和监督工作。</w:t>
      </w:r>
    </w:p>
    <w:p w14:paraId="7C8AE6E6">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5.负责节约用水工作。贯彻落实节约用水政策及有关标准，组织编制节约用水规划并监督实施，组织实施用水总量控制等管理制度，指导和推动节水型社会建设工作。</w:t>
      </w:r>
    </w:p>
    <w:p w14:paraId="5558A6BA">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负责水文工作。负责全县水文水资源监测、水文站网的建设与管理。对江河湖库和地下水实施监测，发布水文水资源信息、情报预报和水资源公报。按规定组织开展水资源、水能资源调查评价和水资源承载能力监测预警工作。</w:t>
      </w:r>
    </w:p>
    <w:p w14:paraId="13475456">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负责水利设施、水域及其岸线的管理、保护与综合利用。负责水利基础设施网络建设。负责江河湖库及河口的治理、开发和保护。负责河库水生态保护与修复、生态流量水量管理以及水系连通工作。承担全县河（库）长制工作的组织和协调及县河长办公室日常工作。</w:t>
      </w:r>
    </w:p>
    <w:p w14:paraId="1570E31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8.负责监督水利工程建设与运行管理。组织实施重要水利工程建设与运行管理。贯彻落实重要水利工程建设、运行管理的有关政策措施，负责监督工程安全运行，组织工程验收有关工作，督促指导协调配套工程建设。</w:t>
      </w:r>
    </w:p>
    <w:p w14:paraId="0C5CD8C5">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9.负责水土保持工作。拟订水土保持规划并监督实施，组织实施水土流失的综合防治、监测预报并定期公告。负责建设项目水土保持监督管理工作，负责重点水土保持建设项目的实施。承担县水土保持委员会办公室日常工作。</w:t>
      </w:r>
    </w:p>
    <w:p w14:paraId="0E4F8A24">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10.负责农村水利工作。组织开展灌排工程建设与改造。组织指导农村饮水安全工程建设管理工作，组织推进节水灌溉有关工作。负责农村水利改革创新和社会化服务体系建设。负责农村水能资源开发、小水电改造和水电农村电气化工作。</w:t>
      </w:r>
    </w:p>
    <w:p w14:paraId="1EB7F68A">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11.负责水利工程移民管理工作。贯彻落实水利工程移民有关政策，组织实施水利工程移民安置验收、监督评估等制度。贯彻落实水库移民后期扶持政策，负责三峡工程后续工作规划的综合协调、组织实施和监督管理，负责三峡库区对口支援等工作。承担县三峡库区对口支援办公室日常工作。</w:t>
      </w:r>
    </w:p>
    <w:p w14:paraId="1B4CC6BF">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12.负责组织涉水违法事件的查处，组织指导水政监察和水行政执法。依法负责水利行业安全生产工作，负责水库、水电站大坝、农村水电站的安全监管。负责水利建设市场的监督管理，组织实施水利工程建设的监督。</w:t>
      </w:r>
    </w:p>
    <w:p w14:paraId="2B766E5B">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13.开展水利科技和交流合作工作。组织开展水利行业质量监督工作，贯彻执行水利行业的技术标准和规程规范，组织开展水利科研技术成果推广。负责水利对外交流、合作等有关事务。</w:t>
      </w:r>
    </w:p>
    <w:p w14:paraId="2BA726FD">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14.负责落实综合防灾减灾规划相关要求，组织编制全县洪水干旱灾害防治规划并组织实施，贯彻落实有关防护标准。承担水情旱情监测预警工作。组织编制重要江河水库和重要水工程的防御洪水抗御旱灾调度及应急水量调度方案，按程序报批并组织实施。承担防御洪水应急抢险的技术支撑工作。</w:t>
      </w:r>
    </w:p>
    <w:p w14:paraId="4CB1E17C">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15.完成县委和县政府交办的其他任务。</w:t>
      </w:r>
    </w:p>
    <w:p w14:paraId="5A1B2358">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16.职能转变。石柱土家族自治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w:t>
      </w:r>
    </w:p>
    <w:p w14:paraId="416F24F8">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17.与有关部门职责分工。关于防汛抗旱工作。石柱土家族自治县水利局负责落实综合防灾减灾规划相关要求，组织编制洪水干旱灾害防治规划并组织实施，贯彻落实有关防护标准；承担水情旱情监测预警工作；组织编制重要江河水库和重要水工程的防御洪水抗御旱灾调度和应急水量调度方案，按程序报批并组织实施；承担其他江河水库和水工程相应方案备案管理并监督实施；承担防御洪水应急抢险的技术支撑工作；负责防汛抗旱先期处置。石柱土家族自治县应急管理局负责组织编制全县总体应急预案和安全生产类、自然灾害类专项预案，综合协调应急预案衔接工作，组织开展预案演练，组织协调较大以上灾害应急救援工作并按权限作出决定</w:t>
      </w:r>
      <w:bookmarkStart w:id="0" w:name="OLE_LINK1"/>
      <w:r>
        <w:rPr>
          <w:rFonts w:hint="eastAsia" w:ascii="宋体" w:hAnsi="宋体" w:cs="Times New Roman"/>
          <w:color w:val="auto"/>
          <w:sz w:val="28"/>
          <w:szCs w:val="24"/>
          <w:lang w:val="en-US" w:eastAsia="zh-CN"/>
        </w:rPr>
        <w:t>；</w:t>
      </w:r>
      <w:bookmarkEnd w:id="0"/>
      <w:r>
        <w:rPr>
          <w:rFonts w:hint="eastAsia" w:ascii="宋体" w:hAnsi="宋体" w:cs="Times New Roman"/>
          <w:color w:val="auto"/>
          <w:sz w:val="28"/>
          <w:szCs w:val="24"/>
          <w:lang w:val="en-US" w:eastAsia="zh-CN"/>
        </w:rPr>
        <w:t>承担县应对较大以上灾害指挥部工作，协助县委、县政府指定的负责同志组织较大以上灾害应急处置工作；组织编制综合防灾减灾规划，指导协调相关部门水旱灾害等防治工作；会同县级有关部门建立统一的应急管理信息平台，建立监测预警和灾情报告制度，健全自然灾害信息资源获取和共享机制，依法统一发布灾情；开展多灾种和灾害链综合监测预警，指导开展自然灾害综合风险评估。</w:t>
      </w:r>
    </w:p>
    <w:p w14:paraId="60B3866D">
      <w:pPr>
        <w:pageBreakBefore w:val="0"/>
        <w:widowControl/>
        <w:kinsoku/>
        <w:overflowPunct/>
        <w:topLinePunct w:val="0"/>
        <w:autoSpaceDN/>
        <w:bidi w:val="0"/>
        <w:adjustRightInd/>
        <w:snapToGrid w:val="0"/>
        <w:spacing w:line="20" w:lineRule="atLeast"/>
        <w:ind w:firstLine="562" w:firstLineChars="200"/>
        <w:rPr>
          <w:rFonts w:hint="eastAsia" w:ascii="宋体" w:hAnsi="宋体" w:cs="Times New Roman"/>
          <w:b/>
          <w:bCs/>
          <w:color w:val="auto"/>
          <w:sz w:val="28"/>
          <w:szCs w:val="28"/>
          <w:lang w:val="en-US" w:eastAsia="zh-CN"/>
        </w:rPr>
      </w:pPr>
      <w:r>
        <w:rPr>
          <w:rFonts w:hint="eastAsia" w:ascii="宋体" w:hAnsi="宋体" w:cs="Times New Roman"/>
          <w:b/>
          <w:bCs/>
          <w:color w:val="auto"/>
          <w:sz w:val="28"/>
          <w:szCs w:val="28"/>
          <w:lang w:val="en-US" w:eastAsia="zh-CN"/>
        </w:rPr>
        <w:t>（二）机构设置</w:t>
      </w:r>
    </w:p>
    <w:p w14:paraId="6407223B">
      <w:pPr>
        <w:pageBreakBefore w:val="0"/>
        <w:widowControl/>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rPr>
        <w:t>石柱土家族自治县水利局设下列内设机构：</w:t>
      </w:r>
    </w:p>
    <w:p w14:paraId="1D8873C6">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cs="Times New Roman"/>
          <w:color w:val="auto"/>
          <w:sz w:val="28"/>
          <w:szCs w:val="24"/>
          <w:lang w:val="en-US" w:eastAsia="zh-CN"/>
        </w:rPr>
        <w:t>1.</w:t>
      </w:r>
      <w:r>
        <w:rPr>
          <w:rFonts w:hint="eastAsia" w:ascii="宋体" w:hAnsi="宋体" w:cs="Times New Roman"/>
          <w:color w:val="auto"/>
          <w:sz w:val="28"/>
          <w:szCs w:val="24"/>
        </w:rPr>
        <w:t>办公室。负责机关日常运转工作。承担信息、保密、党内法规、政务公开和综合协调、会务、督查督办、考核、新闻宣传、组织人事、机构编制、信访、档案、后勤等工作。负责机关规章制度建设。负责综合性文稿材料撰写工作。牵头负责水利信息化工作。</w:t>
      </w:r>
    </w:p>
    <w:p w14:paraId="665C6793">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2.</w:t>
      </w:r>
      <w:r>
        <w:rPr>
          <w:rFonts w:hint="eastAsia" w:ascii="宋体" w:hAnsi="宋体" w:cs="Times New Roman"/>
          <w:color w:val="auto"/>
          <w:sz w:val="28"/>
          <w:szCs w:val="24"/>
        </w:rPr>
        <w:t>财务科。编制部门预算并组织实施，承担机关及所属单位的财务管理和资产管理工作。负责提出各级水利财政资金安排建议，并统筹协调项目实施的监督管理和绩效评价。提出有关水利价格、基金、信贷等建议。负责本部门及所属事业单位审计工作。</w:t>
      </w:r>
    </w:p>
    <w:p w14:paraId="4AEF7C3A">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3.</w:t>
      </w:r>
      <w:r>
        <w:rPr>
          <w:rFonts w:hint="eastAsia" w:ascii="宋体" w:hAnsi="宋体" w:cs="Times New Roman"/>
          <w:color w:val="auto"/>
          <w:sz w:val="28"/>
          <w:szCs w:val="24"/>
        </w:rPr>
        <w:t>规划计划科（行政许可服务科）。组织编制全县水利发展规划、流域规划和重大专项规划。协调、指导水利专业和专项规划的编制工作。负责全局性重大水利改革统筹协调。负责水利固定资产投资和建设项目前期工作投资计划的统筹管理。负责水工程建设项目合规性审查。指导水利建设项目前期工作，提出全县水利固定资产投资的规模、方向、项目安排建议和年度建议计划。指导水利建设项目后评估工作。承担水利统计、普查有关工作。负责水利勘察设计市场的监督管理，组织实施县级水利行政许可项目的技术审查以及建设和运行管理重大技术审查工作。承担本部门行政审批制度改革工作，相对集中本部门有关行政审批事项的受理和审批工作。管理本部门行政审批窗口。</w:t>
      </w:r>
    </w:p>
    <w:p w14:paraId="021E1886">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4.</w:t>
      </w:r>
      <w:r>
        <w:rPr>
          <w:rFonts w:hint="eastAsia" w:ascii="宋体" w:hAnsi="宋体" w:cs="Times New Roman"/>
          <w:color w:val="auto"/>
          <w:sz w:val="28"/>
          <w:szCs w:val="24"/>
        </w:rPr>
        <w:t>水利工程建设科(三峡库区工作科)。负责水利工程移民安置管理及后期扶持相关工作。组织编制全县水利工程移民安置规划并监督实施。负责水利工程移民后期扶持政策的实施。负责水利设施的管理、保护与综合利用。负责水利工程建设与运行的监督管理，制定有关制度并组织实施。负责水利建设市场的监督管理。承担已成水利工程的运行管理和除险加固工作。监督执行水利行业技术标准和规程规范。负责三峡工程（石柱库段）后续工作。负责水利科技、教育培训、对外交流合作工作。组织开展水利技术成果推广。</w:t>
      </w:r>
    </w:p>
    <w:p w14:paraId="09BD0152">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5.</w:t>
      </w:r>
      <w:r>
        <w:rPr>
          <w:rFonts w:hint="eastAsia" w:ascii="宋体" w:hAnsi="宋体" w:cs="Times New Roman"/>
          <w:color w:val="auto"/>
          <w:sz w:val="28"/>
          <w:szCs w:val="24"/>
        </w:rPr>
        <w:t>水资源开发与管理科。负责保障水资源的合理开发和利用。负责生活、生产经营和生态环境用水的统筹和保障。负责水资源保护工作。负责节约用水工作。负责水质检测工作。负责农村水利工作，组织实施灌排工程建设与改造，指导实施农村饮水安全工程建设管理工作，组织指导节水灌溉有关工作。指导水利行业供水和乡镇供水工作。组织实施农村水能资源开发相关工作。负责水利扶贫工作。</w:t>
      </w:r>
    </w:p>
    <w:p w14:paraId="63E5BEA0">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6.</w:t>
      </w:r>
      <w:r>
        <w:rPr>
          <w:rFonts w:hint="eastAsia" w:ascii="宋体" w:hAnsi="宋体" w:cs="Times New Roman"/>
          <w:color w:val="auto"/>
          <w:sz w:val="28"/>
          <w:szCs w:val="24"/>
        </w:rPr>
        <w:t>水生态建设科。负责水域及其岸线的管理、保护与综合利用，以及江河水库的治理、开发和保护。负责河库水生态保护与修复、生态流量水量管理以及水系连通工作。负责河道水域的管理和保护工作。承担河道管理范围内工程建设方案的审查工作，拟订河道清障计划和实施方案并监督实施，负责河道采砂的管理、监督和检查。负责水土保持工作。负责水土保持监测监督管理的具体工作，做好水土流失动态监测评估和预防治理工作。拟订水土保持规划并监督实施，负责重点水土保持建设项目的实施。承担全县河长制工作的组织和协调及石柱县河长办公室日常工作。</w:t>
      </w:r>
    </w:p>
    <w:p w14:paraId="607EDE0F">
      <w:pPr>
        <w:pageBreakBefore w:val="0"/>
        <w:widowControl/>
        <w:numPr>
          <w:ilvl w:val="0"/>
          <w:numId w:val="0"/>
        </w:numPr>
        <w:kinsoku/>
        <w:overflowPunct/>
        <w:topLinePunct w:val="0"/>
        <w:autoSpaceDN/>
        <w:bidi w:val="0"/>
        <w:adjustRightInd/>
        <w:snapToGrid w:val="0"/>
        <w:spacing w:line="20" w:lineRule="atLeast"/>
        <w:ind w:firstLine="560" w:firstLineChars="200"/>
        <w:rPr>
          <w:rFonts w:hint="eastAsia" w:ascii="宋体" w:hAnsi="宋体" w:cs="Times New Roman"/>
          <w:color w:val="auto"/>
          <w:sz w:val="28"/>
          <w:szCs w:val="24"/>
        </w:rPr>
      </w:pPr>
      <w:r>
        <w:rPr>
          <w:rFonts w:hint="eastAsia" w:ascii="宋体" w:hAnsi="宋体" w:cs="Times New Roman"/>
          <w:color w:val="auto"/>
          <w:sz w:val="28"/>
          <w:szCs w:val="24"/>
          <w:lang w:val="en-US" w:eastAsia="zh-CN"/>
        </w:rPr>
        <w:t>7.</w:t>
      </w:r>
      <w:r>
        <w:rPr>
          <w:rFonts w:hint="eastAsia" w:ascii="宋体" w:hAnsi="宋体" w:cs="Times New Roman"/>
          <w:color w:val="auto"/>
          <w:sz w:val="28"/>
          <w:szCs w:val="24"/>
        </w:rPr>
        <w:t>安全监督科。依法负责水利行业安全生产工作，承担水库、水电站大坝、农村水电站等已成水利工程的安全监管。负责水利工程建设质量的监督工作。贯彻执行水利、水资源的法律、法规、规章和方针政策，组织拟订有关规范性文件并监督实施。负责涉水违法事件查处、水事纠纷调处的有关工作，组织水政监察和水行政执法工作。负责水文站网建设和管理工作。负责采集和报送水文信息、情报预报工作。负责落实综合防灾减灾规划相关要求，组织编制全县洪水干旱灾害防治规划并实施，承担水情旱情监测预警工作。组织编制重要江河水库和重要水利工程实施防汛抗旱调度和应急水量调度方案，按程序报批并组织实施，承担防御洪水应急抢险的技术支撑及防汛抗旱先期处置工作。</w:t>
      </w:r>
    </w:p>
    <w:p w14:paraId="5C908DE9">
      <w:pPr>
        <w:keepNext/>
        <w:keepLines/>
        <w:pageBreakBefore w:val="0"/>
        <w:widowControl/>
        <w:suppressLineNumbers/>
        <w:kinsoku/>
        <w:overflowPunct/>
        <w:topLinePunct w:val="0"/>
        <w:autoSpaceDN/>
        <w:bidi w:val="0"/>
        <w:adjustRightInd/>
        <w:snapToGrid w:val="0"/>
        <w:spacing w:line="20" w:lineRule="atLeast"/>
        <w:ind w:firstLine="560"/>
        <w:jc w:val="left"/>
        <w:rPr>
          <w:rFonts w:hint="eastAsia" w:ascii="宋体" w:hAnsi="宋体" w:cs="Times New Roman"/>
          <w:color w:val="auto"/>
          <w:sz w:val="28"/>
          <w:szCs w:val="24"/>
        </w:rPr>
      </w:pPr>
      <w:r>
        <w:rPr>
          <w:rFonts w:hint="eastAsia" w:ascii="宋体" w:hAnsi="宋体" w:cs="Times New Roman"/>
          <w:color w:val="auto"/>
          <w:sz w:val="28"/>
          <w:szCs w:val="24"/>
        </w:rPr>
        <w:t>机关党支部。负责机关及直属单位党群工作。</w:t>
      </w:r>
    </w:p>
    <w:p w14:paraId="7D9D4050">
      <w:pPr>
        <w:pStyle w:val="4"/>
        <w:pageBreakBefore w:val="0"/>
        <w:widowControl/>
        <w:kinsoku/>
        <w:overflowPunct/>
        <w:topLinePunct w:val="0"/>
        <w:autoSpaceDN/>
        <w:bidi w:val="0"/>
        <w:adjustRightInd/>
        <w:snapToGrid w:val="0"/>
        <w:spacing w:line="20" w:lineRule="atLeast"/>
        <w:rPr>
          <w:rFonts w:hint="eastAsia" w:asciiTheme="majorEastAsia" w:hAnsiTheme="majorEastAsia" w:eastAsiaTheme="majorEastAsia" w:cstheme="majorEastAsia"/>
        </w:rPr>
      </w:pPr>
      <w:r>
        <w:rPr>
          <w:rFonts w:hint="eastAsia" w:asciiTheme="majorEastAsia" w:hAnsiTheme="majorEastAsia" w:eastAsiaTheme="majorEastAsia" w:cstheme="majorEastAsia"/>
        </w:rPr>
        <w:t>二、单位决算情况说明</w:t>
      </w:r>
    </w:p>
    <w:p w14:paraId="366B96D0">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（一）收入支出决算总体情况说明。</w:t>
      </w:r>
    </w:p>
    <w:p w14:paraId="3938408B">
      <w:pPr>
        <w:pageBreakBefore w:val="0"/>
        <w:widowControl/>
        <w:kinsoku/>
        <w:overflowPunct/>
        <w:topLinePunct w:val="0"/>
        <w:autoSpaceDN/>
        <w:bidi w:val="0"/>
        <w:adjustRightInd/>
        <w:snapToGrid w:val="0"/>
        <w:spacing w:line="20" w:lineRule="atLeast"/>
        <w:ind w:firstLine="562" w:firstLineChars="200"/>
        <w:rPr>
          <w:rFonts w:hint="default" w:ascii="宋体" w:hAnsi="宋体" w:cs="Times New Roman"/>
          <w:color w:val="auto"/>
          <w:sz w:val="28"/>
          <w:szCs w:val="24"/>
          <w:lang w:val="en-US" w:eastAsia="zh-CN"/>
        </w:rPr>
      </w:pPr>
      <w:r>
        <w:rPr>
          <w:rStyle w:val="14"/>
          <w:rFonts w:hint="eastAsia" w:ascii="宋体" w:hAnsi="宋体" w:eastAsia="宋体" w:cs="宋体"/>
          <w:sz w:val="28"/>
          <w:szCs w:val="28"/>
          <w:shd w:val="clear" w:color="auto" w:fill="FFFFFF"/>
        </w:rPr>
        <w:t>1.总体情况。</w:t>
      </w:r>
      <w:r>
        <w:rPr>
          <w:rFonts w:hint="eastAsia" w:ascii="宋体" w:hAnsi="宋体" w:cs="Times New Roman"/>
          <w:color w:val="auto"/>
          <w:sz w:val="28"/>
          <w:szCs w:val="24"/>
          <w:lang w:val="en-US" w:eastAsia="zh-CN"/>
        </w:rPr>
        <w:t>2023年度收入总计37800.84万元，支出总计37800.84万元。收支较上年决算数减少35137.87万元，下降48.17%，主要原因是2023年度专项债券项目资金减少35018.85万元。</w:t>
      </w:r>
    </w:p>
    <w:p w14:paraId="5F4C2E90">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eastAsia" w:ascii="宋体" w:hAnsi="宋体" w:eastAsia="宋体" w:cs="宋体"/>
          <w:sz w:val="32"/>
          <w:szCs w:val="32"/>
          <w:shd w:val="clear" w:color="auto" w:fill="FFFFFF"/>
        </w:rPr>
      </w:pPr>
      <w:r>
        <w:rPr>
          <w:rStyle w:val="14"/>
          <w:rFonts w:hint="eastAsia" w:ascii="宋体" w:hAnsi="宋体" w:eastAsia="宋体" w:cs="宋体"/>
          <w:sz w:val="28"/>
          <w:szCs w:val="28"/>
          <w:shd w:val="clear" w:color="auto" w:fill="FFFFFF"/>
          <w:lang w:val="en-US" w:eastAsia="zh-CN" w:bidi="ar-SA"/>
        </w:rPr>
        <w:t>2.收入情况。</w:t>
      </w:r>
      <w:r>
        <w:rPr>
          <w:rFonts w:hint="eastAsia" w:ascii="宋体" w:hAnsi="宋体" w:eastAsia="宋体" w:cs="宋体"/>
          <w:sz w:val="28"/>
          <w:szCs w:val="28"/>
          <w:shd w:val="clear" w:color="auto" w:fill="FFFFFF"/>
        </w:rPr>
        <w:t>2023年度收入合计37800.84万元，较上年决算数减少35137.87万元，下降48.17%，主要原因是</w:t>
      </w:r>
      <w:r>
        <w:rPr>
          <w:rFonts w:hint="eastAsia" w:ascii="宋体" w:hAnsi="宋体" w:eastAsia="宋体" w:cs="宋体"/>
          <w:sz w:val="28"/>
          <w:szCs w:val="28"/>
          <w:shd w:val="clear" w:color="auto" w:fill="FFFFFF"/>
          <w:lang w:val="en-US" w:eastAsia="zh-CN"/>
        </w:rPr>
        <w:t>2023年度专项债券项目资金减少35018.85万元</w:t>
      </w:r>
      <w:r>
        <w:rPr>
          <w:rFonts w:hint="eastAsia" w:ascii="宋体" w:hAnsi="宋体" w:eastAsia="宋体" w:cs="宋体"/>
          <w:sz w:val="28"/>
          <w:szCs w:val="28"/>
          <w:shd w:val="clear" w:color="auto" w:fill="FFFFFF"/>
        </w:rPr>
        <w:t>。其中：财政拨款收入37800.84万元，占100.00%；事业收入0.</w:t>
      </w:r>
      <w:r>
        <w:rPr>
          <w:rFonts w:hint="eastAsia" w:ascii="宋体" w:hAnsi="宋体" w:eastAsia="宋体" w:cs="宋体"/>
          <w:sz w:val="28"/>
          <w:szCs w:val="28"/>
        </w:rPr>
        <w:t>00</w:t>
      </w:r>
      <w:r>
        <w:rPr>
          <w:rFonts w:hint="eastAsia" w:ascii="宋体" w:hAnsi="宋体" w:eastAsia="宋体" w:cs="宋体"/>
          <w:sz w:val="28"/>
          <w:szCs w:val="28"/>
          <w:shd w:val="clear" w:color="auto" w:fill="FFFFFF"/>
        </w:rPr>
        <w:t>万元，占0.00%；经营收入</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万元，占0.00%；其他收入</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万元，占0.00%。此外，使用非财政拨款结余和专用结余</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万元，年初结转和结余</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w:t>
      </w:r>
    </w:p>
    <w:p w14:paraId="140752A0">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rPr>
      </w:pPr>
      <w:r>
        <w:rPr>
          <w:rStyle w:val="14"/>
          <w:rFonts w:hint="eastAsia" w:ascii="宋体" w:hAnsi="宋体" w:eastAsia="宋体" w:cs="宋体"/>
          <w:sz w:val="28"/>
          <w:szCs w:val="28"/>
          <w:shd w:val="clear" w:color="auto" w:fill="FFFFFF"/>
          <w:lang w:val="en-US" w:eastAsia="zh-CN" w:bidi="ar-SA"/>
        </w:rPr>
        <w:t>3.支出情况。</w:t>
      </w:r>
      <w:r>
        <w:rPr>
          <w:rFonts w:hint="eastAsia" w:ascii="宋体" w:hAnsi="宋体" w:eastAsia="宋体" w:cs="宋体"/>
          <w:sz w:val="28"/>
          <w:szCs w:val="28"/>
          <w:shd w:val="clear" w:color="auto" w:fill="FFFFFF"/>
          <w:lang w:val="en-US" w:eastAsia="zh-CN"/>
        </w:rPr>
        <w:t>2023</w:t>
      </w:r>
      <w:r>
        <w:rPr>
          <w:rFonts w:hint="eastAsia" w:ascii="宋体" w:hAnsi="宋体" w:eastAsia="宋体" w:cs="宋体"/>
          <w:sz w:val="28"/>
          <w:szCs w:val="28"/>
          <w:shd w:val="clear" w:color="auto" w:fill="FFFFFF"/>
        </w:rPr>
        <w:t>年度支出合计37800.84万元，较上年决算数减少35137.87万元，下降48.17%，主要原因是</w:t>
      </w:r>
      <w:r>
        <w:rPr>
          <w:rFonts w:hint="eastAsia" w:ascii="宋体" w:hAnsi="宋体" w:eastAsia="宋体" w:cs="宋体"/>
          <w:sz w:val="28"/>
          <w:szCs w:val="28"/>
          <w:shd w:val="clear" w:color="auto" w:fill="FFFFFF"/>
          <w:lang w:val="en-US" w:eastAsia="zh-CN"/>
        </w:rPr>
        <w:t>2023年度专项债券项目资金减少35018.85万元。</w:t>
      </w:r>
      <w:r>
        <w:rPr>
          <w:rFonts w:hint="eastAsia" w:ascii="宋体" w:hAnsi="宋体" w:eastAsia="宋体" w:cs="宋体"/>
          <w:sz w:val="28"/>
          <w:szCs w:val="28"/>
          <w:shd w:val="clear" w:color="auto" w:fill="FFFFFF"/>
        </w:rPr>
        <w:t>其中：基本支出673.38万元，占1.78%；项目支出37127.46万元，占98.22%；经营支出0.00万元，占0.00%。此外，结余分配0.00万元。</w:t>
      </w:r>
    </w:p>
    <w:p w14:paraId="71A880F2">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eastAsia" w:ascii="方正仿宋_GBK" w:hAnsi="方正仿宋_GBK" w:eastAsia="方正仿宋_GBK" w:cs="方正仿宋_GBK"/>
          <w:sz w:val="32"/>
          <w:szCs w:val="32"/>
          <w:lang w:eastAsia="zh-CN"/>
        </w:rPr>
      </w:pPr>
      <w:r>
        <w:rPr>
          <w:rStyle w:val="14"/>
          <w:rFonts w:hint="eastAsia" w:ascii="宋体" w:hAnsi="宋体" w:eastAsia="宋体" w:cs="宋体"/>
          <w:sz w:val="28"/>
          <w:szCs w:val="28"/>
          <w:shd w:val="clear" w:color="auto" w:fill="FFFFFF"/>
          <w:lang w:val="en-US" w:eastAsia="zh-CN" w:bidi="ar-SA"/>
        </w:rPr>
        <w:t>4.结转结余情况。</w:t>
      </w:r>
      <w:r>
        <w:rPr>
          <w:rFonts w:hint="eastAsia" w:ascii="宋体" w:hAnsi="宋体" w:eastAsia="宋体" w:cs="宋体"/>
          <w:sz w:val="28"/>
          <w:szCs w:val="28"/>
          <w:shd w:val="clear" w:color="auto" w:fill="FFFFFF"/>
          <w:lang w:val="en-US" w:eastAsia="zh-CN"/>
        </w:rPr>
        <w:t>2023年度年末结转和结余0.00万元，较上年决算数无增减。</w:t>
      </w:r>
    </w:p>
    <w:p w14:paraId="5806E471">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（二）财政拨款收入支出决算总体情况说明</w:t>
      </w:r>
    </w:p>
    <w:p w14:paraId="28D1F155">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rPr>
      </w:pPr>
      <w:r>
        <w:rPr>
          <w:rFonts w:hint="eastAsia" w:ascii="宋体" w:hAnsi="宋体" w:eastAsia="宋体" w:cs="宋体"/>
          <w:sz w:val="28"/>
          <w:szCs w:val="28"/>
          <w:shd w:val="clear" w:color="auto" w:fill="FFFFFF"/>
        </w:rPr>
        <w:t>2023年度财政拨款收、支总计37800.84万元。与2022年相比，财政拨款收、支总计各减少35137.87万元，下降48.17%。主要原因是</w:t>
      </w:r>
      <w:r>
        <w:rPr>
          <w:rFonts w:hint="eastAsia" w:ascii="宋体" w:hAnsi="宋体" w:eastAsia="宋体" w:cs="宋体"/>
          <w:sz w:val="28"/>
          <w:szCs w:val="28"/>
          <w:shd w:val="clear" w:color="auto" w:fill="FFFFFF"/>
          <w:lang w:val="en-US" w:eastAsia="zh-CN"/>
        </w:rPr>
        <w:t>2023年度专项债券项目资金减少35018.85万元。</w:t>
      </w:r>
    </w:p>
    <w:p w14:paraId="757C95AA">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（三）一般公共预算财政拨款收入支出决算情况说明</w:t>
      </w:r>
    </w:p>
    <w:p w14:paraId="12F32B92">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rPr>
      </w:pPr>
      <w:r>
        <w:rPr>
          <w:rStyle w:val="14"/>
          <w:rFonts w:hint="eastAsia" w:ascii="宋体" w:hAnsi="宋体" w:eastAsia="宋体" w:cs="宋体"/>
          <w:sz w:val="28"/>
          <w:szCs w:val="28"/>
          <w:shd w:val="clear" w:color="auto" w:fill="FFFFFF"/>
        </w:rPr>
        <w:t>1.收入情况。</w:t>
      </w:r>
      <w:r>
        <w:rPr>
          <w:rFonts w:hint="eastAsia" w:ascii="宋体" w:hAnsi="宋体" w:eastAsia="宋体" w:cs="宋体"/>
          <w:sz w:val="28"/>
          <w:szCs w:val="28"/>
          <w:shd w:val="clear" w:color="auto" w:fill="FFFFFF"/>
          <w:lang w:val="en-US" w:eastAsia="zh-CN"/>
        </w:rPr>
        <w:t>2023年度一般公共预算财政拨款收入13417.32万元，较上年决算数减少8284.53万元，下降38.17%。主要原因是水利发展资金项目较上年减少8284.53万元；较年初预算数增加3933.32万元，增长41.47%。主要原因是农村饮水安全工程在年初基础上追加下达了3933.32万元。此外，年初财政拨款结转和结余0.00万元。</w:t>
      </w:r>
    </w:p>
    <w:p w14:paraId="5F2D3346">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rPr>
      </w:pPr>
      <w:r>
        <w:rPr>
          <w:rStyle w:val="14"/>
          <w:rFonts w:hint="eastAsia" w:ascii="宋体" w:hAnsi="宋体" w:eastAsia="宋体" w:cs="宋体"/>
          <w:sz w:val="28"/>
          <w:szCs w:val="28"/>
          <w:shd w:val="clear" w:color="auto" w:fill="FFFFFF"/>
        </w:rPr>
        <w:t>2.支出情况。</w:t>
      </w:r>
      <w:r>
        <w:rPr>
          <w:rFonts w:hint="eastAsia" w:ascii="宋体" w:hAnsi="宋体" w:eastAsia="宋体" w:cs="宋体"/>
          <w:sz w:val="28"/>
          <w:szCs w:val="28"/>
          <w:shd w:val="clear" w:color="auto" w:fill="FFFFFF"/>
          <w:lang w:val="en-US" w:eastAsia="zh-CN"/>
        </w:rPr>
        <w:t>2023年度一般公共预算财政拨款支出13417.32万元，较上年决算数减少8284.53万元，下降38.17%。主要原因是水利发展资金项目较上年减少8284.53万元。较年初预算数增加3933.32万元，增长41.47%。主要原因是农村饮水安全工程在年初基础上追加下达了3933.32万元。</w:t>
      </w:r>
    </w:p>
    <w:p w14:paraId="012518A9">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eastAsia" w:ascii="宋体" w:hAnsi="宋体" w:eastAsia="宋体" w:cs="宋体"/>
          <w:sz w:val="28"/>
          <w:szCs w:val="28"/>
          <w:shd w:val="clear" w:color="auto" w:fill="FFFFFF"/>
          <w:lang w:val="en-US" w:eastAsia="zh-CN"/>
        </w:rPr>
      </w:pPr>
      <w:r>
        <w:rPr>
          <w:rStyle w:val="14"/>
          <w:rFonts w:hint="eastAsia" w:ascii="宋体" w:hAnsi="宋体" w:eastAsia="宋体" w:cs="宋体"/>
          <w:sz w:val="28"/>
          <w:szCs w:val="28"/>
          <w:shd w:val="clear" w:color="auto" w:fill="FFFFFF"/>
        </w:rPr>
        <w:t>3.结转结余情况。</w:t>
      </w:r>
      <w:r>
        <w:rPr>
          <w:rFonts w:hint="eastAsia" w:ascii="宋体" w:hAnsi="宋体" w:eastAsia="宋体" w:cs="宋体"/>
          <w:sz w:val="28"/>
          <w:szCs w:val="28"/>
          <w:shd w:val="clear" w:color="auto" w:fill="FFFFFF"/>
          <w:lang w:val="en-US" w:eastAsia="zh-CN"/>
        </w:rPr>
        <w:t>2023年度年末一般公共预算财政拨款结转和结余0.00万元，较上年决算数无增减。</w:t>
      </w:r>
    </w:p>
    <w:p w14:paraId="3882F122">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rPr>
      </w:pPr>
      <w:r>
        <w:rPr>
          <w:rStyle w:val="14"/>
          <w:rFonts w:hint="eastAsia" w:ascii="宋体" w:hAnsi="宋体" w:eastAsia="宋体" w:cs="宋体"/>
          <w:sz w:val="28"/>
          <w:szCs w:val="28"/>
          <w:shd w:val="clear" w:color="auto" w:fill="FFFFFF"/>
        </w:rPr>
        <w:t>4.比较情况。</w:t>
      </w:r>
      <w:r>
        <w:rPr>
          <w:rFonts w:hint="eastAsia" w:ascii="宋体" w:hAnsi="宋体" w:eastAsia="宋体" w:cs="宋体"/>
          <w:sz w:val="28"/>
          <w:szCs w:val="28"/>
          <w:shd w:val="clear" w:color="auto" w:fill="FFFFFF"/>
          <w:lang w:val="en-US" w:eastAsia="zh-CN"/>
        </w:rPr>
        <w:t>本单位2023年度一般公共预算财政拨款支出主要用于以下几个方面：</w:t>
      </w:r>
    </w:p>
    <w:p w14:paraId="40DE6314">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（1）一般公共服务支出97.18万元，占0.72%，较年初预算数增加97.18万元，增长100.00%，主要原因是年初预算未列入本科目。</w:t>
      </w:r>
    </w:p>
    <w:p w14:paraId="432BEFA5">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（2）社会保障与就业支出422.93万元，占3.15%，较年初预算数增加166.17万元，增长64.72%，主要原因是2023年退休人员增加，健康休养费增长166.17万元。</w:t>
      </w:r>
    </w:p>
    <w:p w14:paraId="208928A8">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（3）卫生健康支出36.85万元，占0.27%，较年初预算数减少0.20万元，下降0.54%，主要原因是医疗保险有所减少。</w:t>
      </w:r>
    </w:p>
    <w:p w14:paraId="412918BB">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（4）节能环保支出95.00万元，占0.71%，较年初预算数增加95.00万元，增长100.00%，主要年初预算未列入本科目。</w:t>
      </w:r>
    </w:p>
    <w:p w14:paraId="64E697E5">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（5）城乡社区支出5851.45万元，占43.61%，较年初预算数增加5851.45万元，增长100.00%，主要原因是小城镇基础设施建设增加5851.45万元。</w:t>
      </w:r>
    </w:p>
    <w:p w14:paraId="627ECCC0">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（6）农林水支出6895.34万元，占51.39%，较年初预算数减少2272.85万元，下降24.79%，主要原因是水利发展资金项目</w:t>
      </w:r>
      <w:r>
        <w:rPr>
          <w:rFonts w:hint="eastAsia" w:cs="宋体"/>
          <w:sz w:val="28"/>
          <w:szCs w:val="28"/>
          <w:shd w:val="clear" w:color="auto" w:fill="FFFFFF"/>
          <w:lang w:val="en-US" w:eastAsia="zh-CN"/>
        </w:rPr>
        <w:t>减少</w:t>
      </w:r>
      <w:r>
        <w:rPr>
          <w:rFonts w:hint="eastAsia" w:ascii="宋体" w:hAnsi="宋体" w:eastAsia="宋体" w:cs="宋体"/>
          <w:sz w:val="28"/>
          <w:szCs w:val="28"/>
          <w:shd w:val="clear" w:color="auto" w:fill="FFFFFF"/>
          <w:lang w:val="en-US" w:eastAsia="zh-CN"/>
        </w:rPr>
        <w:t>2272.85万元。</w:t>
      </w:r>
    </w:p>
    <w:p w14:paraId="1C0EB973">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（7）住房保障支出18.57万元，占0.14%，较年初预算数减少3.43万元，下降15.59%，主要原因是事业人员住房公积金基数调整所致。</w:t>
      </w:r>
    </w:p>
    <w:p w14:paraId="7092F3C4">
      <w:pPr>
        <w:pStyle w:val="15"/>
        <w:pageBreakBefore w:val="0"/>
        <w:widowControl/>
        <w:kinsoku/>
        <w:overflowPunct/>
        <w:topLinePunct w:val="0"/>
        <w:autoSpaceDE w:val="0"/>
        <w:autoSpaceDN/>
        <w:bidi w:val="0"/>
        <w:adjustRightInd/>
        <w:snapToGrid w:val="0"/>
        <w:spacing w:line="20" w:lineRule="atLeast"/>
        <w:ind w:left="0" w:leftChars="0" w:firstLine="562" w:firstLineChars="2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（四）一般公共预算财政拨款基本支出决算情况说明</w:t>
      </w:r>
    </w:p>
    <w:p w14:paraId="7090DDFA">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2023年度一般公共财政拨款基本支出673.38万元。其中：人员经费626.29万元，较上年决算数增加89.67万元，增长16.71%，主要原因是人员变动，工资社保等有所涨幅。人员经费用途主要包括基本工资、津贴补贴、绩效工资、社会保障缴费、住房公积金、医疗费等。公用经费47.09万元，较上年决算数减少1.52万元，下降3.13%，主要原因是办公费、三公经费等有所减少。公用经费用途主要包括办公费、水费、电费、邮电费、物业管理费、差旅费、委托业务费、工会经费等。</w:t>
      </w:r>
    </w:p>
    <w:p w14:paraId="5225EE93">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（五）政府性基金预算收支决算情况说明</w:t>
      </w:r>
    </w:p>
    <w:p w14:paraId="7475DFCC">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2023年度政府性基金预算财政拨款年初结转结余0.00万元，年末结转结余0.00万元。本年收入24383.52万元，较上年决算数减少26853.34万元，下降52.41%，主要原因是政府专项债券项目减少。本年支出24383.52万元，较上年决算数减少26853.34万元，下降52.41%，主要原因是政府专项债券项目减少。</w:t>
      </w:r>
    </w:p>
    <w:p w14:paraId="27C5516F">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（六）国有资本经营预算财政拨款支出决算情况说明</w:t>
      </w:r>
    </w:p>
    <w:p w14:paraId="77B31BE8">
      <w:pPr>
        <w:pageBreakBefore w:val="0"/>
        <w:widowControl/>
        <w:kinsoku/>
        <w:overflowPunct/>
        <w:topLinePunct w:val="0"/>
        <w:autoSpaceDN/>
        <w:bidi w:val="0"/>
        <w:adjustRightInd/>
        <w:snapToGrid w:val="0"/>
        <w:spacing w:line="20" w:lineRule="atLeast"/>
        <w:ind w:firstLine="480" w:firstLineChars="200"/>
        <w:rPr>
          <w:rFonts w:hint="default" w:ascii="方正仿宋_GBK" w:hAnsi="方正仿宋_GBK" w:eastAsia="方正仿宋_GBK" w:cs="方正仿宋_GBK"/>
          <w:sz w:val="32"/>
          <w:szCs w:val="32"/>
          <w:shd w:val="clear" w:color="auto" w:fill="FFFFFF"/>
          <w:lang w:val="en-US" w:eastAsia="zh-CN" w:bidi="ar-SA"/>
        </w:rPr>
      </w:pPr>
      <w:r>
        <w:t> </w:t>
      </w:r>
      <w:r>
        <w:rPr>
          <w:rFonts w:hint="eastAsia" w:ascii="宋体" w:hAnsi="宋体" w:eastAsia="宋体" w:cs="宋体"/>
          <w:sz w:val="28"/>
          <w:szCs w:val="28"/>
          <w:shd w:val="clear" w:color="auto" w:fill="FFFFFF"/>
          <w:lang w:val="en-US" w:eastAsia="zh-CN" w:bidi="ar-SA"/>
        </w:rPr>
        <w:t>本单位2023年度无国有资本经营预算财政拨款支出。</w:t>
      </w:r>
    </w:p>
    <w:p w14:paraId="1527C636">
      <w:pPr>
        <w:pStyle w:val="4"/>
        <w:pageBreakBefore w:val="0"/>
        <w:widowControl/>
        <w:kinsoku/>
        <w:overflowPunct/>
        <w:topLinePunct w:val="0"/>
        <w:autoSpaceDN/>
        <w:bidi w:val="0"/>
        <w:adjustRightInd/>
        <w:snapToGrid w:val="0"/>
        <w:spacing w:line="20" w:lineRule="atLeast"/>
        <w:rPr>
          <w:rFonts w:hint="eastAsia" w:ascii="宋体" w:hAnsi="宋体" w:eastAsia="宋体" w:cs="宋体"/>
          <w:sz w:val="32"/>
          <w:szCs w:val="32"/>
        </w:rPr>
      </w:pPr>
      <w:r>
        <w:rPr>
          <w:rFonts w:hint="eastAsia" w:ascii="宋体" w:hAnsi="宋体" w:eastAsia="宋体" w:cs="宋体"/>
        </w:rPr>
        <w:t>三、“三公”经费情况说明</w:t>
      </w:r>
    </w:p>
    <w:p w14:paraId="49D9D986">
      <w:pPr>
        <w:pStyle w:val="15"/>
        <w:pageBreakBefore w:val="0"/>
        <w:widowControl/>
        <w:kinsoku/>
        <w:overflowPunct/>
        <w:topLinePunct w:val="0"/>
        <w:autoSpaceDE w:val="0"/>
        <w:autoSpaceDN/>
        <w:bidi w:val="0"/>
        <w:adjustRightInd/>
        <w:snapToGrid w:val="0"/>
        <w:spacing w:line="20" w:lineRule="atLeast"/>
        <w:ind w:left="0" w:leftChars="0" w:firstLine="562" w:firstLineChars="2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（一）“三公”经费支出总体情况说明</w:t>
      </w:r>
    </w:p>
    <w:p w14:paraId="1F27983A">
      <w:pPr>
        <w:pageBreakBefore w:val="0"/>
        <w:widowControl/>
        <w:kinsoku/>
        <w:overflowPunct/>
        <w:topLinePunct w:val="0"/>
        <w:autoSpaceDN/>
        <w:bidi w:val="0"/>
        <w:adjustRightInd/>
        <w:snapToGrid w:val="0"/>
        <w:spacing w:line="20" w:lineRule="atLeast"/>
        <w:ind w:firstLine="560" w:firstLineChars="200"/>
        <w:rPr>
          <w:rFonts w:hint="default" w:ascii="方正仿宋_GBK" w:hAnsi="方正仿宋_GBK" w:eastAsia="方正仿宋_GBK" w:cs="方正仿宋_GBK"/>
          <w:sz w:val="28"/>
          <w:szCs w:val="28"/>
        </w:rPr>
      </w:pPr>
      <w:r>
        <w:rPr>
          <w:rFonts w:hint="eastAsia" w:ascii="宋体" w:hAnsi="宋体" w:eastAsia="宋体" w:cs="宋体"/>
          <w:sz w:val="28"/>
          <w:szCs w:val="28"/>
          <w:shd w:val="clear" w:color="auto" w:fill="FFFFFF"/>
          <w:lang w:val="en-US" w:eastAsia="zh-CN" w:bidi="ar-SA"/>
        </w:rPr>
        <w:t>2023年度“三公”经费支出共计3.20万元，较年初预算数无增减，主要原因是我单位严格控制三公经费支出。较上年支出数减少7.10万元，下降68.93%，主要原因是落实政府过“紧日子”要求，严格控制“三公”经费支出。</w:t>
      </w:r>
    </w:p>
    <w:p w14:paraId="0F308B63">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（二）“三公”经费分项支出情况</w:t>
      </w:r>
    </w:p>
    <w:p w14:paraId="600F4F85">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2023年度本单位因公出国（境）费用0.00万元。我单位2023年度未发生因公出国（境）支出。</w:t>
      </w:r>
    </w:p>
    <w:p w14:paraId="07C8A1CE">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公务车购置费0.00万元。我单位2023年未发生公车购置费用。</w:t>
      </w:r>
    </w:p>
    <w:p w14:paraId="2B8685D8">
      <w:pPr>
        <w:keepNext/>
        <w:keepLines/>
        <w:pageBreakBefore w:val="0"/>
        <w:widowControl/>
        <w:suppressLineNumbers/>
        <w:kinsoku/>
        <w:overflowPunct/>
        <w:topLinePunct w:val="0"/>
        <w:autoSpaceDN/>
        <w:bidi w:val="0"/>
        <w:adjustRightInd/>
        <w:snapToGrid w:val="0"/>
        <w:spacing w:line="20" w:lineRule="atLeast"/>
        <w:ind w:firstLine="560"/>
        <w:jc w:val="left"/>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公务车运行维护费2.50万元，主要用于车辆用油、过路费、保险费等费用支出。费用支出较年初预算数无增减，主要原因是落实政府过“紧日子”要求，严格控制公车支出。较上年支出数减少7.11万元，下降73.99%，主要原因是落实政府过“紧日子”要求，严格控制公车支出。</w:t>
      </w:r>
    </w:p>
    <w:p w14:paraId="46BEB047">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公务接待费0.70万元，主要用于接待市级部门巡查</w:t>
      </w:r>
      <w:r>
        <w:rPr>
          <w:rFonts w:hint="eastAsia" w:cs="宋体"/>
          <w:sz w:val="28"/>
          <w:szCs w:val="28"/>
          <w:shd w:val="clear" w:color="auto" w:fill="FFFFFF"/>
          <w:lang w:val="en-US" w:eastAsia="zh-CN" w:bidi="ar-SA"/>
        </w:rPr>
        <w:t>等</w:t>
      </w:r>
      <w:r>
        <w:rPr>
          <w:rFonts w:hint="eastAsia" w:ascii="宋体" w:hAnsi="宋体" w:eastAsia="宋体" w:cs="宋体"/>
          <w:sz w:val="28"/>
          <w:szCs w:val="28"/>
          <w:shd w:val="clear" w:color="auto" w:fill="FFFFFF"/>
          <w:lang w:val="en-US" w:eastAsia="zh-CN" w:bidi="ar-SA"/>
        </w:rPr>
        <w:t>。费用支出较年初预算数无增减，主要原因是落实政府过“紧日子”要求，严格控制公务接待次数。较上年支出数增加0.01万元，增长1.45%，主要原因是本年接待人数增加1人。</w:t>
      </w:r>
    </w:p>
    <w:p w14:paraId="57DDD615">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（三）“三公”经费实物量情况</w:t>
      </w:r>
    </w:p>
    <w:p w14:paraId="03F7A3B0">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2023年度本单位因公出国（境）共计0个团组，0人；公务用车购置0辆，公务车保有量为3辆；国内公务接待32批次50人，其中：国内外事接待0批次，0人；国（境）外公务接待0批次，0人。2023年本单位人均接待费139.89元，车均购置费0万元，车均维护费0.83万元。</w:t>
      </w:r>
    </w:p>
    <w:p w14:paraId="243F2B28">
      <w:pPr>
        <w:pStyle w:val="4"/>
        <w:pageBreakBefore w:val="0"/>
        <w:widowControl/>
        <w:kinsoku/>
        <w:overflowPunct/>
        <w:topLinePunct w:val="0"/>
        <w:autoSpaceDN/>
        <w:bidi w:val="0"/>
        <w:adjustRightInd/>
        <w:snapToGrid w:val="0"/>
        <w:spacing w:line="20" w:lineRule="atLeast"/>
        <w:rPr>
          <w:rFonts w:hint="eastAsia" w:ascii="宋体" w:hAnsi="宋体" w:eastAsia="宋体" w:cs="宋体"/>
        </w:rPr>
      </w:pPr>
      <w:r>
        <w:rPr>
          <w:rFonts w:hint="eastAsia" w:ascii="宋体" w:hAnsi="宋体" w:eastAsia="宋体" w:cs="宋体"/>
        </w:rPr>
        <w:t>四、其他需要说明的事项</w:t>
      </w:r>
    </w:p>
    <w:p w14:paraId="4A9243D0">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（一）财政拨款会议费和培训费情况说明</w:t>
      </w:r>
    </w:p>
    <w:p w14:paraId="63372C7A">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本年度会议费支出0.20万元，较上年决算数增加0.05万元，增长33.33%，主要原因是本年会议次数有所增加。本年度培训费支出2.00万元，较上年决算数减少0.10万元，下降4.76%，主要原因是本年培训事项有所减少。</w:t>
      </w:r>
    </w:p>
    <w:p w14:paraId="27595FD9">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（二）机关运行经费情况说明</w:t>
      </w:r>
    </w:p>
    <w:p w14:paraId="5ED8C373">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2023年度本单位机关运行经费支出47.09万元，机关运行经费主要用于开支局机关商品和服务支出。机关运行经费较上年支出数减少1.52万元，下降3.13%，主要原因是响应政府过“紧日子”要求，节省机关运行开支。</w:t>
      </w:r>
    </w:p>
    <w:p w14:paraId="6A9809CF">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（三）国有资产占用情况说明</w:t>
      </w:r>
    </w:p>
    <w:p w14:paraId="4D60D16C">
      <w:pPr>
        <w:pStyle w:val="10"/>
        <w:pageBreakBefore w:val="0"/>
        <w:widowControl/>
        <w:kinsoku/>
        <w:overflowPunct/>
        <w:topLinePunct w:val="0"/>
        <w:autoSpaceDN/>
        <w:bidi w:val="0"/>
        <w:adjustRightInd/>
        <w:snapToGrid w:val="0"/>
        <w:spacing w:before="0" w:beforeAutospacing="0" w:after="0" w:afterAutospacing="0" w:line="20" w:lineRule="atLeast"/>
        <w:ind w:firstLine="560"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截至2023年12月31日，本单位共有车辆3辆，其中，副部（省）级及以上领导用车0辆、主要负责人用车0辆、机要通信用车0辆、应急保障用车3辆、执法执勤用车0辆，特种专业技术用车0辆，离退休干部用车0辆。单价100万元（含）以上专用设备0台（套）。</w:t>
      </w:r>
    </w:p>
    <w:p w14:paraId="099CB4EC">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lang w:eastAsia="zh-CN"/>
        </w:rPr>
        <w:t>（四）</w:t>
      </w:r>
      <w:r>
        <w:rPr>
          <w:rFonts w:hint="eastAsia" w:ascii="宋体" w:hAnsi="宋体" w:eastAsia="宋体" w:cs="宋体"/>
          <w:b/>
          <w:bCs/>
          <w:sz w:val="28"/>
          <w:szCs w:val="28"/>
          <w:shd w:val="clear" w:color="auto" w:fill="FFFFFF"/>
        </w:rPr>
        <w:t>政府采购支出情况说明</w:t>
      </w:r>
    </w:p>
    <w:p w14:paraId="6034CD14">
      <w:pPr>
        <w:pStyle w:val="15"/>
        <w:pageBreakBefore w:val="0"/>
        <w:widowControl/>
        <w:numPr>
          <w:ilvl w:val="0"/>
          <w:numId w:val="0"/>
        </w:numPr>
        <w:kinsoku/>
        <w:overflowPunct/>
        <w:topLinePunct w:val="0"/>
        <w:autoSpaceDE w:val="0"/>
        <w:autoSpaceDN/>
        <w:bidi w:val="0"/>
        <w:adjustRightInd/>
        <w:snapToGrid w:val="0"/>
        <w:spacing w:line="20" w:lineRule="atLeast"/>
        <w:ind w:firstLine="560" w:firstLineChars="200"/>
        <w:rPr>
          <w:rFonts w:hint="default"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2023年度本单位政府采购支出总额16150.43万元，其中：政府采购货物支出2.22万元、政府采购工程支出15667.62万元、政府采购服务支出480.60万元。授予中小企业合同金额16150.43万元，占政府采购支出总额的100.00%，其中：授予小微企业合同金额2.22万元，占政府采购支出总额的0.01 %。主要用于采购全县农村饮水安全运维管理服务。</w:t>
      </w:r>
    </w:p>
    <w:p w14:paraId="667109FF">
      <w:pPr>
        <w:pStyle w:val="4"/>
        <w:pageBreakBefore w:val="0"/>
        <w:widowControl/>
        <w:numPr>
          <w:ilvl w:val="0"/>
          <w:numId w:val="1"/>
        </w:numPr>
        <w:kinsoku/>
        <w:overflowPunct/>
        <w:topLinePunct w:val="0"/>
        <w:autoSpaceDN/>
        <w:bidi w:val="0"/>
        <w:adjustRightInd/>
        <w:snapToGrid w:val="0"/>
        <w:spacing w:line="20" w:lineRule="atLeast"/>
        <w:rPr>
          <w:rFonts w:hint="eastAsia" w:ascii="宋体" w:hAnsi="宋体" w:eastAsia="宋体" w:cs="宋体"/>
        </w:rPr>
      </w:pPr>
      <w:r>
        <w:rPr>
          <w:rFonts w:hint="eastAsia" w:ascii="宋体" w:hAnsi="宋体" w:eastAsia="宋体" w:cs="宋体"/>
        </w:rPr>
        <w:t>预算绩效管理情况说明</w:t>
      </w:r>
    </w:p>
    <w:p w14:paraId="1D075A92">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（一）单位自评情况</w:t>
      </w:r>
    </w:p>
    <w:p w14:paraId="7D039FFF">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根据预算绩效管理要求，我单位对一个一级项目开展了绩效自评，涉及财政拨款项目支出资金496万元。</w:t>
      </w:r>
    </w:p>
    <w:p w14:paraId="56C40A11">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（二）单位绩效评价情况</w:t>
      </w:r>
    </w:p>
    <w:p w14:paraId="739AD603">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我单位对农村饮水安全实施运行管理维修养护项目开展了绩效评价，涉及财政拨款项目资金496万元，评价得分81.125分，评价等次为良，绩效评价发现了绩效目标未细化、实际实现目标于绩效目标偏差较大等主要问题，提出加强绩效目标编制的管理、加强制度执行的有效管理等下一步工作建议。</w:t>
      </w:r>
    </w:p>
    <w:p w14:paraId="67B8E1DB">
      <w:pPr>
        <w:pStyle w:val="15"/>
        <w:pageBreakBefore w:val="0"/>
        <w:widowControl/>
        <w:kinsoku/>
        <w:overflowPunct/>
        <w:topLinePunct w:val="0"/>
        <w:autoSpaceDE w:val="0"/>
        <w:autoSpaceDN/>
        <w:bidi w:val="0"/>
        <w:adjustRightInd/>
        <w:snapToGrid w:val="0"/>
        <w:spacing w:line="20" w:lineRule="atLeast"/>
        <w:ind w:firstLine="643"/>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lang w:eastAsia="zh-CN"/>
        </w:rPr>
        <w:t>（三）财政绩效评价情况</w:t>
      </w:r>
    </w:p>
    <w:p w14:paraId="0705F58F">
      <w:pPr>
        <w:pageBreakBefore w:val="0"/>
        <w:widowControl/>
        <w:numPr>
          <w:ilvl w:val="0"/>
          <w:numId w:val="0"/>
        </w:numPr>
        <w:kinsoku/>
        <w:overflowPunct/>
        <w:topLinePunct w:val="0"/>
        <w:autoSpaceDN/>
        <w:bidi w:val="0"/>
        <w:adjustRightInd/>
        <w:snapToGrid w:val="0"/>
        <w:spacing w:line="20" w:lineRule="atLeast"/>
        <w:ind w:firstLine="280" w:firstLineChars="100"/>
        <w:rPr>
          <w:rFonts w:hint="eastAsia" w:ascii="宋体" w:hAnsi="宋体" w:eastAsia="宋体" w:cs="宋体"/>
          <w:sz w:val="28"/>
          <w:szCs w:val="28"/>
          <w:shd w:val="clear" w:color="auto" w:fill="FFFFFF"/>
          <w:lang w:val="en-US" w:eastAsia="zh-CN" w:bidi="ar-SA"/>
        </w:rPr>
      </w:pPr>
      <w:r>
        <w:rPr>
          <w:rFonts w:hint="eastAsia" w:ascii="宋体" w:hAnsi="宋体" w:eastAsia="宋体" w:cs="宋体"/>
          <w:sz w:val="28"/>
          <w:szCs w:val="28"/>
          <w:shd w:val="clear" w:color="auto" w:fill="FFFFFF"/>
          <w:lang w:val="en-US" w:eastAsia="zh-CN" w:bidi="ar-SA"/>
        </w:rPr>
        <w:t>市财政局未委托第三方对我单位开展绩效评价。</w:t>
      </w:r>
    </w:p>
    <w:p w14:paraId="4AC1493E">
      <w:pPr>
        <w:pStyle w:val="15"/>
        <w:pageBreakBefore w:val="0"/>
        <w:widowControl/>
        <w:kinsoku/>
        <w:overflowPunct/>
        <w:topLinePunct w:val="0"/>
        <w:autoSpaceDE w:val="0"/>
        <w:autoSpaceDN/>
        <w:bidi w:val="0"/>
        <w:adjustRightInd/>
        <w:snapToGrid w:val="0"/>
        <w:spacing w:line="20" w:lineRule="atLeast"/>
        <w:ind w:firstLine="643"/>
        <w:rPr>
          <w:rFonts w:ascii="楷体" w:hAnsi="楷体" w:eastAsia="楷体" w:cs="楷体"/>
          <w:b/>
          <w:bCs/>
          <w:sz w:val="32"/>
          <w:szCs w:val="32"/>
          <w:shd w:val="clear" w:color="auto" w:fill="FFFFFF"/>
        </w:rPr>
      </w:pPr>
    </w:p>
    <w:p w14:paraId="0C9518D2">
      <w:pPr>
        <w:pStyle w:val="4"/>
        <w:pageBreakBefore w:val="0"/>
        <w:widowControl/>
        <w:kinsoku/>
        <w:overflowPunct/>
        <w:topLinePunct w:val="0"/>
        <w:autoSpaceDN/>
        <w:bidi w:val="0"/>
        <w:adjustRightInd/>
        <w:snapToGrid w:val="0"/>
        <w:spacing w:line="20" w:lineRule="atLeast"/>
        <w:rPr>
          <w:rFonts w:hint="default"/>
        </w:rPr>
      </w:pPr>
      <w:r>
        <w:t>  六、专业名词解释</w:t>
      </w:r>
    </w:p>
    <w:p w14:paraId="5C71F7EB">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（一）财政拨款收入</w:t>
      </w:r>
      <w:r>
        <w:rPr>
          <w:rFonts w:hint="eastAsia" w:ascii="宋体" w:hAnsi="宋体" w:eastAsia="宋体" w:cs="宋体"/>
          <w:sz w:val="28"/>
          <w:szCs w:val="28"/>
          <w:shd w:val="clear" w:color="auto" w:fill="FFFFFF"/>
          <w:lang w:val="en-US" w:eastAsia="zh-CN" w:bidi="ar-SA"/>
        </w:rPr>
        <w:t>：指本年度从本级财政部门取得的财政拨款，包括一般公共预算财政拨款和政府性基金预算财政拨款。</w:t>
      </w:r>
    </w:p>
    <w:p w14:paraId="46C79F9E">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（二）事业收入</w:t>
      </w:r>
      <w:r>
        <w:rPr>
          <w:rFonts w:hint="eastAsia" w:ascii="宋体" w:hAnsi="宋体" w:eastAsia="宋体" w:cs="宋体"/>
          <w:sz w:val="28"/>
          <w:szCs w:val="28"/>
          <w:shd w:val="clear" w:color="auto" w:fill="FFFFFF"/>
          <w:lang w:val="en-US" w:eastAsia="zh-CN" w:bidi="ar-SA"/>
        </w:rPr>
        <w:t>：指事业单位开展专业业务活动及其辅助活动取得的现金流入；事业单位收到的财政专户实际核拨的教育收费等资金在此反映。</w:t>
      </w:r>
    </w:p>
    <w:p w14:paraId="21C07DC6">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（三）经营收入</w:t>
      </w:r>
      <w:r>
        <w:rPr>
          <w:rFonts w:hint="eastAsia" w:ascii="宋体" w:hAnsi="宋体" w:eastAsia="宋体" w:cs="宋体"/>
          <w:sz w:val="28"/>
          <w:szCs w:val="28"/>
          <w:shd w:val="clear" w:color="auto" w:fill="FFFFFF"/>
          <w:lang w:val="en-US" w:eastAsia="zh-CN" w:bidi="ar-SA"/>
        </w:rPr>
        <w:t>：指事业单位在专业业务活动及其辅助活动之外开展非独立核算经营活动取得的现金流入。</w:t>
      </w:r>
    </w:p>
    <w:p w14:paraId="15BC923B">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（四）其他收入</w:t>
      </w:r>
      <w:r>
        <w:rPr>
          <w:rFonts w:hint="eastAsia" w:ascii="宋体" w:hAnsi="宋体" w:eastAsia="宋体" w:cs="宋体"/>
          <w:sz w:val="28"/>
          <w:szCs w:val="28"/>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2FFE2BC">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（五）使用非财政拨款结余</w:t>
      </w:r>
      <w:r>
        <w:rPr>
          <w:rFonts w:hint="eastAsia" w:ascii="宋体" w:hAnsi="宋体" w:eastAsia="宋体" w:cs="宋体"/>
          <w:sz w:val="28"/>
          <w:szCs w:val="28"/>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5BB3B358">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（六）年初结转和结余</w:t>
      </w:r>
      <w:r>
        <w:rPr>
          <w:rFonts w:hint="eastAsia" w:ascii="宋体" w:hAnsi="宋体" w:eastAsia="宋体" w:cs="宋体"/>
          <w:sz w:val="28"/>
          <w:szCs w:val="28"/>
          <w:shd w:val="clear" w:color="auto" w:fill="FFFFFF"/>
          <w:lang w:val="en-US" w:eastAsia="zh-CN" w:bidi="ar-SA"/>
        </w:rPr>
        <w:t>：指单位上年结转本年使用的基本支出结转、项目支出结转和结余、经营结余。</w:t>
      </w:r>
    </w:p>
    <w:p w14:paraId="5EC1CFB1">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（七）结余分配</w:t>
      </w:r>
      <w:r>
        <w:rPr>
          <w:rFonts w:hint="eastAsia" w:ascii="宋体" w:hAnsi="宋体" w:eastAsia="宋体" w:cs="宋体"/>
          <w:sz w:val="28"/>
          <w:szCs w:val="28"/>
          <w:shd w:val="clear" w:color="auto" w:fill="FFFFFF"/>
          <w:lang w:val="en-US" w:eastAsia="zh-CN" w:bidi="ar-SA"/>
        </w:rPr>
        <w:t>：指单位按照国家有关规定，缴纳所得税、提取专用基金、转入非财政拨款结余等当年结余的分配情况。</w:t>
      </w:r>
    </w:p>
    <w:p w14:paraId="27C27DC5">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（八）年末结转和结余</w:t>
      </w:r>
      <w:r>
        <w:rPr>
          <w:rFonts w:hint="eastAsia" w:ascii="宋体" w:hAnsi="宋体" w:eastAsia="宋体" w:cs="宋体"/>
          <w:sz w:val="28"/>
          <w:szCs w:val="28"/>
          <w:shd w:val="clear" w:color="auto" w:fill="FFFFFF"/>
          <w:lang w:val="en-US" w:eastAsia="zh-CN" w:bidi="ar-SA"/>
        </w:rPr>
        <w:t>：指单位结转下年的基本支出结转、项目支出结转和结余、经营结余。</w:t>
      </w:r>
    </w:p>
    <w:p w14:paraId="6ABE99A7">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（九）基本支出</w:t>
      </w:r>
      <w:r>
        <w:rPr>
          <w:rFonts w:hint="eastAsia" w:ascii="宋体" w:hAnsi="宋体" w:eastAsia="宋体" w:cs="宋体"/>
          <w:sz w:val="28"/>
          <w:szCs w:val="28"/>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141F82">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（十）项目支出</w:t>
      </w:r>
      <w:r>
        <w:rPr>
          <w:rFonts w:hint="eastAsia" w:ascii="宋体" w:hAnsi="宋体" w:eastAsia="宋体" w:cs="宋体"/>
          <w:sz w:val="28"/>
          <w:szCs w:val="28"/>
          <w:shd w:val="clear" w:color="auto" w:fill="FFFFFF"/>
          <w:lang w:val="en-US" w:eastAsia="zh-CN" w:bidi="ar-SA"/>
        </w:rPr>
        <w:t>：指在基本支出之外为完成特定行政任务和事业发展目标所发生的支出。</w:t>
      </w:r>
    </w:p>
    <w:p w14:paraId="1965583A">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（十一）经营支出</w:t>
      </w:r>
      <w:r>
        <w:rPr>
          <w:rFonts w:hint="eastAsia" w:ascii="宋体" w:hAnsi="宋体" w:eastAsia="宋体" w:cs="宋体"/>
          <w:sz w:val="28"/>
          <w:szCs w:val="28"/>
          <w:shd w:val="clear" w:color="auto" w:fill="FFFFFF"/>
          <w:lang w:val="en-US" w:eastAsia="zh-CN" w:bidi="ar-SA"/>
        </w:rPr>
        <w:t>：指事业单位在专业业务活动及其辅助活动之外开展非独立核算经营活动发生的支出。</w:t>
      </w:r>
    </w:p>
    <w:p w14:paraId="50B5B2C7">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（十二）“三公”经费</w:t>
      </w:r>
      <w:r>
        <w:rPr>
          <w:rFonts w:hint="eastAsia" w:ascii="宋体" w:hAnsi="宋体" w:eastAsia="宋体" w:cs="宋体"/>
          <w:sz w:val="28"/>
          <w:szCs w:val="28"/>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FBE7BB">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（十三）机关运行经费</w:t>
      </w:r>
      <w:r>
        <w:rPr>
          <w:rFonts w:hint="eastAsia" w:ascii="宋体" w:hAnsi="宋体" w:eastAsia="宋体" w:cs="宋体"/>
          <w:sz w:val="28"/>
          <w:szCs w:val="28"/>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FE1B1A">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（十四）工资福利支出（支出经济分类科目类级）</w:t>
      </w:r>
      <w:r>
        <w:rPr>
          <w:rFonts w:hint="eastAsia" w:ascii="宋体" w:hAnsi="宋体" w:eastAsia="宋体" w:cs="宋体"/>
          <w:sz w:val="28"/>
          <w:szCs w:val="28"/>
          <w:shd w:val="clear" w:color="auto" w:fill="FFFFFF"/>
          <w:lang w:val="en-US" w:eastAsia="zh-CN" w:bidi="ar-SA"/>
        </w:rPr>
        <w:t>：反映单位开支的在职职工和编制外长期聘用人员的各类劳动报酬，以及为上述人员缴纳的各项社会保险费等。</w:t>
      </w:r>
    </w:p>
    <w:p w14:paraId="511C48B3">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（十五）商品和服务支出（支出经济分类科目类级）</w:t>
      </w:r>
      <w:r>
        <w:rPr>
          <w:rFonts w:hint="eastAsia" w:ascii="宋体" w:hAnsi="宋体" w:eastAsia="宋体" w:cs="宋体"/>
          <w:sz w:val="28"/>
          <w:szCs w:val="28"/>
          <w:shd w:val="clear" w:color="auto" w:fill="FFFFFF"/>
          <w:lang w:val="en-US" w:eastAsia="zh-CN" w:bidi="ar-SA"/>
        </w:rPr>
        <w:t>：反映单位购买商品和服务的支出（不包括用于购置固定资产的支出、战略性和应急储备支出）。</w:t>
      </w:r>
    </w:p>
    <w:p w14:paraId="4DC6061C">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（十六）对个人和家庭的补助（支出经济分类科目类级）</w:t>
      </w:r>
      <w:r>
        <w:rPr>
          <w:rFonts w:hint="eastAsia" w:ascii="宋体" w:hAnsi="宋体" w:eastAsia="宋体" w:cs="宋体"/>
          <w:sz w:val="28"/>
          <w:szCs w:val="28"/>
          <w:shd w:val="clear" w:color="auto" w:fill="FFFFFF"/>
          <w:lang w:val="en-US" w:eastAsia="zh-CN" w:bidi="ar-SA"/>
        </w:rPr>
        <w:t>：反映用于对个人和家庭的补助支出。</w:t>
      </w:r>
    </w:p>
    <w:p w14:paraId="32DD5DB4">
      <w:pPr>
        <w:pStyle w:val="10"/>
        <w:pageBreakBefore w:val="0"/>
        <w:widowControl/>
        <w:kinsoku/>
        <w:overflowPunct/>
        <w:topLinePunct w:val="0"/>
        <w:autoSpaceDN/>
        <w:bidi w:val="0"/>
        <w:adjustRightInd/>
        <w:snapToGrid w:val="0"/>
        <w:spacing w:before="0" w:beforeAutospacing="0" w:after="0" w:afterAutospacing="0" w:line="20" w:lineRule="atLeast"/>
        <w:ind w:firstLine="562" w:firstLineChars="200"/>
        <w:jc w:val="both"/>
        <w:rPr>
          <w:rFonts w:hint="default" w:ascii="宋体" w:hAnsi="宋体" w:eastAsia="宋体" w:cs="宋体"/>
          <w:sz w:val="28"/>
          <w:szCs w:val="28"/>
          <w:shd w:val="clear" w:color="auto" w:fill="FFFFFF"/>
          <w:lang w:val="en-US" w:eastAsia="zh-CN" w:bidi="ar-SA"/>
        </w:rPr>
      </w:pPr>
      <w:r>
        <w:rPr>
          <w:rFonts w:hint="eastAsia" w:ascii="宋体" w:hAnsi="宋体" w:eastAsia="宋体" w:cs="宋体"/>
          <w:b/>
          <w:bCs/>
          <w:sz w:val="28"/>
          <w:szCs w:val="28"/>
          <w:shd w:val="clear" w:color="auto" w:fill="FFFFFF"/>
          <w:lang w:val="en-US" w:eastAsia="zh-CN" w:bidi="ar-SA"/>
        </w:rPr>
        <w:t>（十七）其他资本性支出（支出经济分类科目类级）</w:t>
      </w:r>
      <w:r>
        <w:rPr>
          <w:rFonts w:hint="eastAsia" w:ascii="宋体" w:hAnsi="宋体" w:eastAsia="宋体" w:cs="宋体"/>
          <w:sz w:val="28"/>
          <w:szCs w:val="28"/>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14:paraId="0A6DA7E6">
      <w:pPr>
        <w:pStyle w:val="3"/>
        <w:pageBreakBefore w:val="0"/>
        <w:widowControl/>
        <w:kinsoku/>
        <w:overflowPunct/>
        <w:topLinePunct w:val="0"/>
        <w:autoSpaceDN/>
        <w:bidi w:val="0"/>
        <w:adjustRightInd/>
        <w:snapToGrid w:val="0"/>
        <w:spacing w:line="20" w:lineRule="atLeast"/>
        <w:rPr>
          <w:rStyle w:val="20"/>
          <w:rFonts w:hint="eastAsia" w:ascii="宋体" w:hAnsi="宋体" w:eastAsia="宋体" w:cs="宋体"/>
          <w:b/>
          <w:bCs w:val="0"/>
        </w:rPr>
      </w:pPr>
      <w:r>
        <w:rPr>
          <w:rStyle w:val="14"/>
          <w:rFonts w:hint="eastAsia" w:ascii="宋体" w:hAnsi="宋体" w:eastAsia="宋体" w:cs="宋体"/>
          <w:b w:val="0"/>
          <w:bCs/>
          <w:sz w:val="32"/>
          <w:szCs w:val="32"/>
          <w:shd w:val="clear" w:color="auto" w:fill="FFFFFF"/>
        </w:rPr>
        <w:t> </w:t>
      </w:r>
      <w:r>
        <w:rPr>
          <w:rStyle w:val="20"/>
          <w:rFonts w:hint="eastAsia" w:ascii="宋体" w:hAnsi="宋体" w:eastAsia="宋体" w:cs="宋体"/>
          <w:b w:val="0"/>
          <w:bCs/>
        </w:rPr>
        <w:t xml:space="preserve"> </w:t>
      </w:r>
      <w:r>
        <w:rPr>
          <w:rStyle w:val="20"/>
          <w:rFonts w:hint="eastAsia" w:ascii="宋体" w:hAnsi="宋体" w:eastAsia="宋体" w:cs="宋体"/>
          <w:b/>
          <w:bCs w:val="0"/>
        </w:rPr>
        <w:t>七、决算公开联系方式及信息反馈渠道</w:t>
      </w:r>
    </w:p>
    <w:p w14:paraId="7A419A3E">
      <w:pPr>
        <w:pStyle w:val="3"/>
        <w:pageBreakBefore w:val="0"/>
        <w:widowControl/>
        <w:kinsoku/>
        <w:overflowPunct/>
        <w:topLinePunct w:val="0"/>
        <w:autoSpaceDN/>
        <w:bidi w:val="0"/>
        <w:adjustRightInd/>
        <w:snapToGrid w:val="0"/>
        <w:spacing w:line="20" w:lineRule="atLeast"/>
        <w:ind w:firstLine="560" w:firstLineChars="200"/>
        <w:rPr>
          <w:rFonts w:hint="default" w:ascii="宋体" w:hAnsi="宋体" w:eastAsia="宋体" w:cs="宋体"/>
          <w:b w:val="0"/>
          <w:bCs/>
          <w:sz w:val="28"/>
          <w:szCs w:val="28"/>
          <w:shd w:val="clear" w:color="auto" w:fill="FFFFFF"/>
          <w:lang w:val="en-US" w:eastAsia="zh-CN" w:bidi="ar-SA"/>
        </w:rPr>
      </w:pPr>
      <w:r>
        <w:rPr>
          <w:rFonts w:hint="eastAsia" w:ascii="宋体" w:hAnsi="宋体" w:eastAsia="宋体" w:cs="宋体"/>
          <w:b w:val="0"/>
          <w:bCs/>
          <w:sz w:val="28"/>
          <w:szCs w:val="28"/>
          <w:shd w:val="clear" w:color="auto" w:fill="FFFFFF"/>
          <w:lang w:val="en-US" w:eastAsia="zh-CN" w:bidi="ar-SA"/>
        </w:rPr>
        <w:t>本单位决算公开信息反馈和联系方式：023-73327786</w:t>
      </w:r>
    </w:p>
    <w:p w14:paraId="76C9AB27">
      <w:pPr>
        <w:pStyle w:val="10"/>
        <w:pageBreakBefore w:val="0"/>
        <w:widowControl/>
        <w:kinsoku/>
        <w:overflowPunct/>
        <w:topLinePunct w:val="0"/>
        <w:autoSpaceDN/>
        <w:bidi w:val="0"/>
        <w:adjustRightInd/>
        <w:snapToGrid w:val="0"/>
        <w:spacing w:line="20" w:lineRule="atLeast"/>
        <w:rPr>
          <w:rFonts w:hint="default"/>
        </w:rPr>
      </w:pPr>
    </w:p>
    <w:tbl>
      <w:tblPr>
        <w:tblStyle w:val="11"/>
        <w:tblW w:w="5005" w:type="pct"/>
        <w:tblInd w:w="0" w:type="dxa"/>
        <w:tblLayout w:type="autofit"/>
        <w:tblCellMar>
          <w:top w:w="0" w:type="dxa"/>
          <w:left w:w="0" w:type="dxa"/>
          <w:bottom w:w="0" w:type="dxa"/>
          <w:right w:w="0" w:type="dxa"/>
        </w:tblCellMar>
      </w:tblPr>
      <w:tblGrid>
        <w:gridCol w:w="4420"/>
        <w:gridCol w:w="1743"/>
        <w:gridCol w:w="4149"/>
        <w:gridCol w:w="2970"/>
      </w:tblGrid>
      <w:tr w14:paraId="3BEF18F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595AC7">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收入支出决算总表</w:t>
            </w:r>
          </w:p>
        </w:tc>
      </w:tr>
      <w:tr w14:paraId="3D040C0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858697D">
            <w:pPr>
              <w:pageBreakBefore w:val="0"/>
              <w:widowControl/>
              <w:kinsoku/>
              <w:overflowPunct/>
              <w:topLinePunct w:val="0"/>
              <w:autoSpaceDN/>
              <w:bidi w:val="0"/>
              <w:adjustRightInd/>
              <w:snapToGrid w:val="0"/>
              <w:spacing w:line="20" w:lineRule="atLeas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4CE1992">
            <w:pPr>
              <w:pageBreakBefore w:val="0"/>
              <w:widowControl/>
              <w:kinsoku/>
              <w:overflowPunct/>
              <w:topLinePunct w:val="0"/>
              <w:autoSpaceDN/>
              <w:bidi w:val="0"/>
              <w:adjustRightInd/>
              <w:snapToGrid w:val="0"/>
              <w:spacing w:line="20" w:lineRule="atLeas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E0A40ED">
            <w:pPr>
              <w:pageBreakBefore w:val="0"/>
              <w:widowControl/>
              <w:kinsoku/>
              <w:overflowPunct/>
              <w:topLinePunct w:val="0"/>
              <w:autoSpaceDN/>
              <w:bidi w:val="0"/>
              <w:adjustRightInd/>
              <w:snapToGrid w:val="0"/>
              <w:spacing w:line="20" w:lineRule="atLeas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55E475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公开01表</w:t>
            </w:r>
          </w:p>
        </w:tc>
      </w:tr>
      <w:tr w14:paraId="2190B6D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EFCAC2A">
            <w:pPr>
              <w:pageBreakBefore w:val="0"/>
              <w:widowControl/>
              <w:kinsoku/>
              <w:overflowPunct/>
              <w:topLinePunct w:val="0"/>
              <w:autoSpaceDN/>
              <w:bidi w:val="0"/>
              <w:adjustRightInd/>
              <w:snapToGrid w:val="0"/>
              <w:spacing w:line="20" w:lineRule="atLeast"/>
              <w:rPr>
                <w:rFonts w:hint="default" w:ascii="Arial" w:hAnsi="Arial" w:cs="Arial"/>
                <w:color w:val="000000"/>
                <w:sz w:val="22"/>
                <w:szCs w:val="22"/>
              </w:rPr>
            </w:pPr>
            <w:r>
              <w:rPr>
                <w:rFonts w:cs="宋体"/>
                <w:sz w:val="20"/>
                <w:szCs w:val="20"/>
              </w:rPr>
              <w:t>公开单位：</w:t>
            </w:r>
            <w:r>
              <w:rPr>
                <w:sz w:val="20"/>
                <w:u w:color="auto"/>
              </w:rPr>
              <w:t>重庆市石柱土家族自治县水利局本级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BDCCE52">
            <w:pPr>
              <w:pageBreakBefore w:val="0"/>
              <w:widowControl/>
              <w:kinsoku/>
              <w:overflowPunct/>
              <w:topLinePunct w:val="0"/>
              <w:autoSpaceDN/>
              <w:bidi w:val="0"/>
              <w:adjustRightInd/>
              <w:snapToGrid w:val="0"/>
              <w:spacing w:line="20" w:lineRule="atLeas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C64B1E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F83B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B9C7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0554F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支出</w:t>
            </w:r>
          </w:p>
        </w:tc>
      </w:tr>
      <w:tr w14:paraId="16FB91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1734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1751DD">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323C1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557E03">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决算数</w:t>
            </w:r>
          </w:p>
        </w:tc>
      </w:tr>
      <w:tr w14:paraId="6FD77A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70BD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3C11">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13,417.32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FC793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72F3">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97.18</w:t>
            </w:r>
            <w:r>
              <w:rPr>
                <w:color w:val="000000"/>
                <w:sz w:val="20"/>
                <w:u w:color="auto"/>
              </w:rPr>
              <w:t xml:space="preserve"> </w:t>
            </w:r>
          </w:p>
        </w:tc>
      </w:tr>
      <w:tr w14:paraId="156B61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209E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0CCE">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24,383.52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D129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541F">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9A4EA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07BD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04EF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0E63C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D240">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1F21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EDFC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54AC">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591AD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6A5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31410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668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7DC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6303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B392">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A9B50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204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C4450">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1A616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E85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F715D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40DE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088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6B9AA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A48D">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E5836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3CE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8AD362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60DF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7FD6">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2,142.34</w:t>
            </w:r>
            <w:r>
              <w:rPr>
                <w:color w:val="000000"/>
                <w:sz w:val="20"/>
                <w:u w:color="auto"/>
              </w:rPr>
              <w:t xml:space="preserve"> </w:t>
            </w:r>
          </w:p>
        </w:tc>
      </w:tr>
      <w:tr w14:paraId="72942F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C660E">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13518">
            <w:pPr>
              <w:pageBreakBefore w:val="0"/>
              <w:widowControl/>
              <w:kinsoku/>
              <w:overflowPunct/>
              <w:topLinePunct w:val="0"/>
              <w:autoSpaceDN/>
              <w:bidi w:val="0"/>
              <w:adjustRightInd/>
              <w:snapToGrid w:val="0"/>
              <w:spacing w:line="20" w:lineRule="atLeas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C1ED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0D17">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36.85</w:t>
            </w:r>
            <w:r>
              <w:rPr>
                <w:color w:val="000000"/>
                <w:sz w:val="20"/>
                <w:u w:color="auto"/>
              </w:rPr>
              <w:t xml:space="preserve"> </w:t>
            </w:r>
          </w:p>
        </w:tc>
      </w:tr>
      <w:tr w14:paraId="320AFB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1AE22">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0481A">
            <w:pPr>
              <w:pageBreakBefore w:val="0"/>
              <w:widowControl/>
              <w:kinsoku/>
              <w:overflowPunct/>
              <w:topLinePunct w:val="0"/>
              <w:autoSpaceDN/>
              <w:bidi w:val="0"/>
              <w:adjustRightInd/>
              <w:snapToGrid w:val="0"/>
              <w:spacing w:line="20" w:lineRule="atLeas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1074B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F471">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95.00</w:t>
            </w:r>
            <w:r>
              <w:rPr>
                <w:color w:val="000000"/>
                <w:sz w:val="20"/>
                <w:u w:color="auto"/>
              </w:rPr>
              <w:t xml:space="preserve"> </w:t>
            </w:r>
          </w:p>
        </w:tc>
      </w:tr>
      <w:tr w14:paraId="7DAD4B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F314E">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7DC4E">
            <w:pPr>
              <w:pageBreakBefore w:val="0"/>
              <w:widowControl/>
              <w:kinsoku/>
              <w:overflowPunct/>
              <w:topLinePunct w:val="0"/>
              <w:autoSpaceDN/>
              <w:bidi w:val="0"/>
              <w:adjustRightInd/>
              <w:snapToGrid w:val="0"/>
              <w:spacing w:line="20" w:lineRule="atLeas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173A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83A3">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8,647.80</w:t>
            </w:r>
            <w:r>
              <w:rPr>
                <w:color w:val="000000"/>
                <w:sz w:val="20"/>
                <w:u w:color="auto"/>
              </w:rPr>
              <w:t xml:space="preserve"> </w:t>
            </w:r>
          </w:p>
        </w:tc>
      </w:tr>
      <w:tr w14:paraId="6C0D74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5939E">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799A47">
            <w:pPr>
              <w:pageBreakBefore w:val="0"/>
              <w:widowControl/>
              <w:kinsoku/>
              <w:overflowPunct/>
              <w:topLinePunct w:val="0"/>
              <w:autoSpaceDN/>
              <w:bidi w:val="0"/>
              <w:adjustRightInd/>
              <w:snapToGrid w:val="0"/>
              <w:spacing w:line="20" w:lineRule="atLeas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04D1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C69FA">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12,763.10</w:t>
            </w:r>
            <w:r>
              <w:rPr>
                <w:color w:val="000000"/>
                <w:sz w:val="20"/>
                <w:u w:color="auto"/>
              </w:rPr>
              <w:t xml:space="preserve"> </w:t>
            </w:r>
          </w:p>
        </w:tc>
      </w:tr>
      <w:tr w14:paraId="4E1F84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25437">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EDA9">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E2CE0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82AF">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F7D8B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FCAA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50A7">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1CC2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35BD">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A5089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8E74">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D9C3">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61533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90C3">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567B4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90784">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66FB1">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8B6D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4306">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4B330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33DB">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83F9D">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B73E8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035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3DAB1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B18A8">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0FA0">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2091F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BD7C">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C5954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C4EDC">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7608">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7B083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35A37">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18.57</w:t>
            </w:r>
            <w:r>
              <w:rPr>
                <w:color w:val="000000"/>
                <w:sz w:val="20"/>
                <w:u w:color="auto"/>
              </w:rPr>
              <w:t xml:space="preserve"> </w:t>
            </w:r>
          </w:p>
        </w:tc>
      </w:tr>
      <w:tr w14:paraId="375B86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0B589">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4269">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A7DE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8441">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9EE9E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660D7">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5C2B">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2D4A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ECC4">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8AE17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B13D0">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AA46">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AA49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E2C5">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B2B42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5047">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62374">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882A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E3BA9">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14,000.00</w:t>
            </w:r>
            <w:r>
              <w:rPr>
                <w:color w:val="000000"/>
                <w:sz w:val="20"/>
                <w:u w:color="auto"/>
              </w:rPr>
              <w:t xml:space="preserve"> </w:t>
            </w:r>
          </w:p>
        </w:tc>
      </w:tr>
      <w:tr w14:paraId="643812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A5254">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1B05">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9EA4E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F596">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1F3E3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AD9F9">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FF34">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F9E6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994FE">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29FB4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43F8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C7C0">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1822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535C">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4107B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26FE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CE12">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37,800.84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5971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B2C5">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37,800.84</w:t>
            </w:r>
            <w:r>
              <w:rPr>
                <w:color w:val="000000"/>
                <w:sz w:val="20"/>
                <w:u w:color="auto"/>
              </w:rPr>
              <w:t xml:space="preserve"> </w:t>
            </w:r>
          </w:p>
        </w:tc>
      </w:tr>
      <w:tr w14:paraId="6B9F75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77AA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A56F">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86977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8403B">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DB5FF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3D12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083D">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95CD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8C0109B">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3DA286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1E8B0">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59E2">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37,800.84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0F99E38">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AB660">
            <w:pPr>
              <w:pageBreakBefore w:val="0"/>
              <w:widowControl/>
              <w:kinsoku/>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37,800.84</w:t>
            </w:r>
            <w:r>
              <w:rPr>
                <w:color w:val="000000"/>
                <w:sz w:val="20"/>
                <w:u w:color="auto"/>
              </w:rPr>
              <w:t xml:space="preserve"> </w:t>
            </w:r>
          </w:p>
        </w:tc>
      </w:tr>
    </w:tbl>
    <w:p w14:paraId="4E98BD37">
      <w:pPr>
        <w:pageBreakBefore w:val="0"/>
        <w:widowControl/>
        <w:kinsoku/>
        <w:overflowPunct/>
        <w:topLinePunct w:val="0"/>
        <w:autoSpaceDN/>
        <w:bidi w:val="0"/>
        <w:adjustRightInd/>
        <w:snapToGrid w:val="0"/>
        <w:spacing w:line="20" w:lineRule="atLeas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5000" w:type="pct"/>
        <w:tblInd w:w="0" w:type="dxa"/>
        <w:tblLayout w:type="fixed"/>
        <w:tblCellMar>
          <w:top w:w="0" w:type="dxa"/>
          <w:left w:w="0" w:type="dxa"/>
          <w:bottom w:w="0" w:type="dxa"/>
          <w:right w:w="0" w:type="dxa"/>
        </w:tblCellMar>
      </w:tblPr>
      <w:tblGrid>
        <w:gridCol w:w="1469"/>
        <w:gridCol w:w="2736"/>
        <w:gridCol w:w="1064"/>
        <w:gridCol w:w="1064"/>
        <w:gridCol w:w="1064"/>
        <w:gridCol w:w="1064"/>
        <w:gridCol w:w="1179"/>
        <w:gridCol w:w="1128"/>
        <w:gridCol w:w="1242"/>
        <w:gridCol w:w="1261"/>
      </w:tblGrid>
      <w:tr w14:paraId="6B7675C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835F42C">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收入决算表</w:t>
            </w:r>
          </w:p>
        </w:tc>
      </w:tr>
      <w:tr w14:paraId="6939797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1CC71A2">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sz w:val="20"/>
                <w:u w:color="auto"/>
              </w:rPr>
              <w:t>重庆市石柱土家族自治县水利局本级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4883DDE">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C4D9A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D5B449">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0B94A6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96DD3B2">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EE048F0">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B8E94E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公开02表</w:t>
            </w:r>
          </w:p>
        </w:tc>
      </w:tr>
      <w:tr w14:paraId="6E44725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DDFEBEB">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01B56CB">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5DB856">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889C89">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D79D3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EC4D188">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ACF716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ACF934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6370C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219A0D6">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1E2C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1C73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47AB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0ECBB6">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88CE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1F56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172E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其他收入</w:t>
            </w:r>
          </w:p>
        </w:tc>
      </w:tr>
      <w:tr w14:paraId="3E3FD77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AC87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AFE7A0">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684C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D170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87C2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6451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7437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4FF1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1E05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63F3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2E1301C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9409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1F0CEE">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81EA4">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CC87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2D6E7">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A507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CA14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6438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DEAE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38EF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70A415D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637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D95087">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F709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751B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10A6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1D07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E324B">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70694">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D7BC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C2EC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49FE41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0EA9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60ACE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DE8F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2BF92">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FED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061A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6125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E8F7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ACFE">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3DEA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074F7CC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1DE6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2975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37,800.84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19F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37,800.84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8339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6BD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7EDE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B7F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2967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8908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r>
      <w:tr w14:paraId="60943D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E6F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D15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B8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F40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8C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F72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D02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67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36C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207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734B7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C63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833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10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46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EB3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974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431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787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20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7B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3D5CF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E1B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D0F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8C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97.18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6D6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97.18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7AB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81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AA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EB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B0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172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15BB6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BD8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526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094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2,142.34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9FE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2,142.34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C4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B50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D2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EFC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3E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D6A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D7F86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D16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614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AA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9B3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D77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330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A72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233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57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CDF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A929F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667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BAF6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6B0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F4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216.20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5A0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6A2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87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F7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5DB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9E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1AD0C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423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9487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DF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77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31.71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5FF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ECB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C59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597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48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80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752BF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DCF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BC1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4B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5F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60D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0C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B1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FBF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D17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A10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4BC77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503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6A9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B59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D29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81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7CF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AB4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8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614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DB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96C15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9CC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807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D2F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1,719.41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E7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1,719.41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A1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C6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44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47F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3F2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06A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9A98E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FB0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A84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33C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503.70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866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503.70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304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5C6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9F9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165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FB7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4D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B2604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C41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9D4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88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D4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1,215.71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79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296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70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B38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608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F82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7D5CD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008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85D3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A6D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056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E3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9EA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223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C49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6B9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78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57EE7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6E7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220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3DE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51D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D9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CDD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DB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463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13A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191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235F1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B9E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188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D0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AC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61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F0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E4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0C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AC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F41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C932E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0CF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CA9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8B0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11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CE4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DEB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BE3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7E4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6F9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BE9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3B91A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715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EF15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B1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6FE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21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55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F6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7A3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308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BAE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35A50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D4C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420E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76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109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55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2A0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E88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DE8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B8F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CC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F4756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340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3F6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B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AF8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513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8EE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70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F1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E97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6B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A28A5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779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272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56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04E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76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B1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BC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E19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E68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6A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182CC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70B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3535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FF6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66A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BA6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1F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BD6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C63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98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A66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91F32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6E6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8BB5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93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8,647.80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B66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8,647.80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749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C83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F5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679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2D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3C8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93F31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890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442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D2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5,851.45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F7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5,851.45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805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046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006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F8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5A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D7D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E81A7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1C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70E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634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5,851.45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852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5,851.45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87A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67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4F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599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9AA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400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591A7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084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A8BD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D8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275.72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00A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275.72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2D1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239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1A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662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39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901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D4725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869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9C2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D6C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275.72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9A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275.72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59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FB3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5B2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686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BA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85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0DEC5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BF1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9A3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国有土地收益基金安排的支出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51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968.00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DF5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968.00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49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5D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3BE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0A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4ED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C87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ABB23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B01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123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AEE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8ED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968.00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2E4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09A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212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DB9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831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84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32356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33C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B1B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CE3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FFD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CB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917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01A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43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9E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E9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D4FF1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E34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8008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747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1,450.90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8F5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1,450.90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CA2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514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0E5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32E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F4C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FD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6145D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7D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00A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F7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945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3D1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30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D2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63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6DE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FF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B0348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415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840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B9A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1,360.50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4BC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1,360.50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212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DEF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AEB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814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E5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5C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59DDF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56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53A1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705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12,763.10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BF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12,763.10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47C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8E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01F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62E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2CA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69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73017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C1E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D28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C24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5,990.95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4AE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5,990.95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1D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588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2C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9B5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12F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EC7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179EC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A7C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EE25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7F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4F4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19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53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210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94A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13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265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B7637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37E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314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BF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404.52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01F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404.52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75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EF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469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8E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FE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F3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CCDFD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A72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569E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水利行业业务管理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08D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165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9C7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46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E0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13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96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068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6D603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8A7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33A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06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3,862.86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D12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3,862.86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D7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9A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2D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3E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23A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168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E27D5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A7A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71B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水利工程运行与维护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43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19A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F59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D3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00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96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ED8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439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12841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198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EAF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水利前期工作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75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32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9B3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9B1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AB6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BAE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BDD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699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A00DE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2FA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E6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D3D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5E7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295.13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15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3EC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5E5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BBE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1BB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58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85525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C63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E8A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A87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030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855.75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63B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528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FF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86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8D4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CE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7468D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578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CD8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信息管理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64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E796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C3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CA0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07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BE1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CD1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ACF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BDFFD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D69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B820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F1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C6E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006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DA2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FAE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2D2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38E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4A3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F28E3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2B3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5C7E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40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894.39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54E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894.39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52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C4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99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A6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64E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1BD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1141B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9C66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A77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174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932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F0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6B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3BB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01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EB0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0E1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A0587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355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1EB4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71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160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91E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1E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51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BC6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62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A17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BC12C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C5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939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FC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4D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F35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580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488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435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B23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3D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73E20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317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870E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DC9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D72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380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66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755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40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13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E16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2D53C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B0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3F76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大中型水库库区基金安排的支出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FFE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4A8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CA2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09E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CB2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5D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33C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2E1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4C97F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44E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4C6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1C8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3D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DD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7A0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F7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244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21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FA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9FE24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384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9B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A42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92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59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09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11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17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9C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9B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0FA14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8E9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0E3D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268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E1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5AF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9D6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9FE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AA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A48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0A3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8BCB5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FCC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D30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解决移民遗留问题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4C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8B7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4B7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B40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2E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AC9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7B1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E4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8BBF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7C0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EFC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F98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5,322.00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F92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5,322.00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46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09B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52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812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05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181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21A7B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00A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B93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1A5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5,322.00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51B3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5,322.00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D6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01A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7B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F4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C58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E8D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6A952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55A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9D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E5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B2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94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9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CC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B5B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1A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013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DC4D0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1AD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3C6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B50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9E0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28B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41B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5BB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CC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A38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94B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DD785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63B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C86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266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07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07F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E72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210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D84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6DA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06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C1996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D6E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A05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3F2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05C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43E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EF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028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EA0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897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D0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1836C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43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616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D28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91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01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51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ED6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DB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B6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4A8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45893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C86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04B4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F8F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14,000.00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7EF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14,000.00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5F3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F5D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FE9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08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AF5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74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bl>
    <w:p w14:paraId="31ADC9A6">
      <w:pPr>
        <w:pageBreakBefore w:val="0"/>
        <w:widowControl/>
        <w:kinsoku/>
        <w:overflowPunct/>
        <w:topLinePunct w:val="0"/>
        <w:autoSpaceDN/>
        <w:bidi w:val="0"/>
        <w:adjustRightInd/>
        <w:snapToGrid w:val="0"/>
        <w:spacing w:line="20" w:lineRule="atLeas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78283F9">
      <w:pPr>
        <w:pageBreakBefore w:val="0"/>
        <w:widowControl/>
        <w:kinsoku/>
        <w:overflowPunct/>
        <w:topLinePunct w:val="0"/>
        <w:autoSpaceDN/>
        <w:bidi w:val="0"/>
        <w:adjustRightInd/>
        <w:snapToGrid w:val="0"/>
        <w:spacing w:line="20" w:lineRule="atLeast"/>
        <w:rPr>
          <w:rFonts w:hint="default" w:cs="宋体"/>
          <w:sz w:val="20"/>
          <w:szCs w:val="20"/>
        </w:rPr>
      </w:pPr>
      <w:r>
        <w:rPr>
          <w:rFonts w:cs="宋体"/>
          <w:sz w:val="20"/>
          <w:szCs w:val="20"/>
        </w:rPr>
        <w:br w:type="page"/>
      </w:r>
    </w:p>
    <w:tbl>
      <w:tblPr>
        <w:tblStyle w:val="11"/>
        <w:tblW w:w="5000" w:type="pct"/>
        <w:tblInd w:w="0" w:type="dxa"/>
        <w:tblLayout w:type="autofit"/>
        <w:tblCellMar>
          <w:top w:w="0" w:type="dxa"/>
          <w:left w:w="0" w:type="dxa"/>
          <w:bottom w:w="0" w:type="dxa"/>
          <w:right w:w="0" w:type="dxa"/>
        </w:tblCellMar>
      </w:tblPr>
      <w:tblGrid>
        <w:gridCol w:w="1637"/>
        <w:gridCol w:w="4630"/>
        <w:gridCol w:w="1165"/>
        <w:gridCol w:w="1165"/>
        <w:gridCol w:w="1165"/>
        <w:gridCol w:w="1151"/>
        <w:gridCol w:w="1151"/>
        <w:gridCol w:w="1205"/>
      </w:tblGrid>
      <w:tr w14:paraId="15BD453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B95E56">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支出决算表</w:t>
            </w:r>
          </w:p>
        </w:tc>
      </w:tr>
      <w:tr w14:paraId="55C1FE0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E796030">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重庆市石柱土家族自治县水利局本级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CFE5D0E">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FC91361">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AB85F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62DB90">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80749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公开03表</w:t>
            </w:r>
          </w:p>
        </w:tc>
      </w:tr>
      <w:tr w14:paraId="3C7844A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0244C0F">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83FADC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1C578C">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7841397">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7B3E63">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996F065">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B5753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4E35D5">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169E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1532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6DFA0">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2E668">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0781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5FF8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对附属单位补助支出</w:t>
            </w:r>
          </w:p>
        </w:tc>
      </w:tr>
      <w:tr w14:paraId="208C653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14C6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D8CDC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6AF1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8FA2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ACDF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4FAC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E49E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CCD9B">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77743F9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49B6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030474">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D1A8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55E8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9A9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3464B">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DF06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86B1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48431E8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AED0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C8693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CAE2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0E40B">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8CBB7">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D12E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24D4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7DF8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5193C0F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7CD7E">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8D348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67A3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C00AE">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32FDB">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0B852">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FF3D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F70B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187E995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E040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FB8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37,800.84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305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673.38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E14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37,127.46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A6B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DED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FFB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r>
      <w:tr w14:paraId="3B0061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220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3095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9C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34D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41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332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F5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E1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0DFA0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3D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442B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9D8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176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94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97.18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9C4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F30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E43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81DCE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8D0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883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0C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97.18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900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209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97.18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477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F72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60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68D43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DC8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5D5A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E4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2,142.34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24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417.59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BBB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1,724.75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F7D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B5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EAE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6FACB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31D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608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857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FF0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325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0C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212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0F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86B42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0F3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3430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DB8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216.20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61D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216.20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F25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0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06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2E3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CCAA2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9B0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2FB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4EB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3C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31.71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83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786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4E0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FC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71F62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A49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D574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CC1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E9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05D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EF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036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D01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0B99C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1AA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272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888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54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09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4D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957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380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E14A9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ECD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50F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7E7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1,719.41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3C7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A3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1,719.41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EE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7B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74A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2936C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EFA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C92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FA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503.70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B47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911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503.70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65C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860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546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34BF3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290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829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448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1,215.71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B63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57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1,215.71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955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588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F28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CB7A8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D32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22B4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CE8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9C0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0F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11B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2FB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144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1B078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6C1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8C95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4EF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07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12.82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1B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69D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7C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FCC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07E55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D1A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307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E1D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55B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8A0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0F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08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57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3259F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EEF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5E0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04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95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76C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FD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A25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0BB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78C59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A2F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6B71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977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EDD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41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B1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626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09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5E219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60C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3832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3B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91D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F2C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CE6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57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38A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54FB2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9E0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13D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7B2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86D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3E4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B0E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05F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77D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427A1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98B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2380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A22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1F6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E7B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EC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528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6E4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E84E3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C6C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DC1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7B3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0D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486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2B5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65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DEF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57CE5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E34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F81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251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8,647.80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528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989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8,647.80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337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B33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DC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8DD4C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D29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3AA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869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5,851.45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56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25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5,851.45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52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3EA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827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1BB06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E51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849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88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5,851.45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74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16B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5,851.45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8AF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2D1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E7E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A4A15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81B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C12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797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275.72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F7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06F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275.72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0E1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23D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FF1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3E36F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F1E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EE96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D7B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275.72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5E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4B8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275.72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B2F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A9A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46F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A0683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744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957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国有土地收益基金安排的支出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EB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968.00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22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ABE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968.00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3AC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4A0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6F5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F94B0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395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829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2C2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968.00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DA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E0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968.00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11B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B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7E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8BDA3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CAF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B47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F23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7BE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CDF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101.74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7BE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DAC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EC1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1C9411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FA0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677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BD5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1,450.90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15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4F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1,450.90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43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EF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D6C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1280E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01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52C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FE5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F9A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804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6BE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A00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E6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6182F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D6B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7B1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742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1,360.50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04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22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1,360.50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615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D81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73D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0F8DD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21F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6C7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F09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12,763.10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FC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200.38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EC5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12,562.73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822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F3D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8B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B81A2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A2E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A00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EF7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5,990.95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E48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200.38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C5A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5,790.58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CA1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B55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5C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12DFC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092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AAB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46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441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C0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C9B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0BA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55F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8493E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8DD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3C90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B2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404.52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212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8A8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404.52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E6F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C6B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5AA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2625E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5C6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86EE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水利行业业务管理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54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640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11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DA0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98A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BF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6D0F1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3DE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1D6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9FE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3,862.86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E7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8BE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3,862.86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3C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604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F40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8B84A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257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8AF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水利工程运行与维护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0B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A2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AE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BA0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FA9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97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F594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6AD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AEB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水利前期工作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EA2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DC2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06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BF9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9AD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0EE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C10B8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293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F5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35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295.13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47D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80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295.13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14C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C9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48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DC6C3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FC2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8BD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82B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855.75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F6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577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855.75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FBE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5A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95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A662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108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DE2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信息管理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F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AFA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FC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96E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E0B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5F3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E6C99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B93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94E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C61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E1F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5A8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90.32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D16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32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92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7A3FF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7E5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C1C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52B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894.39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38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B94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894.39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3C2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D0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8D8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41B2C9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A15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0EF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4A4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5D0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AA9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78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08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AD4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6211C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968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34D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7E0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65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FB4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856.34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3E0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A87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B40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77EF3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C84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2B6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031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C77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27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16D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87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16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CF28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14C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A7C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BA8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36B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B2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56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14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4EB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59B0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00C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1D7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大中型水库库区基金安排的支出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C75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CE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DC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401.00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58D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50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95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0C919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0D5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F353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E38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36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82B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401.00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60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499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06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1AF0E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195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E28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C0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CEA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E3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671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556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B3E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9BA1F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D99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D7A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BBD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93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0FB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F2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6D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04B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75FFD7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EA7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F865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解决移民遗留问题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056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B4A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47A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109.76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A4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D74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1D9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D2FE4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087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1CA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5D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5,322.00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161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4A0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5,322.00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B75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703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CFA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2525E0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A7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E96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2B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5,322.00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E7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CF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5,322.00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5E9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220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A2F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0E837C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437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62E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E83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507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0F2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46D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8F4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8F0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CEE3B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474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EA6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23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39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18.57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4E0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20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D3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D4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2D7E0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2CA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647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F15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F41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18.57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8F8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BC7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DB5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650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37C76F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60A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C81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6F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FE6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DF3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EB6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FB9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92A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65675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05A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2FA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DB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16B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C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b/>
                <w:color w:val="000000"/>
                <w:sz w:val="20"/>
                <w:szCs w:val="20"/>
              </w:rPr>
              <w:t>14,000.00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EEE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FC4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F3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r w14:paraId="5A7455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86D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117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3CE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14,000.00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3B4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C9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rFonts w:cs="宋体"/>
                <w:color w:val="000000"/>
                <w:sz w:val="20"/>
                <w:szCs w:val="20"/>
              </w:rPr>
              <w:t>14,000.00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CA9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54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49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20"/>
                <w:szCs w:val="20"/>
              </w:rPr>
            </w:pPr>
            <w:r>
              <w:rPr>
                <w:color w:val="000000"/>
                <w:sz w:val="20"/>
                <w:u w:color="auto"/>
              </w:rPr>
              <w:t xml:space="preserve"> </w:t>
            </w:r>
          </w:p>
        </w:tc>
      </w:tr>
    </w:tbl>
    <w:p w14:paraId="61AD83EA">
      <w:pPr>
        <w:pageBreakBefore w:val="0"/>
        <w:widowControl/>
        <w:kinsoku/>
        <w:overflowPunct/>
        <w:topLinePunct w:val="0"/>
        <w:autoSpaceDN/>
        <w:bidi w:val="0"/>
        <w:adjustRightInd/>
        <w:snapToGrid w:val="0"/>
        <w:spacing w:line="20" w:lineRule="atLeas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34E3186">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1"/>
          <w:szCs w:val="21"/>
        </w:rPr>
        <w:br w:type="page"/>
      </w:r>
    </w:p>
    <w:p w14:paraId="419B7E1D">
      <w:pPr>
        <w:pageBreakBefore w:val="0"/>
        <w:widowControl/>
        <w:kinsoku/>
        <w:overflowPunct/>
        <w:topLinePunct w:val="0"/>
        <w:autoSpaceDN/>
        <w:bidi w:val="0"/>
        <w:adjustRightInd/>
        <w:snapToGrid w:val="0"/>
        <w:spacing w:line="20" w:lineRule="atLeast"/>
        <w:rPr>
          <w:rFonts w:hint="default" w:cs="宋体"/>
          <w:sz w:val="21"/>
          <w:szCs w:val="21"/>
        </w:rPr>
      </w:pPr>
    </w:p>
    <w:tbl>
      <w:tblPr>
        <w:tblStyle w:val="11"/>
        <w:tblW w:w="4790" w:type="pct"/>
        <w:tblInd w:w="0" w:type="dxa"/>
        <w:tblLayout w:type="autofit"/>
        <w:tblCellMar>
          <w:top w:w="0" w:type="dxa"/>
          <w:left w:w="0" w:type="dxa"/>
          <w:bottom w:w="0" w:type="dxa"/>
          <w:right w:w="0" w:type="dxa"/>
        </w:tblCellMar>
      </w:tblPr>
      <w:tblGrid>
        <w:gridCol w:w="2570"/>
        <w:gridCol w:w="1317"/>
        <w:gridCol w:w="2753"/>
        <w:gridCol w:w="1467"/>
        <w:gridCol w:w="1467"/>
        <w:gridCol w:w="1467"/>
        <w:gridCol w:w="1671"/>
      </w:tblGrid>
      <w:tr w14:paraId="67F5872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E2A561">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财政拨款收入支出决算总表</w:t>
            </w:r>
          </w:p>
        </w:tc>
      </w:tr>
      <w:tr w14:paraId="6568BD5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DD0FFA">
            <w:pPr>
              <w:pageBreakBefore w:val="0"/>
              <w:widowControl/>
              <w:kinsoku/>
              <w:overflowPunct/>
              <w:topLinePunct w:val="0"/>
              <w:autoSpaceDN/>
              <w:bidi w:val="0"/>
              <w:adjustRightInd/>
              <w:snapToGrid w:val="0"/>
              <w:spacing w:line="20" w:lineRule="atLeas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0BEFF7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F7CAF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8F5110">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9BD72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公开04表</w:t>
            </w:r>
          </w:p>
        </w:tc>
      </w:tr>
      <w:tr w14:paraId="10E4FD2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B5D7828">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1EFB6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5A2F2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2EA8D4">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7215E1">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F0ED8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5AEB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8D787">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支     出</w:t>
            </w:r>
          </w:p>
        </w:tc>
      </w:tr>
      <w:tr w14:paraId="13DCFB1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0A4D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8AED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712D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5FF2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决算数</w:t>
            </w:r>
          </w:p>
        </w:tc>
      </w:tr>
      <w:tr w14:paraId="3569E63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3673B">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C8450">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4681A">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BA85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18B6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56C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8976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国有资本经营预算财政拨款</w:t>
            </w:r>
          </w:p>
        </w:tc>
      </w:tr>
      <w:tr w14:paraId="6D639B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7E41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ED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13,417.32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DF44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67A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97.18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F27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97.18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A53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27D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1333A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0C3A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107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24,383.52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1324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520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F19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9D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E4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1538F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1070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8D3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43CF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40C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3B3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931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05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DD44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A33B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7E3B6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036F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57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38C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F6F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E1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8F12E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E115">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80376">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A986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951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384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D19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048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AC385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6B448">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09DC1">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2C08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A6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5D9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A0F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D10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93A04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7DB6A">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493E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047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E57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A07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CF4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3A9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38304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B37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2267BB">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4765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BE4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2,142.34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504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422.93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6E1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1,719.41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EA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DF139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349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452DC5">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7066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B2A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825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0E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58A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B61A5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AB858">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BAB75">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DA62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08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95.00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3A8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95.00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9DA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CA4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7EC0F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FD850">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BFE5">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3361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8C6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8,647.80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B5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5,851.45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9D5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2,796.35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37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50F6D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C4AD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49E3">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44D7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EC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12,763.10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40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6,895.34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5B3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5,867.76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567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43238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4A33B">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CB0B">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23BA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328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611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04B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78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3D926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8366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6A6F">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CADC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616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50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492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827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88B4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6923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D39">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73C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A36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8FD3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4CC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5DE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1B61B5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76D1A">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6F9C">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9A80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4FC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5D7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319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24E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5ABF6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BA4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40CE">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701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DE0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CFF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F4A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778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F7A6E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7E71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6E6D">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43E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F34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F2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B0F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955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7893E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7B9F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92A3">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F82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E5E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18.57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44F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18.57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BB4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FDD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44D38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1892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7533">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21CB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3A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AE1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28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898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1E544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6287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6B3F">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8350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467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EF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0E0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306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06AE0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C032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A75C">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7DE0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364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B5F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A6C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A41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2EFB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DC6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023B">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A81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CD8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14,000.00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BB1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5BE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14,000.00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41F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9758A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6AB94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1624">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1BBA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A76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B94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868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807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92FD5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42DB7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A3EE">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5B6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B58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718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35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C09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6F85A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BDCAC0">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1022">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93B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273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DC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96F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BD9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150C61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9248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AD6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37,800.84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E11ED">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67B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37,800.84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835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13,417.32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740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24,383.52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EEF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C6405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FAF2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29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6B3C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3D5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AE6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04A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EF3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421A7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831A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680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C5654">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13F266">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168B1">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609C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DBB347">
            <w:pPr>
              <w:pageBreakBefore w:val="0"/>
              <w:widowControl/>
              <w:kinsoku/>
              <w:overflowPunct/>
              <w:topLinePunct w:val="0"/>
              <w:autoSpaceDN/>
              <w:bidi w:val="0"/>
              <w:adjustRightInd/>
              <w:snapToGrid w:val="0"/>
              <w:spacing w:line="20" w:lineRule="atLeast"/>
              <w:rPr>
                <w:rFonts w:hint="default" w:cs="宋体"/>
                <w:color w:val="000000"/>
                <w:sz w:val="18"/>
                <w:szCs w:val="18"/>
              </w:rPr>
            </w:pPr>
          </w:p>
        </w:tc>
      </w:tr>
      <w:tr w14:paraId="468A71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133F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31B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DC555">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3303">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17B4">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71A2">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6556">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058286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9B35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1ED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A124">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C87F">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11F1">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81A6">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42E7">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5CD9C2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E9CB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748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37,800.84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2B90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22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37,800.84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24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13,417.32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69C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24,383.52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F1C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bl>
    <w:p w14:paraId="756472FA">
      <w:pPr>
        <w:pageBreakBefore w:val="0"/>
        <w:widowControl/>
        <w:kinsoku/>
        <w:overflowPunct/>
        <w:topLinePunct w:val="0"/>
        <w:autoSpaceDN/>
        <w:bidi w:val="0"/>
        <w:adjustRightInd/>
        <w:snapToGrid w:val="0"/>
        <w:spacing w:line="20" w:lineRule="atLeas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361"/>
        <w:gridCol w:w="4030"/>
        <w:gridCol w:w="2621"/>
        <w:gridCol w:w="2621"/>
        <w:gridCol w:w="2636"/>
      </w:tblGrid>
      <w:tr w14:paraId="42C3D47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42E164">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4746D0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64906F7">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80D1E0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665946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公开05表</w:t>
            </w:r>
          </w:p>
        </w:tc>
      </w:tr>
      <w:tr w14:paraId="1748A64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4FED957">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195FEC4">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69D1AE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AA16B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106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D18EDD">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本年支出</w:t>
            </w:r>
          </w:p>
        </w:tc>
      </w:tr>
      <w:tr w14:paraId="0439C94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225F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C7E4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7D3818">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6443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3C3D3">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项目支出</w:t>
            </w:r>
          </w:p>
        </w:tc>
      </w:tr>
      <w:tr w14:paraId="65662E1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2446E">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9138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BA22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BA59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591C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35331EC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3404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3639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44EC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F97F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4CC9D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1167C5E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D558C">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C76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13,417.32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81A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673.38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62B0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12,743.94</w:t>
            </w:r>
            <w:r>
              <w:rPr>
                <w:b/>
                <w:color w:val="000000"/>
                <w:sz w:val="20"/>
                <w:u w:color="auto"/>
              </w:rPr>
              <w:t xml:space="preserve"> </w:t>
            </w:r>
          </w:p>
        </w:tc>
      </w:tr>
      <w:tr w14:paraId="1C87C8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AB6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93D9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659D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97.18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206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073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97.18</w:t>
            </w:r>
            <w:r>
              <w:rPr>
                <w:b/>
                <w:color w:val="000000"/>
                <w:sz w:val="20"/>
                <w:u w:color="auto"/>
              </w:rPr>
              <w:t xml:space="preserve"> </w:t>
            </w:r>
          </w:p>
        </w:tc>
      </w:tr>
      <w:tr w14:paraId="2180FF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A85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AA26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CD8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97.18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A97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57EC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97.18</w:t>
            </w:r>
            <w:r>
              <w:rPr>
                <w:b/>
                <w:color w:val="000000"/>
                <w:sz w:val="20"/>
                <w:u w:color="auto"/>
              </w:rPr>
              <w:t xml:space="preserve"> </w:t>
            </w:r>
          </w:p>
        </w:tc>
      </w:tr>
      <w:tr w14:paraId="04D5B2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340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895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547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97.18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DD5E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66B5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97.18</w:t>
            </w:r>
            <w:r>
              <w:rPr>
                <w:color w:val="000000"/>
                <w:sz w:val="20"/>
                <w:u w:color="auto"/>
              </w:rPr>
              <w:t xml:space="preserve"> </w:t>
            </w:r>
          </w:p>
        </w:tc>
      </w:tr>
      <w:tr w14:paraId="7D9710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653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3076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C50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422.93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61B8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417.59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51E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r>
      <w:tr w14:paraId="21A98E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713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347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FD2C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404.77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E03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404.77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D9A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6C054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020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463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0BB2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216.20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A13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216.20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C71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55109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C80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1AA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10A5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31.71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870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31.71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E1F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A63AB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87C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3DBB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7FD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147.50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E42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147.50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2334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782074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BC6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EC19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BBC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84D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EC9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789541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B22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A5D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A643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5983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12.82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F148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r>
      <w:tr w14:paraId="5B5292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832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4B3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3EED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18.16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3F04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12.82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234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r>
      <w:tr w14:paraId="1BDD6D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3FF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1E5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B99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36.85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862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36.85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9FB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A1837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8D6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EB1B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BC0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36.85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3BA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36.85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6B7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EDA34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CC4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626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F342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306F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3D0E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189BAC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87E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8D2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B05E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014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25.86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54D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5F6FCE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002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D8C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C97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00D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89C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95.00</w:t>
            </w:r>
            <w:r>
              <w:rPr>
                <w:b/>
                <w:color w:val="000000"/>
                <w:sz w:val="20"/>
                <w:u w:color="auto"/>
              </w:rPr>
              <w:t xml:space="preserve"> </w:t>
            </w:r>
          </w:p>
        </w:tc>
      </w:tr>
      <w:tr w14:paraId="6B30A9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DC7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B8A57">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5653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680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4F2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95.00</w:t>
            </w:r>
            <w:r>
              <w:rPr>
                <w:b/>
                <w:color w:val="000000"/>
                <w:sz w:val="20"/>
                <w:u w:color="auto"/>
              </w:rPr>
              <w:t xml:space="preserve"> </w:t>
            </w:r>
          </w:p>
        </w:tc>
      </w:tr>
      <w:tr w14:paraId="6E3ABD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40D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BED1">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9D09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111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AB8F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95.00</w:t>
            </w:r>
            <w:r>
              <w:rPr>
                <w:color w:val="000000"/>
                <w:sz w:val="20"/>
                <w:u w:color="auto"/>
              </w:rPr>
              <w:t xml:space="preserve"> </w:t>
            </w:r>
          </w:p>
        </w:tc>
      </w:tr>
      <w:tr w14:paraId="11F46E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7E5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BCE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84E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5,851.45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221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3AB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5,851.45</w:t>
            </w:r>
            <w:r>
              <w:rPr>
                <w:b/>
                <w:color w:val="000000"/>
                <w:sz w:val="20"/>
                <w:u w:color="auto"/>
              </w:rPr>
              <w:t xml:space="preserve"> </w:t>
            </w:r>
          </w:p>
        </w:tc>
      </w:tr>
      <w:tr w14:paraId="30F0F0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C8F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496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299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5,851.45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B94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CE7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5,851.45</w:t>
            </w:r>
            <w:r>
              <w:rPr>
                <w:b/>
                <w:color w:val="000000"/>
                <w:sz w:val="20"/>
                <w:u w:color="auto"/>
              </w:rPr>
              <w:t xml:space="preserve"> </w:t>
            </w:r>
          </w:p>
        </w:tc>
      </w:tr>
      <w:tr w14:paraId="3FDE3F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58C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2A41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B2E3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5,851.45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F63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99D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5,851.45</w:t>
            </w:r>
            <w:r>
              <w:rPr>
                <w:color w:val="000000"/>
                <w:sz w:val="20"/>
                <w:u w:color="auto"/>
              </w:rPr>
              <w:t xml:space="preserve"> </w:t>
            </w:r>
          </w:p>
        </w:tc>
      </w:tr>
      <w:tr w14:paraId="5AA771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BDC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E83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E8B2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6,895.34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5C6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200.38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7544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6,694.97</w:t>
            </w:r>
            <w:r>
              <w:rPr>
                <w:b/>
                <w:color w:val="000000"/>
                <w:sz w:val="20"/>
                <w:u w:color="auto"/>
              </w:rPr>
              <w:t xml:space="preserve"> </w:t>
            </w:r>
          </w:p>
        </w:tc>
      </w:tr>
      <w:tr w14:paraId="7C2871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9A9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101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28D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5,990.95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D824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200.38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E59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5,790.58</w:t>
            </w:r>
            <w:r>
              <w:rPr>
                <w:b/>
                <w:color w:val="000000"/>
                <w:sz w:val="20"/>
                <w:u w:color="auto"/>
              </w:rPr>
              <w:t xml:space="preserve"> </w:t>
            </w:r>
          </w:p>
        </w:tc>
      </w:tr>
      <w:tr w14:paraId="7328D6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1B2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14D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729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200.38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1316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200.38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3423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40A30A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B3B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894E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6077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404.52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A4B1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C4F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404.52</w:t>
            </w:r>
            <w:r>
              <w:rPr>
                <w:color w:val="000000"/>
                <w:sz w:val="20"/>
                <w:u w:color="auto"/>
              </w:rPr>
              <w:t xml:space="preserve"> </w:t>
            </w:r>
          </w:p>
        </w:tc>
      </w:tr>
      <w:tr w14:paraId="2C0AA2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7BF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A9D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水利行业业务管理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1EF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003C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5C9C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398020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1EB4">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F846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A17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3,862.86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16C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BA8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3,862.86</w:t>
            </w:r>
            <w:r>
              <w:rPr>
                <w:color w:val="000000"/>
                <w:sz w:val="20"/>
                <w:u w:color="auto"/>
              </w:rPr>
              <w:t xml:space="preserve"> </w:t>
            </w:r>
          </w:p>
        </w:tc>
      </w:tr>
      <w:tr w14:paraId="190A89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E42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BC6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水利工程运行与维护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B2F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EAC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B0D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r>
      <w:tr w14:paraId="68F0F1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2F3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D5F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水利前期工作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5663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FDE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B73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14:paraId="481573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2EB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34946">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DEA5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295.13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BA0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DD2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295.13</w:t>
            </w:r>
            <w:r>
              <w:rPr>
                <w:color w:val="000000"/>
                <w:sz w:val="20"/>
                <w:u w:color="auto"/>
              </w:rPr>
              <w:t xml:space="preserve"> </w:t>
            </w:r>
          </w:p>
        </w:tc>
      </w:tr>
      <w:tr w14:paraId="15C5EC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DA0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0610">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869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855.75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5AF9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2FA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855.75</w:t>
            </w:r>
            <w:r>
              <w:rPr>
                <w:color w:val="000000"/>
                <w:sz w:val="20"/>
                <w:u w:color="auto"/>
              </w:rPr>
              <w:t xml:space="preserve"> </w:t>
            </w:r>
          </w:p>
        </w:tc>
      </w:tr>
      <w:tr w14:paraId="5C02C2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6F9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3E20B">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信息管理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AF3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F228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4AFB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14:paraId="1B407A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7D6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3F6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9AAA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F0B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DEF5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90.32</w:t>
            </w:r>
            <w:r>
              <w:rPr>
                <w:color w:val="000000"/>
                <w:sz w:val="20"/>
                <w:u w:color="auto"/>
              </w:rPr>
              <w:t xml:space="preserve"> </w:t>
            </w:r>
          </w:p>
        </w:tc>
      </w:tr>
      <w:tr w14:paraId="2E1CC5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E5DF">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6B11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E55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894.39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53A3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4F9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894.39</w:t>
            </w:r>
            <w:r>
              <w:rPr>
                <w:b/>
                <w:color w:val="000000"/>
                <w:sz w:val="20"/>
                <w:u w:color="auto"/>
              </w:rPr>
              <w:t xml:space="preserve"> </w:t>
            </w:r>
          </w:p>
        </w:tc>
      </w:tr>
      <w:tr w14:paraId="0CEAE1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3FA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154A">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C93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C52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CC1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r>
      <w:tr w14:paraId="18D3AB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49D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2749">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9A39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856.34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C51A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595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856.34</w:t>
            </w:r>
            <w:r>
              <w:rPr>
                <w:color w:val="000000"/>
                <w:sz w:val="20"/>
                <w:u w:color="auto"/>
              </w:rPr>
              <w:t xml:space="preserve"> </w:t>
            </w:r>
          </w:p>
        </w:tc>
      </w:tr>
      <w:tr w14:paraId="5A7048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6E8C">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E13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D73B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8C7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CBC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15FC14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928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B963">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426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1091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D22E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F5932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39AE">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688D">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776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18.57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3593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18.57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10B3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71CC3E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4D0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8CF8">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BCAD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18.57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311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18.57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1AA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3F7381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9382">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D525">
            <w:pPr>
              <w:pageBreakBefore w:val="0"/>
              <w:widowControl/>
              <w:kinsoku/>
              <w:overflowPunct/>
              <w:topLinePunct w:val="0"/>
              <w:autoSpaceDN/>
              <w:bidi w:val="0"/>
              <w:adjustRightInd/>
              <w:snapToGrid w:val="0"/>
              <w:spacing w:line="20" w:lineRule="atLeas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796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18.57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974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18.57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7187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bl>
    <w:p w14:paraId="704F9657">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54F755">
      <w:pPr>
        <w:pageBreakBefore w:val="0"/>
        <w:widowControl/>
        <w:kinsoku/>
        <w:overflowPunct/>
        <w:topLinePunct w:val="0"/>
        <w:autoSpaceDN/>
        <w:bidi w:val="0"/>
        <w:adjustRightInd/>
        <w:snapToGrid w:val="0"/>
        <w:spacing w:line="20" w:lineRule="atLeast"/>
        <w:ind w:firstLine="630" w:firstLineChars="300"/>
        <w:rPr>
          <w:rFonts w:hint="default" w:cs="宋体"/>
          <w:sz w:val="21"/>
          <w:szCs w:val="21"/>
        </w:rPr>
      </w:pPr>
      <w:r>
        <w:rPr>
          <w:rFonts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522"/>
        <w:gridCol w:w="2364"/>
        <w:gridCol w:w="1187"/>
        <w:gridCol w:w="721"/>
        <w:gridCol w:w="1659"/>
        <w:gridCol w:w="1429"/>
        <w:gridCol w:w="697"/>
        <w:gridCol w:w="3043"/>
        <w:gridCol w:w="1630"/>
      </w:tblGrid>
      <w:tr w14:paraId="0DF1486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979323D">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18712B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C778471">
            <w:pPr>
              <w:pageBreakBefore w:val="0"/>
              <w:widowControl/>
              <w:kinsoku/>
              <w:overflowPunct/>
              <w:topLinePunct w:val="0"/>
              <w:autoSpaceDN/>
              <w:bidi w:val="0"/>
              <w:adjustRightInd/>
              <w:snapToGrid w:val="0"/>
              <w:spacing w:line="20" w:lineRule="atLeas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670E3B75">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EA0E5F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49326E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AC2045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7959E5F">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公开06表</w:t>
            </w:r>
          </w:p>
        </w:tc>
      </w:tr>
      <w:tr w14:paraId="2E12607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04B0D5E">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D91D6DC">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02310A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99F83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F640FA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EC16A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202B0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8E62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C5A88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公用经费</w:t>
            </w:r>
          </w:p>
        </w:tc>
      </w:tr>
      <w:tr w14:paraId="4155129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490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ADAA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F632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BDFE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633E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006C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D85C7">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D4F00">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88AE2">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金额</w:t>
            </w:r>
          </w:p>
        </w:tc>
      </w:tr>
      <w:tr w14:paraId="46CB905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395E4">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5F6D2">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117CF">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77669">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86609">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F5E0E">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B6F49">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CD799">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390D2">
            <w:pPr>
              <w:pageBreakBefore w:val="0"/>
              <w:widowControl/>
              <w:kinsoku/>
              <w:overflowPunct/>
              <w:topLinePunct w:val="0"/>
              <w:autoSpaceDN/>
              <w:bidi w:val="0"/>
              <w:adjustRightInd/>
              <w:snapToGrid w:val="0"/>
              <w:spacing w:line="20" w:lineRule="atLeast"/>
              <w:jc w:val="center"/>
              <w:rPr>
                <w:rFonts w:hint="default" w:cs="宋体"/>
                <w:b/>
                <w:color w:val="000000"/>
                <w:sz w:val="18"/>
                <w:szCs w:val="18"/>
              </w:rPr>
            </w:pPr>
          </w:p>
        </w:tc>
      </w:tr>
      <w:tr w14:paraId="2CA40B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8C4D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F3D9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382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364.36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F9F6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ED26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7D7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45.80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16E4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625D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FEE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r>
      <w:tr w14:paraId="657F7B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7954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019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B27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45.86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402F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3FE6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D02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6CA9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C928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D8B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1F14A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83DC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9E24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087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36.13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80D3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7CC1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64F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E50A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6C1E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D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r>
      <w:tr w14:paraId="446CB1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8C9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38CB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67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70.93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6AB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0D14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5CB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8225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5C2F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BA4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7D7A0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4CD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7D5C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C0B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7C5B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FA1C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471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F86C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CC25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914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1471A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F67C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C733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BAB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49B1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DCB8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4D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F4BB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1D1C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608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9EF28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5A16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47CE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EA0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31.71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018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D011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423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7FF8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E2CF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139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914F5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A1D2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40EB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2DC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147.50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F1F1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7A3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A5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60E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9F1F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797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0B907E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7F1B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F81A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71B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2294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204D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3EF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27EA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1B4E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7CB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FDC1C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0E16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117B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10F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C06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AE95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6F7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04C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1F44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499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7B9B8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E0B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9ECD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540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8979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506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9A5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2D06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9A74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995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6C1A4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B8F2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C199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C75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18.57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F715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8648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CC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D8E1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F480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383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3DAE5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298D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D533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6DE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BAE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13AF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76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CF3E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35F7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F67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41B4F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CECA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A420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518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0C54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894A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111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DE4D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A4E4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6E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067A8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FD63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B882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2E7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261.93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0E81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32E5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1A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21D2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D1C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3DA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6A924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F08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B060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F32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86F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72D3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D2A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764C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0B23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ADC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4823A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AC1B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303F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F17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4533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6402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0E1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58FD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E34E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911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7A9B0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A1C4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9DBF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FB07">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C82E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3DD2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809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0FD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42CE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47D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786C7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1436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37BE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7D2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3F4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0E5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DA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AE3F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1611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95A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31BAF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04B9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1BFF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DA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238.38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A053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DD22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DAC6">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140F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08FA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7D1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30D1F3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21A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4C75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3454">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8A18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B5D3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AA02">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A18F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8FC8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3731">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29AC5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46A5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C63B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03E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23.55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7B1E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DADD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D61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4029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F6291">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4E8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672E7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B67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664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798D">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6AC1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F0E4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54FA">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280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C3292">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83C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20C21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BC14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5F96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9C4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E6B6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39E4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D2A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1A6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A99D5">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2D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7CDA2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647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8DDE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FE6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30E1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2BA6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2E20">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7432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6776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4DC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6EB36F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79E3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8418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47E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55B0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2CED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6C5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10.20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106A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CE79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CB5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333B3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B43C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C205E">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FE0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F48D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D0B6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8E09">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A39CF">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A946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E5A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57A211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8464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9E05C">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25C65">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A444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CFD9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C8BB">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52E4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A4B3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42F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26F2E3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3DFD4">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47B0C">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DE42B">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17A9">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38A90">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76B8">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4EC54">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4CA0C">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4035">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r>
      <w:tr w14:paraId="787A54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ED5F">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9CB6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063091">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9C06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3E7DB">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A85F">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636C5">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3460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3AF0">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5403AB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74960">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E3D80">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E7A0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D3D96">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2122A">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7393">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7C01">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0D80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9BDB">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482845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62CE6">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5297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A6B1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B1348">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D0C7">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0B3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73B53">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7C62">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5577">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4F6948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C2C28">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14489">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053A37">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1BEF3">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0B98D">
            <w:pPr>
              <w:pageBreakBefore w:val="0"/>
              <w:widowControl/>
              <w:kinsoku/>
              <w:overflowPunct/>
              <w:topLinePunct w:val="0"/>
              <w:autoSpaceDN/>
              <w:bidi w:val="0"/>
              <w:adjustRightInd/>
              <w:snapToGrid w:val="0"/>
              <w:spacing w:line="20" w:lineRule="atLeas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032C">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A3BCD">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23318">
            <w:pPr>
              <w:pageBreakBefore w:val="0"/>
              <w:widowControl/>
              <w:kinsoku/>
              <w:overflowPunct/>
              <w:topLinePunct w:val="0"/>
              <w:autoSpaceDN/>
              <w:bidi w:val="0"/>
              <w:adjustRightInd/>
              <w:snapToGrid w:val="0"/>
              <w:spacing w:line="20" w:lineRule="atLeas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F337">
            <w:pPr>
              <w:pageBreakBefore w:val="0"/>
              <w:widowControl/>
              <w:kinsoku/>
              <w:overflowPunct/>
              <w:topLinePunct w:val="0"/>
              <w:autoSpaceDN/>
              <w:bidi w:val="0"/>
              <w:adjustRightInd/>
              <w:snapToGrid w:val="0"/>
              <w:spacing w:line="20" w:lineRule="atLeast"/>
              <w:jc w:val="right"/>
              <w:rPr>
                <w:rFonts w:hint="default" w:cs="宋体"/>
                <w:color w:val="000000"/>
                <w:sz w:val="18"/>
                <w:szCs w:val="18"/>
              </w:rPr>
            </w:pPr>
          </w:p>
        </w:tc>
      </w:tr>
      <w:tr w14:paraId="0A8C0C5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530E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938FB4">
            <w:pPr>
              <w:pageBreakBefore w:val="0"/>
              <w:widowControl/>
              <w:kinsoku/>
              <w:wordWrap w:val="0"/>
              <w:overflowPunct/>
              <w:topLinePunct w:val="0"/>
              <w:autoSpaceDN/>
              <w:bidi w:val="0"/>
              <w:adjustRightInd/>
              <w:snapToGrid w:val="0"/>
              <w:spacing w:line="20" w:lineRule="atLeast"/>
              <w:jc w:val="right"/>
              <w:textAlignment w:val="bottom"/>
              <w:rPr>
                <w:rFonts w:hint="default" w:cs="宋体"/>
                <w:color w:val="000000"/>
                <w:sz w:val="18"/>
                <w:szCs w:val="18"/>
              </w:rPr>
            </w:pPr>
            <w:r>
              <w:rPr>
                <w:rFonts w:cs="宋体"/>
                <w:color w:val="000000"/>
                <w:sz w:val="18"/>
                <w:szCs w:val="18"/>
              </w:rPr>
              <w:t>626.29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A3624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1E5E">
            <w:pPr>
              <w:pageBreakBefore w:val="0"/>
              <w:widowControl/>
              <w:kinsoku/>
              <w:wordWrap w:val="0"/>
              <w:overflowPunct/>
              <w:topLinePunct w:val="0"/>
              <w:autoSpaceDN/>
              <w:bidi w:val="0"/>
              <w:adjustRightInd/>
              <w:snapToGrid w:val="0"/>
              <w:spacing w:line="20" w:lineRule="atLeast"/>
              <w:jc w:val="right"/>
              <w:textAlignment w:val="center"/>
              <w:rPr>
                <w:rFonts w:hint="default" w:cs="宋体"/>
                <w:color w:val="000000"/>
                <w:sz w:val="18"/>
                <w:szCs w:val="18"/>
              </w:rPr>
            </w:pPr>
            <w:r>
              <w:rPr>
                <w:rFonts w:cs="宋体"/>
                <w:color w:val="000000"/>
                <w:sz w:val="18"/>
                <w:szCs w:val="18"/>
              </w:rPr>
              <w:t>47.09</w:t>
            </w:r>
            <w:r>
              <w:rPr>
                <w:color w:val="000000"/>
                <w:sz w:val="18"/>
                <w:u w:color="auto"/>
              </w:rPr>
              <w:t xml:space="preserve"> </w:t>
            </w:r>
          </w:p>
        </w:tc>
      </w:tr>
    </w:tbl>
    <w:p w14:paraId="74A7BD4E">
      <w:pPr>
        <w:pageBreakBefore w:val="0"/>
        <w:widowControl/>
        <w:kinsoku/>
        <w:overflowPunct/>
        <w:topLinePunct w:val="0"/>
        <w:autoSpaceDN/>
        <w:bidi w:val="0"/>
        <w:adjustRightInd/>
        <w:snapToGrid w:val="0"/>
        <w:spacing w:line="20" w:lineRule="atLeas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319"/>
        <w:gridCol w:w="4630"/>
        <w:gridCol w:w="1192"/>
        <w:gridCol w:w="1192"/>
        <w:gridCol w:w="1192"/>
        <w:gridCol w:w="1192"/>
        <w:gridCol w:w="1248"/>
        <w:gridCol w:w="1304"/>
      </w:tblGrid>
      <w:tr w14:paraId="1B75206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50A90D8">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7B7F1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FEFAE6C">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BB0A583">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D89833">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4EA77C">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9D9EFFC">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06BB71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公开07表</w:t>
            </w:r>
          </w:p>
        </w:tc>
      </w:tr>
      <w:tr w14:paraId="239C5D59">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C1EF896">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15E5FC">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8EA066">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6FDE69">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12F2EBD">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81E92B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214B9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0ABE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D8437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A3F50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2835B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A6C47">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年末结转和结余</w:t>
            </w:r>
          </w:p>
        </w:tc>
      </w:tr>
      <w:tr w14:paraId="0CEAEC3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8D354">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A4F6D">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624B5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7B0D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C0D21">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879FF">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FFBCD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EBB8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245E925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6AA0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AEAA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CA721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83AD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C2E8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40D6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6716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32DF4">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5583BAE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1599F">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AA245">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6F3F6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BA98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28A3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55D79">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1AD57">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9CCA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0C1B04D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0FC93">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76C9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D83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24,383.52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BC1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24,383.52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CDF9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DBF0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bCs/>
                <w:color w:val="000000"/>
                <w:sz w:val="20"/>
                <w:szCs w:val="20"/>
              </w:rPr>
              <w:t>24,383.52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9FD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r>
      <w:tr w14:paraId="565A6FE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216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D389">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3A6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8ED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AC4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54B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A89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131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0999ABD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A4D8">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39EC">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2CB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422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045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19D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D1AE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1,719.41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788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F7DA62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F710">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5B9F">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B006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2B6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503.70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825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503.70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DA7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CB8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503.70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7A8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E45CF4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422E">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6B654">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9B6E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FAE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1,215.71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966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1,215.71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3C1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D89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1,215.71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253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F8F1BD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1F6D">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51CC">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DF4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545E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2,796.35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7A7F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2,796.35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0AB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84F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2,796.35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D8E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E32203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5F84">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6D78">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216E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7D53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275.72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BC4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275.72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186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3552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275.72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AA0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327A0DB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5A9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690C">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F80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D57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275.72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4D3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275.72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1334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AE2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275.72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388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836D98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F32E">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C3BDE">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国有土地收益基金安排的支出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87C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0D0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968.00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3396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968.00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716C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F6E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968.00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E9B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3FF99D7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7E69">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2121001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4573">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DB5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236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968.00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41A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968.00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712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A793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968.00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78D9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A4D38E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FFA8">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D1FB4">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08F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2D8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101.74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F2E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101.74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FBDF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47A2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101.74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671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0F5E043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67E1">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BE47">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A3C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006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1,450.90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FC0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1,450.90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6C7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3AC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1,450.90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981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46AFE9B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8C10">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F346">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CBF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068F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90.40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C7A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90.40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88F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E8E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90.40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05D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1285A3B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DED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C5EB1">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400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35A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1,360.50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67F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1,360.50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D23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DD80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1,360.50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D80D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5B24849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561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DFEC8">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49B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AE3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5,867.76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EAC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5,867.76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69D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3CF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5,867.76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B2B5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161CDE2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857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21366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B2ACA">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大中型水库库区基金安排的支出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F3C9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1C3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401.00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A57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401.00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08D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A5F8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401.00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4BD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9F946F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E0C0">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2136601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5ED4">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62CF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C6F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401.00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734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401.00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30B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6BC7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401.00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F98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009140A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2FAE">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69DA7">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73A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9EF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C9CC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A2D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301D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171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24C1E71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3A20">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2136701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026B4">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7E14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05E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AE86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A900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E54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7857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2505B7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16E3">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2136702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3DF2">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解决移民遗留问题</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001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92E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109.76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3A8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109.76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E3F2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F6ED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109.76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B3A8">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1F91900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3DCF">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D133">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580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D4E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5,322.00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455A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5,322.00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C630">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BE7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5,322.00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2C1A">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4F5C90D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A65E">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8A13">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1BF1">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A1F14">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5,322.00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E26F">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5,322.00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DCC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302D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5,322.00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94A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63D1457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BE8C">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C110">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F69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1FA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FB47">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C4E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C9463">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1D06">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73E573C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398A">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5AF8">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248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6ABB">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621C">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679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A013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b/>
                <w:color w:val="000000"/>
                <w:sz w:val="20"/>
                <w:szCs w:val="20"/>
              </w:rPr>
              <w:t>14,000.00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FB0E">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r w14:paraId="7D7259D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BA51">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8A49C">
            <w:pPr>
              <w:pageBreakBefore w:val="0"/>
              <w:widowControl/>
              <w:kinsoku/>
              <w:overflowPunct/>
              <w:topLinePunct w:val="0"/>
              <w:autoSpaceDN/>
              <w:bidi w:val="0"/>
              <w:adjustRightInd/>
              <w:snapToGrid w:val="0"/>
              <w:spacing w:line="20" w:lineRule="atLeast"/>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278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D01F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14,000.00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E45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14,000.00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76A05">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5E69">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rFonts w:cs="宋体"/>
                <w:color w:val="000000"/>
                <w:sz w:val="20"/>
                <w:szCs w:val="20"/>
              </w:rPr>
              <w:t>14,000.00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0E0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color w:val="000000"/>
                <w:sz w:val="20"/>
                <w:u w:color="auto"/>
              </w:rPr>
              <w:t xml:space="preserve"> </w:t>
            </w:r>
          </w:p>
        </w:tc>
      </w:tr>
    </w:tbl>
    <w:p w14:paraId="51CA38FC">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E47041">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624"/>
        <w:gridCol w:w="2641"/>
        <w:gridCol w:w="2826"/>
        <w:gridCol w:w="172"/>
        <w:gridCol w:w="2999"/>
        <w:gridCol w:w="66"/>
        <w:gridCol w:w="2941"/>
      </w:tblGrid>
      <w:tr w14:paraId="6F8813C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D5AADB">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FCCDE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EEC1669">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E5C230">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5B7E7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公开08表</w:t>
            </w:r>
          </w:p>
        </w:tc>
      </w:tr>
      <w:tr w14:paraId="59449B3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F3D6FC0">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E4FFB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F2D19ED">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01BC4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096760">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85FAF2">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20"/>
                <w:szCs w:val="20"/>
              </w:rPr>
            </w:pPr>
            <w:r>
              <w:rPr>
                <w:rFonts w:cs="宋体"/>
                <w:b/>
                <w:color w:val="000000"/>
                <w:sz w:val="20"/>
                <w:szCs w:val="20"/>
              </w:rPr>
              <w:t>本年支出</w:t>
            </w:r>
          </w:p>
        </w:tc>
      </w:tr>
      <w:tr w14:paraId="28364D6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5DF0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488BB">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A45B3">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C0B79">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0865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项目支出</w:t>
            </w:r>
          </w:p>
        </w:tc>
      </w:tr>
      <w:tr w14:paraId="417F8A3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C5AE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A7CF3">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CC2C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6508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DE187A">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5BB34E0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EC8E0">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A2022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E8A2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8AD0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11626">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28D4CF6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64E3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AB75C">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C7411">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4CC2D">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CE3A8">
            <w:pPr>
              <w:pageBreakBefore w:val="0"/>
              <w:widowControl/>
              <w:kinsoku/>
              <w:overflowPunct/>
              <w:topLinePunct w:val="0"/>
              <w:autoSpaceDN/>
              <w:bidi w:val="0"/>
              <w:adjustRightInd/>
              <w:snapToGrid w:val="0"/>
              <w:spacing w:line="20" w:lineRule="atLeast"/>
              <w:jc w:val="center"/>
              <w:rPr>
                <w:rFonts w:hint="default" w:cs="宋体"/>
                <w:b/>
                <w:color w:val="000000"/>
                <w:sz w:val="20"/>
                <w:szCs w:val="20"/>
              </w:rPr>
            </w:pPr>
          </w:p>
        </w:tc>
      </w:tr>
      <w:tr w14:paraId="651ECAE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0187A">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CF832">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CB27C">
            <w:pPr>
              <w:pageBreakBefore w:val="0"/>
              <w:widowControl/>
              <w:kinsoku/>
              <w:overflowPunct/>
              <w:topLinePunct w:val="0"/>
              <w:autoSpaceDN/>
              <w:bidi w:val="0"/>
              <w:adjustRightInd/>
              <w:snapToGrid w:val="0"/>
              <w:spacing w:line="20" w:lineRule="atLeas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5DA3D">
            <w:pPr>
              <w:pageBreakBefore w:val="0"/>
              <w:widowControl/>
              <w:kinsoku/>
              <w:wordWrap w:val="0"/>
              <w:overflowPunct/>
              <w:topLinePunct w:val="0"/>
              <w:autoSpaceDN/>
              <w:bidi w:val="0"/>
              <w:adjustRightInd/>
              <w:snapToGrid w:val="0"/>
              <w:spacing w:line="20" w:lineRule="atLeast"/>
              <w:jc w:val="right"/>
              <w:textAlignment w:val="center"/>
              <w:rPr>
                <w:rFonts w:hint="default" w:cs="宋体"/>
                <w:b/>
                <w:color w:val="000000"/>
                <w:sz w:val="20"/>
                <w:szCs w:val="20"/>
              </w:rPr>
            </w:pPr>
            <w:r>
              <w:rPr>
                <w:b/>
                <w:color w:val="000000"/>
                <w:sz w:val="20"/>
                <w:u w:color="auto"/>
              </w:rPr>
              <w:t xml:space="preserve"> </w:t>
            </w:r>
          </w:p>
        </w:tc>
      </w:tr>
    </w:tbl>
    <w:p w14:paraId="43AAF79A">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4877" w:type="pct"/>
        <w:tblInd w:w="0" w:type="dxa"/>
        <w:tblLayout w:type="fixed"/>
        <w:tblCellMar>
          <w:top w:w="0" w:type="dxa"/>
          <w:left w:w="170" w:type="dxa"/>
          <w:bottom w:w="0" w:type="dxa"/>
          <w:right w:w="170" w:type="dxa"/>
        </w:tblCellMar>
      </w:tblPr>
      <w:tblGrid>
        <w:gridCol w:w="3487"/>
        <w:gridCol w:w="1869"/>
        <w:gridCol w:w="1825"/>
        <w:gridCol w:w="3904"/>
        <w:gridCol w:w="1859"/>
      </w:tblGrid>
      <w:tr w14:paraId="5FA8FB6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C002C0B">
            <w:pPr>
              <w:pageBreakBefore w:val="0"/>
              <w:widowControl/>
              <w:kinsoku/>
              <w:overflowPunct/>
              <w:topLinePunct w:val="0"/>
              <w:autoSpaceDN/>
              <w:bidi w:val="0"/>
              <w:adjustRightInd/>
              <w:snapToGrid w:val="0"/>
              <w:spacing w:line="20" w:lineRule="atLeast"/>
              <w:jc w:val="center"/>
              <w:textAlignment w:val="bottom"/>
              <w:rPr>
                <w:rFonts w:hint="default" w:cs="宋体"/>
                <w:b/>
                <w:color w:val="000000"/>
                <w:sz w:val="32"/>
                <w:szCs w:val="32"/>
              </w:rPr>
            </w:pPr>
            <w:r>
              <w:rPr>
                <w:rFonts w:cs="宋体"/>
                <w:b/>
                <w:color w:val="000000"/>
                <w:sz w:val="32"/>
                <w:szCs w:val="32"/>
              </w:rPr>
              <w:t>机构运行信息表</w:t>
            </w:r>
          </w:p>
        </w:tc>
      </w:tr>
      <w:tr w14:paraId="102204C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B2AFF93">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458E1DC">
            <w:pPr>
              <w:pageBreakBefore w:val="0"/>
              <w:widowControl/>
              <w:kinsoku/>
              <w:overflowPunct/>
              <w:topLinePunct w:val="0"/>
              <w:autoSpaceDN/>
              <w:bidi w:val="0"/>
              <w:adjustRightInd/>
              <w:snapToGrid w:val="0"/>
              <w:spacing w:line="20" w:lineRule="atLeas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E466FFE">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329E6A6">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D8AEC15">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公开09表</w:t>
            </w:r>
          </w:p>
        </w:tc>
      </w:tr>
      <w:tr w14:paraId="029069AA">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585DBA">
            <w:pPr>
              <w:pageBreakBefore w:val="0"/>
              <w:widowControl/>
              <w:kinsoku/>
              <w:overflowPunct/>
              <w:topLinePunct w:val="0"/>
              <w:autoSpaceDN/>
              <w:bidi w:val="0"/>
              <w:adjustRightInd/>
              <w:snapToGrid w:val="0"/>
              <w:spacing w:line="20" w:lineRule="atLeas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CF68145">
            <w:pPr>
              <w:pageBreakBefore w:val="0"/>
              <w:widowControl/>
              <w:kinsoku/>
              <w:overflowPunct/>
              <w:topLinePunct w:val="0"/>
              <w:autoSpaceDN/>
              <w:bidi w:val="0"/>
              <w:adjustRightInd/>
              <w:snapToGrid w:val="0"/>
              <w:spacing w:line="20" w:lineRule="atLeas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D7516F5">
            <w:pPr>
              <w:pageBreakBefore w:val="0"/>
              <w:widowControl/>
              <w:kinsoku/>
              <w:overflowPunct/>
              <w:topLinePunct w:val="0"/>
              <w:autoSpaceDN/>
              <w:bidi w:val="0"/>
              <w:adjustRightInd/>
              <w:snapToGrid w:val="0"/>
              <w:spacing w:line="20" w:lineRule="atLeas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C9A68D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97240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4241DE">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527516">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D1716C">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A08F85">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304A37">
            <w:pPr>
              <w:pageBreakBefore w:val="0"/>
              <w:widowControl/>
              <w:kinsoku/>
              <w:overflowPunct/>
              <w:topLinePunct w:val="0"/>
              <w:autoSpaceDN/>
              <w:bidi w:val="0"/>
              <w:adjustRightInd/>
              <w:snapToGrid w:val="0"/>
              <w:spacing w:line="20" w:lineRule="atLeast"/>
              <w:jc w:val="center"/>
              <w:textAlignment w:val="center"/>
              <w:rPr>
                <w:rFonts w:hint="default" w:cs="宋体"/>
                <w:b/>
                <w:color w:val="000000"/>
                <w:sz w:val="16"/>
                <w:szCs w:val="16"/>
              </w:rPr>
            </w:pPr>
            <w:r>
              <w:rPr>
                <w:rFonts w:cs="宋体"/>
                <w:b/>
                <w:color w:val="000000"/>
                <w:sz w:val="16"/>
                <w:szCs w:val="16"/>
              </w:rPr>
              <w:t>决算数</w:t>
            </w:r>
          </w:p>
        </w:tc>
      </w:tr>
      <w:tr w14:paraId="67482B6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9BC4EF">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00D3F">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8E0C9">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E70AD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3B095">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47.09</w:t>
            </w:r>
            <w:r>
              <w:rPr>
                <w:color w:val="000000"/>
                <w:sz w:val="16"/>
                <w:u w:color="auto"/>
              </w:rPr>
              <w:t xml:space="preserve"> </w:t>
            </w:r>
          </w:p>
        </w:tc>
      </w:tr>
      <w:tr w14:paraId="665C60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9EE63D">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10C7D">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3.20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CD12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3.20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E6116C">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CB678">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47.09</w:t>
            </w:r>
            <w:r>
              <w:rPr>
                <w:color w:val="000000"/>
                <w:sz w:val="16"/>
                <w:u w:color="auto"/>
              </w:rPr>
              <w:t xml:space="preserve"> </w:t>
            </w:r>
          </w:p>
        </w:tc>
      </w:tr>
      <w:tr w14:paraId="5D24BC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6F5897">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84793">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B00D1">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595735">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0C4D4">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4F3E5B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422A5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CD9CA">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969D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ED6743">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B2006">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r>
      <w:tr w14:paraId="3A5C3B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5541C3">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CCC0D">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64A2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79A4ED">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D2B48D">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 xml:space="preserve">3   </w:t>
            </w:r>
          </w:p>
        </w:tc>
      </w:tr>
      <w:tr w14:paraId="43C3A9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5A49A6">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2B4C8">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D82C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C5ACC0">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C622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7BC98C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51363A">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25B1AB">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0.70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528D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701DDC">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8886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166687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4A3619">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6CA19">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AD92F">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03FEC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E4958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01A209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BA0CBA">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E4CB0">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E2B6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122214">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47C58">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14:paraId="4CDF7C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EB26EF">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1A3D4">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40F1C">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6E3581">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44A1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158579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335181">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AC14D">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0CC11">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91E34F">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5151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6E6B86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9AA941">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19E00">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AB7BAD">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B01C76">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90AFB">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5D8841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5E918B">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F54AF">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5ED6EC">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ABA9F5">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ECECC">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29CA35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3B37C0">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50602">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B60F48">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F67D6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F734A">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r>
      <w:tr w14:paraId="274D74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5436B">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27AAF">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11A6E4">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63DF6C">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7B6B5">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r>
      <w:tr w14:paraId="1A06D4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5BEDB">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46899">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773225">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1B291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DB0AF9">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16,150.43</w:t>
            </w:r>
            <w:r>
              <w:rPr>
                <w:color w:val="000000"/>
                <w:sz w:val="16"/>
                <w:u w:color="auto"/>
              </w:rPr>
              <w:t xml:space="preserve"> </w:t>
            </w:r>
          </w:p>
        </w:tc>
      </w:tr>
      <w:tr w14:paraId="22C408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F2C058">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FBF43">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4D1EC8">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E4D056">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85727">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2.22</w:t>
            </w:r>
            <w:r>
              <w:rPr>
                <w:color w:val="000000"/>
                <w:sz w:val="16"/>
                <w:u w:color="auto"/>
              </w:rPr>
              <w:t xml:space="preserve"> </w:t>
            </w:r>
          </w:p>
        </w:tc>
      </w:tr>
      <w:tr w14:paraId="4E6583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7303CE">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C7A72">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7C89B0">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73FD5">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5DEA3">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15,667.62</w:t>
            </w:r>
            <w:r>
              <w:rPr>
                <w:color w:val="000000"/>
                <w:sz w:val="16"/>
                <w:u w:color="auto"/>
              </w:rPr>
              <w:t xml:space="preserve"> </w:t>
            </w:r>
          </w:p>
        </w:tc>
      </w:tr>
      <w:tr w14:paraId="30E114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8F89DC">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EF682">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434AA3">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DEDDBC">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20C33">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480.60</w:t>
            </w:r>
            <w:r>
              <w:rPr>
                <w:color w:val="000000"/>
                <w:sz w:val="16"/>
                <w:u w:color="auto"/>
              </w:rPr>
              <w:t xml:space="preserve"> </w:t>
            </w:r>
          </w:p>
        </w:tc>
      </w:tr>
      <w:tr w14:paraId="396E53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F8E3EE">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7F918">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9F4621">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F05A6F">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99C03">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16,150.43</w:t>
            </w:r>
            <w:r>
              <w:rPr>
                <w:color w:val="000000"/>
                <w:sz w:val="16"/>
                <w:u w:color="auto"/>
              </w:rPr>
              <w:t xml:space="preserve"> </w:t>
            </w:r>
          </w:p>
        </w:tc>
      </w:tr>
      <w:tr w14:paraId="37B490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ED8F53">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887D0">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01B30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43314D">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7AD02">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2.22</w:t>
            </w:r>
            <w:r>
              <w:rPr>
                <w:color w:val="000000"/>
                <w:sz w:val="16"/>
                <w:u w:color="auto"/>
              </w:rPr>
              <w:t xml:space="preserve"> </w:t>
            </w:r>
          </w:p>
        </w:tc>
      </w:tr>
      <w:tr w14:paraId="25B7229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B1D0E9">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45658">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736AE">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56C4D1">
            <w:pPr>
              <w:pageBreakBefore w:val="0"/>
              <w:widowControl/>
              <w:kinsoku/>
              <w:overflowPunct/>
              <w:topLinePunct w:val="0"/>
              <w:autoSpaceDN/>
              <w:bidi w:val="0"/>
              <w:adjustRightInd/>
              <w:snapToGrid w:val="0"/>
              <w:spacing w:line="20" w:lineRule="atLeas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64F8F">
            <w:pPr>
              <w:pageBreakBefore w:val="0"/>
              <w:widowControl/>
              <w:kinsoku/>
              <w:overflowPunct/>
              <w:topLinePunct w:val="0"/>
              <w:autoSpaceDN/>
              <w:bidi w:val="0"/>
              <w:adjustRightInd/>
              <w:snapToGrid w:val="0"/>
              <w:spacing w:line="20" w:lineRule="atLeast"/>
              <w:jc w:val="right"/>
              <w:rPr>
                <w:rFonts w:hint="default" w:cs="宋体"/>
                <w:color w:val="000000"/>
                <w:sz w:val="16"/>
                <w:szCs w:val="16"/>
              </w:rPr>
            </w:pPr>
          </w:p>
        </w:tc>
      </w:tr>
      <w:tr w14:paraId="44849E4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83AB0">
            <w:pPr>
              <w:pageBreakBefore w:val="0"/>
              <w:widowControl/>
              <w:kinsoku/>
              <w:overflowPunct/>
              <w:topLinePunct w:val="0"/>
              <w:autoSpaceDN/>
              <w:bidi w:val="0"/>
              <w:adjustRightInd/>
              <w:snapToGrid w:val="0"/>
              <w:spacing w:line="20" w:lineRule="atLeas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AC732">
            <w:pPr>
              <w:pageBreakBefore w:val="0"/>
              <w:widowControl/>
              <w:kinsoku/>
              <w:overflowPunct/>
              <w:topLinePunct w:val="0"/>
              <w:autoSpaceDN/>
              <w:bidi w:val="0"/>
              <w:adjustRightInd/>
              <w:snapToGrid w:val="0"/>
              <w:spacing w:line="20" w:lineRule="atLeas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07DF6">
            <w:pPr>
              <w:pageBreakBefore w:val="0"/>
              <w:widowControl/>
              <w:kinsoku/>
              <w:overflowPunct/>
              <w:topLinePunct w:val="0"/>
              <w:autoSpaceDN/>
              <w:bidi w:val="0"/>
              <w:adjustRightInd/>
              <w:snapToGrid w:val="0"/>
              <w:spacing w:line="20" w:lineRule="atLeas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E73542">
            <w:pPr>
              <w:pageBreakBefore w:val="0"/>
              <w:widowControl/>
              <w:kinsoku/>
              <w:overflowPunct/>
              <w:topLinePunct w:val="0"/>
              <w:autoSpaceDN/>
              <w:bidi w:val="0"/>
              <w:adjustRightInd/>
              <w:snapToGrid w:val="0"/>
              <w:spacing w:line="20" w:lineRule="atLeas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05AA9">
            <w:pPr>
              <w:pageBreakBefore w:val="0"/>
              <w:widowControl/>
              <w:kinsoku/>
              <w:overflowPunct/>
              <w:topLinePunct w:val="0"/>
              <w:autoSpaceDN/>
              <w:bidi w:val="0"/>
              <w:adjustRightInd/>
              <w:snapToGrid w:val="0"/>
              <w:spacing w:line="20" w:lineRule="atLeast"/>
              <w:jc w:val="right"/>
              <w:rPr>
                <w:rFonts w:hint="default" w:cs="宋体"/>
                <w:color w:val="000000"/>
                <w:sz w:val="16"/>
                <w:szCs w:val="16"/>
              </w:rPr>
            </w:pPr>
          </w:p>
        </w:tc>
      </w:tr>
    </w:tbl>
    <w:p w14:paraId="12218617">
      <w:pPr>
        <w:pageBreakBefore w:val="0"/>
        <w:widowControl/>
        <w:kinsoku/>
        <w:overflowPunct/>
        <w:topLinePunct w:val="0"/>
        <w:autoSpaceDN/>
        <w:bidi w:val="0"/>
        <w:adjustRightInd/>
        <w:snapToGrid w:val="0"/>
        <w:spacing w:line="20" w:lineRule="atLeas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DA38">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6305B7">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A6305B7">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ADA2BF">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ADA2BF">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DE16">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BhNmFiM2M5ZTdhMWQ3NTAwMjk3ZTUwM2Q3MD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7D008C"/>
    <w:rsid w:val="057448C8"/>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809B7"/>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DD3086"/>
    <w:rsid w:val="1EF67CA4"/>
    <w:rsid w:val="1F020D3A"/>
    <w:rsid w:val="1F2C5189"/>
    <w:rsid w:val="1F4B0B02"/>
    <w:rsid w:val="1FBB35CD"/>
    <w:rsid w:val="1FCD26AF"/>
    <w:rsid w:val="20642787"/>
    <w:rsid w:val="21556F04"/>
    <w:rsid w:val="22403BD3"/>
    <w:rsid w:val="230053A8"/>
    <w:rsid w:val="2404517A"/>
    <w:rsid w:val="24990DF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C44675"/>
    <w:rsid w:val="35213875"/>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996AA5"/>
    <w:rsid w:val="4B135857"/>
    <w:rsid w:val="4B7951CB"/>
    <w:rsid w:val="4B7C315C"/>
    <w:rsid w:val="4DAC4ACA"/>
    <w:rsid w:val="4DBE01D2"/>
    <w:rsid w:val="4E4A003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2503C0"/>
    <w:rsid w:val="554E5773"/>
    <w:rsid w:val="555829E0"/>
    <w:rsid w:val="555A3CBC"/>
    <w:rsid w:val="5582012B"/>
    <w:rsid w:val="558E4E05"/>
    <w:rsid w:val="55BE2E85"/>
    <w:rsid w:val="55D65B5E"/>
    <w:rsid w:val="56530F5D"/>
    <w:rsid w:val="567700D3"/>
    <w:rsid w:val="56FF7E9E"/>
    <w:rsid w:val="578867FC"/>
    <w:rsid w:val="5842572D"/>
    <w:rsid w:val="5A3B59D6"/>
    <w:rsid w:val="5AD134D8"/>
    <w:rsid w:val="5C263CE4"/>
    <w:rsid w:val="5C5D2777"/>
    <w:rsid w:val="5CF66BF3"/>
    <w:rsid w:val="5D290C69"/>
    <w:rsid w:val="5DFA3520"/>
    <w:rsid w:val="5F2D4A41"/>
    <w:rsid w:val="60C74F6C"/>
    <w:rsid w:val="61025A59"/>
    <w:rsid w:val="613D5BBC"/>
    <w:rsid w:val="61536C39"/>
    <w:rsid w:val="62944DD7"/>
    <w:rsid w:val="6319381F"/>
    <w:rsid w:val="634F5797"/>
    <w:rsid w:val="636F5248"/>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DA4C11"/>
    <w:rsid w:val="6A6C7940"/>
    <w:rsid w:val="6AAD2300"/>
    <w:rsid w:val="6B474EF5"/>
    <w:rsid w:val="6C0A5AC5"/>
    <w:rsid w:val="6C560CAE"/>
    <w:rsid w:val="6C576495"/>
    <w:rsid w:val="6D635AD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81D09"/>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6"/>
    <w:qFormat/>
    <w:uiPriority w:val="0"/>
    <w:rPr>
      <w:rFonts w:ascii="宋体" w:hAnsi="宋体"/>
      <w:sz w:val="18"/>
      <w:szCs w:val="18"/>
    </w:rPr>
  </w:style>
  <w:style w:type="character" w:customStyle="1" w:styleId="20">
    <w:name w:val="标题 2 Char"/>
    <w:link w:val="4"/>
    <w:qFormat/>
    <w:uiPriority w:val="0"/>
    <w:rPr>
      <w:rFonts w:ascii="Arial" w:hAnsi="Arial" w:eastAsia="黑体"/>
      <w:b/>
      <w:sz w:val="32"/>
    </w:rPr>
  </w:style>
  <w:style w:type="character" w:customStyle="1" w:styleId="21">
    <w:name w:val="标题 3 Char"/>
    <w:link w:val="5"/>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7970</Words>
  <Characters>8735</Characters>
  <Lines>190</Lines>
  <Paragraphs>53</Paragraphs>
  <TotalTime>9</TotalTime>
  <ScaleCrop>false</ScaleCrop>
  <LinksUpToDate>false</LinksUpToDate>
  <CharactersWithSpaces>8741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2024-12-20T01:47:54Z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EC3263B636084568BEED8D5CEF8C248E_13</vt:lpwstr>
  </property>
</Properties>
</file>