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ascii="方正仿宋_GBK" w:eastAsia="方正仿宋_GBK"/>
          <w:color w:val="FF0000"/>
          <w:sz w:val="32"/>
          <w:szCs w:val="32"/>
        </w:rPr>
      </w:pPr>
    </w:p>
    <w:p>
      <w:pPr>
        <w:spacing w:line="580" w:lineRule="exact"/>
        <w:rPr>
          <w:rFonts w:ascii="方正仿宋_GBK" w:eastAsia="方正仿宋_GBK"/>
          <w:color w:val="FF0000"/>
          <w:sz w:val="32"/>
          <w:szCs w:val="32"/>
        </w:rPr>
      </w:pPr>
    </w:p>
    <w:p>
      <w:pPr>
        <w:spacing w:line="580" w:lineRule="exact"/>
        <w:rPr>
          <w:rFonts w:ascii="方正仿宋_GBK" w:eastAsia="方正仿宋_GBK"/>
          <w:color w:val="FF0000"/>
          <w:sz w:val="32"/>
          <w:szCs w:val="32"/>
        </w:rPr>
      </w:pPr>
    </w:p>
    <w:p>
      <w:pPr>
        <w:ind w:firstLine="358" w:firstLineChars="112"/>
        <w:rPr>
          <w:rFonts w:ascii="方正仿宋_GBK" w:eastAsia="方正仿宋_GBK"/>
          <w:color w:val="FF0000"/>
          <w:sz w:val="32"/>
          <w:szCs w:val="32"/>
        </w:rPr>
      </w:pPr>
      <w:r>
        <w:rPr>
          <w:rFonts w:ascii="方正仿宋_GBK" w:eastAsia="方正仿宋_GBK"/>
          <w:color w:val="FF0000"/>
          <w:sz w:val="32"/>
          <w:szCs w:val="32"/>
        </w:rPr>
        <w:pict>
          <v:shape id="_x0000_i1025" o:spt="136" type="#_x0000_t136" style="height:52.5pt;width:420.75pt;" fillcolor="#FF0000" filled="t" stroked="t" coordsize="21600,21600">
            <v:path/>
            <v:fill on="t" focussize="0,0"/>
            <v:stroke color="#FF0000"/>
            <v:imagedata o:title=""/>
            <o:lock v:ext="edit"/>
            <v:textpath on="t" fitshape="t" fitpath="t" trim="t" xscale="f" string="石柱土家族自治县水利局电子公文" style="font-family:方正小标宋_GBK;font-size:20pt;v-text-align:center;"/>
            <w10:wrap type="none"/>
            <w10:anchorlock/>
          </v:shape>
        </w:pict>
      </w:r>
    </w:p>
    <w:p>
      <w:pPr>
        <w:spacing w:line="560" w:lineRule="exact"/>
        <w:rPr>
          <w:rFonts w:ascii="方正仿宋_GBK" w:eastAsia="方正仿宋_GBK"/>
          <w:color w:val="FF0000"/>
          <w:sz w:val="32"/>
          <w:szCs w:val="32"/>
        </w:rPr>
      </w:pPr>
    </w:p>
    <w:p>
      <w:pPr>
        <w:spacing w:line="560" w:lineRule="exact"/>
        <w:rPr>
          <w:rFonts w:ascii="方正仿宋_GBK" w:eastAsia="方正仿宋_GBK"/>
          <w:color w:val="FF0000"/>
          <w:sz w:val="32"/>
          <w:szCs w:val="32"/>
        </w:rPr>
      </w:pPr>
    </w:p>
    <w:p>
      <w:pPr>
        <w:spacing w:line="560" w:lineRule="exact"/>
        <w:ind w:firstLine="480" w:firstLineChars="150"/>
        <w:jc w:val="center"/>
        <w:rPr>
          <w:rFonts w:hint="default" w:ascii="Times New Roman" w:hAnsi="Times New Roman" w:eastAsia="方正仿宋_GBK" w:cs="Times New Roman"/>
          <w:sz w:val="32"/>
          <w:szCs w:val="32"/>
        </w:rPr>
      </w:pPr>
      <w:r>
        <w:rPr>
          <w:rFonts w:hint="eastAsia" w:ascii="方正仿宋_GBK" w:hAnsi="方正仿宋_GBK" w:eastAsia="方正仿宋_GBK" w:cs="方正仿宋_GBK"/>
          <w:sz w:val="32"/>
          <w:szCs w:val="32"/>
        </w:rPr>
        <w:t>石柱水利许可</w:t>
      </w:r>
      <w:r>
        <w:rPr>
          <w:rFonts w:hint="default" w:ascii="Times New Roman" w:hAnsi="Times New Roman" w:eastAsia="方正仿宋_GBK" w:cs="Times New Roman"/>
          <w:sz w:val="32"/>
          <w:szCs w:val="32"/>
        </w:rPr>
        <w:t>〔2026〕5</w:t>
      </w:r>
      <w:r>
        <w:rPr>
          <w:rFonts w:hint="eastAsia" w:ascii="方正仿宋_GBK" w:hAnsi="方正仿宋_GBK" w:eastAsia="方正仿宋_GBK" w:cs="方正仿宋_GBK"/>
          <w:sz w:val="32"/>
          <w:szCs w:val="32"/>
        </w:rPr>
        <w:t>号</w:t>
      </w:r>
    </w:p>
    <w:p>
      <w:pPr>
        <w:jc w:val="center"/>
        <w:rPr>
          <w:sz w:val="32"/>
          <w:szCs w:val="32"/>
        </w:rPr>
      </w:pPr>
      <w:r>
        <w:rPr>
          <w:rFonts w:ascii="方正仿宋_GBK" w:eastAsia="方正仿宋_GBK"/>
          <w:color w:val="FF0000"/>
          <w:sz w:val="32"/>
          <w:szCs w:val="32"/>
        </w:rPr>
        <w:pict>
          <v:line id="_x0000_s1035" o:spid="_x0000_s1035" o:spt="20" style="position:absolute;left:0pt;margin-left:9pt;margin-top:2.8pt;height:0pt;width:441pt;z-index:251659264;mso-width-relative:page;mso-height-relative:page;" stroked="t" coordsize="21600,21600">
            <v:path arrowok="t"/>
            <v:fill focussize="0,0"/>
            <v:stroke weight="2.25pt" color="#FF0000"/>
            <v:imagedata o:title=""/>
            <o:lock v:ext="edit"/>
          </v:line>
        </w:pict>
      </w:r>
    </w:p>
    <w:p>
      <w:pPr>
        <w:rPr>
          <w:sz w:val="32"/>
          <w:szCs w:val="32"/>
        </w:rPr>
      </w:pPr>
    </w:p>
    <w:p>
      <w:pPr>
        <w:keepNext w:val="0"/>
        <w:keepLines w:val="0"/>
        <w:pageBreakBefore w:val="0"/>
        <w:widowControl w:val="0"/>
        <w:wordWrap/>
        <w:topLinePunct w:val="0"/>
        <w:bidi w:val="0"/>
        <w:adjustRightInd/>
        <w:snapToGrid/>
        <w:spacing w:line="540" w:lineRule="exact"/>
        <w:jc w:val="center"/>
        <w:rPr>
          <w:rFonts w:hint="eastAsia" w:ascii="方正小标宋_GBK" w:hAnsi="方正小标宋_GBK" w:eastAsia="方正小标宋_GBK" w:cs="方正小标宋_GBK"/>
          <w:b w:val="0"/>
          <w:bCs w:val="0"/>
          <w:color w:val="000000" w:themeColor="text1"/>
          <w:sz w:val="44"/>
          <w:szCs w:val="44"/>
        </w:rPr>
      </w:pPr>
      <w:r>
        <w:rPr>
          <w:rFonts w:hint="eastAsia" w:ascii="方正小标宋_GBK" w:hAnsi="方正小标宋_GBK" w:eastAsia="方正小标宋_GBK" w:cs="方正小标宋_GBK"/>
          <w:b w:val="0"/>
          <w:bCs w:val="0"/>
          <w:color w:val="000000" w:themeColor="text1"/>
          <w:sz w:val="44"/>
          <w:szCs w:val="44"/>
        </w:rPr>
        <w:t>石柱土家族自治县水利局</w:t>
      </w:r>
    </w:p>
    <w:p>
      <w:pPr>
        <w:keepNext w:val="0"/>
        <w:keepLines w:val="0"/>
        <w:pageBreakBefore w:val="0"/>
        <w:widowControl w:val="0"/>
        <w:wordWrap/>
        <w:topLinePunct w:val="0"/>
        <w:bidi w:val="0"/>
        <w:adjustRightInd/>
        <w:snapToGrid/>
        <w:spacing w:line="540" w:lineRule="exact"/>
        <w:jc w:val="center"/>
        <w:rPr>
          <w:rFonts w:hint="eastAsia" w:ascii="方正小标宋_GBK" w:hAnsi="方正小标宋_GBK" w:eastAsia="方正小标宋_GBK" w:cs="方正小标宋_GBK"/>
          <w:b w:val="0"/>
          <w:bCs w:val="0"/>
          <w:color w:val="000000" w:themeColor="text1"/>
          <w:sz w:val="44"/>
          <w:szCs w:val="44"/>
        </w:rPr>
      </w:pPr>
      <w:r>
        <w:rPr>
          <w:rFonts w:hint="eastAsia" w:ascii="方正小标宋_GBK" w:hAnsi="方正小标宋_GBK" w:eastAsia="方正小标宋_GBK" w:cs="方正小标宋_GBK"/>
          <w:b w:val="0"/>
          <w:bCs w:val="0"/>
          <w:color w:val="000000" w:themeColor="text1"/>
          <w:sz w:val="44"/>
          <w:szCs w:val="44"/>
        </w:rPr>
        <w:t>关于</w:t>
      </w:r>
      <w:r>
        <w:rPr>
          <w:rFonts w:hint="eastAsia" w:ascii="方正小标宋_GBK" w:hAnsi="方正小标宋_GBK" w:eastAsia="方正小标宋_GBK" w:cs="方正小标宋_GBK"/>
          <w:b w:val="0"/>
          <w:bCs w:val="0"/>
          <w:sz w:val="44"/>
          <w:szCs w:val="44"/>
        </w:rPr>
        <w:t>石柱大堡梁风电扩建二期项目</w:t>
      </w:r>
      <w:r>
        <w:rPr>
          <w:rFonts w:hint="eastAsia" w:ascii="方正小标宋_GBK" w:hAnsi="方正小标宋_GBK" w:eastAsia="方正小标宋_GBK" w:cs="方正小标宋_GBK"/>
          <w:b w:val="0"/>
          <w:bCs w:val="0"/>
          <w:sz w:val="44"/>
          <w:szCs w:val="44"/>
          <w:lang w:eastAsia="zh-CN"/>
        </w:rPr>
        <w:t>水土保持方案报告书</w:t>
      </w:r>
      <w:bookmarkStart w:id="2" w:name="_GoBack"/>
      <w:bookmarkEnd w:id="2"/>
      <w:r>
        <w:rPr>
          <w:rFonts w:hint="eastAsia" w:ascii="方正小标宋_GBK" w:hAnsi="方正小标宋_GBK" w:eastAsia="方正小标宋_GBK" w:cs="方正小标宋_GBK"/>
          <w:b w:val="0"/>
          <w:bCs w:val="0"/>
          <w:color w:val="000000" w:themeColor="text1"/>
          <w:sz w:val="44"/>
          <w:szCs w:val="44"/>
        </w:rPr>
        <w:t>准予行政许可的决定</w:t>
      </w:r>
    </w:p>
    <w:p>
      <w:pPr>
        <w:keepNext w:val="0"/>
        <w:keepLines w:val="0"/>
        <w:pageBreakBefore w:val="0"/>
        <w:widowControl w:val="0"/>
        <w:wordWrap/>
        <w:topLinePunct w:val="0"/>
        <w:bidi w:val="0"/>
        <w:adjustRightInd/>
        <w:snapToGrid/>
        <w:spacing w:line="540" w:lineRule="exact"/>
        <w:jc w:val="center"/>
        <w:rPr>
          <w:rFonts w:hint="default" w:ascii="Times New Roman" w:hAnsi="Times New Roman" w:eastAsia="方正仿宋_GBK" w:cs="Times New Roman"/>
          <w:b w:val="0"/>
          <w:bCs w:val="0"/>
          <w:color w:val="000000" w:themeColor="text1"/>
          <w:sz w:val="32"/>
          <w:szCs w:val="32"/>
        </w:rPr>
      </w:pPr>
    </w:p>
    <w:p>
      <w:pPr>
        <w:keepNext w:val="0"/>
        <w:keepLines w:val="0"/>
        <w:pageBreakBefore w:val="0"/>
        <w:widowControl w:val="0"/>
        <w:kinsoku w:val="0"/>
        <w:wordWrap/>
        <w:overflowPunct w:val="0"/>
        <w:topLinePunct w:val="0"/>
        <w:autoSpaceDE w:val="0"/>
        <w:autoSpaceDN w:val="0"/>
        <w:bidi w:val="0"/>
        <w:adjustRightInd/>
        <w:snapToGrid/>
        <w:spacing w:line="540" w:lineRule="exact"/>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国能重庆市石柱县新能源开发有限公司：</w:t>
      </w: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你司2026年1月19日报来《石柱大堡梁风电扩建二期项目水土保持方案报告书》（以下简称《报告书》）的报批稿及相关材料收悉</w:t>
      </w:r>
      <w:r>
        <w:rPr>
          <w:rFonts w:hint="default" w:ascii="Times New Roman" w:hAnsi="Times New Roman" w:eastAsia="方正仿宋_GBK" w:cs="Times New Roman"/>
          <w:b w:val="0"/>
          <w:bCs w:val="0"/>
          <w:kern w:val="0"/>
          <w:sz w:val="32"/>
          <w:szCs w:val="32"/>
          <w:lang w:eastAsia="zh-CN"/>
        </w:rPr>
        <w:t>。</w:t>
      </w:r>
      <w:r>
        <w:rPr>
          <w:rFonts w:hint="default" w:ascii="Times New Roman" w:hAnsi="Times New Roman" w:eastAsia="方正仿宋_GBK" w:cs="Times New Roman"/>
          <w:b w:val="0"/>
          <w:bCs w:val="0"/>
          <w:kern w:val="0"/>
          <w:sz w:val="32"/>
          <w:szCs w:val="32"/>
        </w:rPr>
        <w:t>经审查，该申请符合法定条件</w:t>
      </w:r>
      <w:r>
        <w:rPr>
          <w:rFonts w:hint="default" w:ascii="Times New Roman" w:hAnsi="Times New Roman" w:eastAsia="方正仿宋_GBK" w:cs="Times New Roman"/>
          <w:b w:val="0"/>
          <w:bCs w:val="0"/>
          <w:snapToGrid w:val="0"/>
          <w:color w:val="000000"/>
          <w:sz w:val="32"/>
          <w:szCs w:val="32"/>
        </w:rPr>
        <w:t>，</w:t>
      </w:r>
      <w:r>
        <w:rPr>
          <w:rFonts w:hint="default" w:ascii="Times New Roman" w:hAnsi="Times New Roman" w:eastAsia="方正仿宋_GBK" w:cs="Times New Roman"/>
          <w:b w:val="0"/>
          <w:bCs w:val="0"/>
          <w:kern w:val="0"/>
          <w:sz w:val="32"/>
          <w:szCs w:val="32"/>
        </w:rPr>
        <w:t>根据《中华人民共和国行政许可法》第三十八条、《水行政许可实施办法》第三十二条第一项规定，结合专家组的评审意见</w:t>
      </w:r>
      <w:r>
        <w:rPr>
          <w:rFonts w:hint="default" w:ascii="Times New Roman" w:hAnsi="Times New Roman" w:eastAsia="方正仿宋_GBK" w:cs="Times New Roman"/>
          <w:b w:val="0"/>
          <w:bCs w:val="0"/>
          <w:kern w:val="0"/>
          <w:sz w:val="32"/>
          <w:szCs w:val="32"/>
          <w:lang w:eastAsia="zh-CN"/>
        </w:rPr>
        <w:t>（</w:t>
      </w:r>
      <w:r>
        <w:rPr>
          <w:rFonts w:hint="default" w:ascii="Times New Roman" w:hAnsi="Times New Roman" w:eastAsia="方正仿宋_GBK" w:cs="Times New Roman"/>
          <w:b w:val="0"/>
          <w:bCs w:val="0"/>
          <w:kern w:val="0"/>
          <w:sz w:val="32"/>
          <w:szCs w:val="32"/>
        </w:rPr>
        <w:t>见附件2）决定准予行政许可。</w:t>
      </w:r>
    </w:p>
    <w:p>
      <w:pPr>
        <w:pStyle w:val="90"/>
        <w:keepNext w:val="0"/>
        <w:keepLines w:val="0"/>
        <w:pageBreakBefore w:val="0"/>
        <w:widowControl w:val="0"/>
        <w:numPr>
          <w:ilvl w:val="0"/>
          <w:numId w:val="0"/>
        </w:numPr>
        <w:kinsoku w:val="0"/>
        <w:wordWrap/>
        <w:overflowPunct w:val="0"/>
        <w:topLinePunct w:val="0"/>
        <w:autoSpaceDE w:val="0"/>
        <w:autoSpaceDN w:val="0"/>
        <w:bidi w:val="0"/>
        <w:adjustRightInd/>
        <w:snapToGrid/>
        <w:spacing w:line="540" w:lineRule="exact"/>
        <w:ind w:left="1360" w:leftChars="0" w:hanging="720" w:firstLineChars="0"/>
        <w:rPr>
          <w:rFonts w:hint="eastAsia" w:ascii="方正黑体_GBK" w:hAnsi="方正黑体_GBK" w:eastAsia="方正黑体_GBK" w:cs="方正黑体_GBK"/>
          <w:b w:val="0"/>
          <w:bCs w:val="0"/>
          <w:kern w:val="0"/>
          <w:sz w:val="32"/>
          <w:szCs w:val="32"/>
        </w:rPr>
      </w:pPr>
      <w:r>
        <w:rPr>
          <w:rFonts w:hint="eastAsia" w:ascii="方正黑体_GBK" w:hAnsi="方正黑体_GBK" w:eastAsia="方正黑体_GBK" w:cs="方正黑体_GBK"/>
          <w:b w:val="0"/>
          <w:bCs w:val="0"/>
          <w:kern w:val="0"/>
          <w:sz w:val="32"/>
          <w:szCs w:val="32"/>
          <w:lang w:val="en-US" w:eastAsia="zh-CN" w:bidi="ar-SA"/>
        </w:rPr>
        <w:t>一、</w:t>
      </w:r>
      <w:r>
        <w:rPr>
          <w:rFonts w:hint="eastAsia" w:ascii="方正黑体_GBK" w:hAnsi="方正黑体_GBK" w:eastAsia="方正黑体_GBK" w:cs="方正黑体_GBK"/>
          <w:b w:val="0"/>
          <w:bCs w:val="0"/>
          <w:kern w:val="0"/>
          <w:sz w:val="32"/>
          <w:szCs w:val="32"/>
        </w:rPr>
        <w:t>项目概况</w:t>
      </w: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项目概况：</w:t>
      </w:r>
      <w:bookmarkStart w:id="0" w:name="_Hlk70499363"/>
      <w:r>
        <w:rPr>
          <w:rFonts w:hint="default" w:ascii="Times New Roman" w:hAnsi="Times New Roman" w:eastAsia="方正仿宋_GBK" w:cs="Times New Roman"/>
          <w:b w:val="0"/>
          <w:bCs w:val="0"/>
          <w:kern w:val="0"/>
          <w:sz w:val="32"/>
          <w:szCs w:val="32"/>
        </w:rPr>
        <w:t>石柱大堡梁风电扩建二期项目位于重庆市石柱县六塘乡、龙潭乡、三星乡，项目为扩建项目规划建设容量为5万千瓦，设计安装7台7.15MW的WTG5风力发电机组，占地面积2.7 hm²，集电线路长24225m，占地面积1.39hm²，表土堆放处布设于各个防治区，不新增占地施工便道占地面积0.03hm²。</w:t>
      </w: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本项目用地总面积为12.73hm²，其中永久占地0.42hm²，临时占地12.31hm²。</w:t>
      </w:r>
      <w:bookmarkEnd w:id="0"/>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项目土石方开挖总量41.12万m³（含表土剥离2.62万m³），填方4.37万m³（含表土剥离2.62万m³），弃方36.75万m³弃方运至设计5个渣场集中堆放处置。</w:t>
      </w: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项目计划2026年3月开工，预计2027年3月完成建设，总工期13个月。</w:t>
      </w: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项目总投资3.24亿元，其中土建投资1.62亿元，资金来源业主自筹及银行贷款。</w:t>
      </w:r>
    </w:p>
    <w:p>
      <w:pPr>
        <w:pStyle w:val="7"/>
        <w:keepNext w:val="0"/>
        <w:keepLines w:val="0"/>
        <w:pageBreakBefore w:val="0"/>
        <w:widowControl w:val="0"/>
        <w:kinsoku w:val="0"/>
        <w:wordWrap/>
        <w:overflowPunct w:val="0"/>
        <w:topLinePunct w:val="0"/>
        <w:autoSpaceDE w:val="0"/>
        <w:autoSpaceDN w:val="0"/>
        <w:bidi w:val="0"/>
        <w:adjustRightInd/>
        <w:snapToGrid/>
        <w:spacing w:line="540" w:lineRule="exact"/>
        <w:ind w:firstLine="640" w:firstLineChars="200"/>
        <w:rPr>
          <w:rFonts w:hint="eastAsia" w:ascii="方正黑体_GBK" w:hAnsi="方正黑体_GBK" w:eastAsia="方正黑体_GBK" w:cs="方正黑体_GBK"/>
          <w:b w:val="0"/>
          <w:bCs w:val="0"/>
          <w:kern w:val="0"/>
          <w:sz w:val="32"/>
          <w:szCs w:val="32"/>
        </w:rPr>
      </w:pPr>
      <w:r>
        <w:rPr>
          <w:rFonts w:hint="eastAsia" w:ascii="方正黑体_GBK" w:hAnsi="方正黑体_GBK" w:eastAsia="方正黑体_GBK" w:cs="方正黑体_GBK"/>
          <w:b w:val="0"/>
          <w:bCs w:val="0"/>
          <w:kern w:val="0"/>
          <w:sz w:val="32"/>
          <w:szCs w:val="32"/>
        </w:rPr>
        <w:t>二、水土保持方案总体意见</w:t>
      </w: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（一）基本同意工程建设生产期水土流失防治责任范围为12.31hm</w:t>
      </w:r>
      <w:r>
        <w:rPr>
          <w:rFonts w:hint="default" w:ascii="Times New Roman" w:hAnsi="Times New Roman" w:eastAsia="方正仿宋_GBK" w:cs="Times New Roman"/>
          <w:b w:val="0"/>
          <w:bCs w:val="0"/>
          <w:kern w:val="0"/>
          <w:sz w:val="32"/>
          <w:szCs w:val="32"/>
          <w:vertAlign w:val="superscript"/>
        </w:rPr>
        <w:t>2</w:t>
      </w:r>
      <w:r>
        <w:rPr>
          <w:rFonts w:hint="default" w:ascii="Times New Roman" w:hAnsi="Times New Roman" w:eastAsia="方正仿宋_GBK" w:cs="Times New Roman"/>
          <w:b w:val="0"/>
          <w:bCs w:val="0"/>
          <w:kern w:val="0"/>
          <w:sz w:val="32"/>
          <w:szCs w:val="32"/>
        </w:rPr>
        <w:t>。</w:t>
      </w: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（二）同意水土流失防治执行西南紫色土区建设类项目一级标准。</w:t>
      </w: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（三）基本同意水土流失防治指标为：水土流失防治指标为水土流失治理度97%，渣土挡护率92%，表土覆盖率92%土壤流失控制比1.0，林草植被恢复率97%，林草覆盖率20%。</w:t>
      </w: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（四）基本同意水土流失防治分区和分区防治措施布设。</w:t>
      </w: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（五）基本同意土石方调配方案。</w:t>
      </w: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（六）基本同意水土保持方案实施进度安排。</w:t>
      </w: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（七）基本同意水土保持监测时段、内容和方法。</w:t>
      </w: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（八）基本同意方案设计水平年为 2027年。</w:t>
      </w: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640" w:firstLineChars="200"/>
        <w:outlineLvl w:val="0"/>
        <w:rPr>
          <w:rFonts w:hint="eastAsia" w:ascii="方正黑体_GBK" w:hAnsi="方正黑体_GBK" w:eastAsia="方正黑体_GBK" w:cs="方正黑体_GBK"/>
          <w:b w:val="0"/>
          <w:bCs w:val="0"/>
          <w:kern w:val="0"/>
          <w:sz w:val="32"/>
          <w:szCs w:val="32"/>
        </w:rPr>
      </w:pPr>
      <w:r>
        <w:rPr>
          <w:rFonts w:hint="eastAsia" w:ascii="方正黑体_GBK" w:hAnsi="方正黑体_GBK" w:eastAsia="方正黑体_GBK" w:cs="方正黑体_GBK"/>
          <w:b w:val="0"/>
          <w:bCs w:val="0"/>
          <w:kern w:val="0"/>
          <w:sz w:val="32"/>
          <w:szCs w:val="32"/>
        </w:rPr>
        <w:t>三、水土保持方案投资</w:t>
      </w: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本项目水土保持总投资为1089.46万元，其中257.61万元为方案新增投资，831.85万元为主体已列投资。主体已列投资中，工程措施费用643.91万元，植物措施费用187.94万元，方案新增投资中，工程措施费70.30万元，植物措施费1.65万元，监测措施费17.17万元，临时措施费106.45万元，独立费用30.65万元，基本预备费13.57万元，水土保持补偿费为178169元。</w:t>
      </w: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640" w:firstLineChars="200"/>
        <w:rPr>
          <w:rFonts w:hint="default" w:ascii="Times New Roman" w:hAnsi="Times New Roman" w:eastAsia="方正仿宋_GBK" w:cs="Times New Roman"/>
          <w:b w:val="0"/>
          <w:bCs w:val="0"/>
          <w:kern w:val="0"/>
          <w:sz w:val="32"/>
          <w:szCs w:val="32"/>
        </w:rPr>
      </w:pPr>
      <w:r>
        <w:rPr>
          <w:rFonts w:hint="eastAsia" w:ascii="方正黑体_GBK" w:hAnsi="方正黑体_GBK" w:eastAsia="方正黑体_GBK" w:cs="方正黑体_GBK"/>
          <w:b w:val="0"/>
          <w:bCs w:val="0"/>
          <w:kern w:val="0"/>
          <w:sz w:val="32"/>
          <w:szCs w:val="32"/>
        </w:rPr>
        <w:t>四、建设单位在项目建设中应全面落实《中华人民共和国水土保持法》《重庆市实施〈中华人民共和国水土保持法〉办法》的各项要求，并重点做好以下工作：</w:t>
      </w:r>
    </w:p>
    <w:p>
      <w:pPr>
        <w:keepNext w:val="0"/>
        <w:keepLines w:val="0"/>
        <w:pageBreakBefore w:val="0"/>
        <w:widowControl w:val="0"/>
        <w:kinsoku w:val="0"/>
        <w:wordWrap/>
        <w:overflowPunct w:val="0"/>
        <w:topLinePunct w:val="0"/>
        <w:autoSpaceDE w:val="0"/>
        <w:autoSpaceDN w:val="0"/>
        <w:bidi w:val="0"/>
        <w:adjustRightInd/>
        <w:snapToGrid/>
        <w:spacing w:line="540" w:lineRule="exact"/>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 xml:space="preserve">   （一）按照批复的水土保持方案，加强施工组织和管理工作切实落实水土保持“三同时”制度。</w:t>
      </w:r>
    </w:p>
    <w:p>
      <w:pPr>
        <w:keepNext w:val="0"/>
        <w:keepLines w:val="0"/>
        <w:pageBreakBefore w:val="0"/>
        <w:widowControl w:val="0"/>
        <w:kinsoku w:val="0"/>
        <w:wordWrap/>
        <w:overflowPunct w:val="0"/>
        <w:topLinePunct w:val="0"/>
        <w:autoSpaceDE w:val="0"/>
        <w:autoSpaceDN w:val="0"/>
        <w:bidi w:val="0"/>
        <w:adjustRightInd/>
        <w:snapToGrid/>
        <w:spacing w:line="540" w:lineRule="exact"/>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 xml:space="preserve">   （二）严格按方案落实各项水土保持措施。</w:t>
      </w:r>
    </w:p>
    <w:p>
      <w:pPr>
        <w:keepNext w:val="0"/>
        <w:keepLines w:val="0"/>
        <w:pageBreakBefore w:val="0"/>
        <w:widowControl w:val="0"/>
        <w:kinsoku w:val="0"/>
        <w:wordWrap/>
        <w:overflowPunct w:val="0"/>
        <w:topLinePunct w:val="0"/>
        <w:autoSpaceDE w:val="0"/>
        <w:autoSpaceDN w:val="0"/>
        <w:bidi w:val="0"/>
        <w:adjustRightInd/>
        <w:snapToGrid/>
        <w:spacing w:line="540" w:lineRule="exact"/>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 xml:space="preserve">   （三）切实做好水土保持监测工作，加强水土流失动态监控并按规定向我局提交监测实施方案、季度报告及总结报告。</w:t>
      </w:r>
    </w:p>
    <w:p>
      <w:pPr>
        <w:keepNext w:val="0"/>
        <w:keepLines w:val="0"/>
        <w:pageBreakBefore w:val="0"/>
        <w:widowControl w:val="0"/>
        <w:kinsoku w:val="0"/>
        <w:wordWrap/>
        <w:overflowPunct w:val="0"/>
        <w:topLinePunct w:val="0"/>
        <w:autoSpaceDE w:val="0"/>
        <w:autoSpaceDN w:val="0"/>
        <w:bidi w:val="0"/>
        <w:adjustRightInd/>
        <w:snapToGrid/>
        <w:spacing w:line="540" w:lineRule="exact"/>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 xml:space="preserve">   （四）落实好水土保持监理工作，确保水土保持工程建设进度和质量。</w:t>
      </w:r>
    </w:p>
    <w:p>
      <w:pPr>
        <w:keepNext w:val="0"/>
        <w:keepLines w:val="0"/>
        <w:pageBreakBefore w:val="0"/>
        <w:widowControl w:val="0"/>
        <w:kinsoku w:val="0"/>
        <w:wordWrap/>
        <w:overflowPunct w:val="0"/>
        <w:topLinePunct w:val="0"/>
        <w:autoSpaceDE w:val="0"/>
        <w:autoSpaceDN w:val="0"/>
        <w:bidi w:val="0"/>
        <w:adjustRightInd/>
        <w:snapToGrid/>
        <w:spacing w:line="540" w:lineRule="exact"/>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 xml:space="preserve">   （五）本工程的地点、规模如发生重大变化，应及时补充或修改水土保持方案报我局审批；方案实施过程中，水土保持措施如需作出重大变更的，也必须报我局批准；确需在水土保持方案的弃渣场以外新设弃渣场，或者因弃渣场量增加导致弃渣场等级提高的生产建设单位应开展弃渣减量化、资源化论证，在弃渣前编制水土保持方案补充报告，报送我局批准。  </w:t>
      </w: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616"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spacing w:val="-6"/>
          <w:kern w:val="0"/>
          <w:sz w:val="32"/>
          <w:szCs w:val="32"/>
        </w:rPr>
        <w:t>（六）项目动工前和生产期应及时申请缴纳水土保持补偿费</w:t>
      </w:r>
      <w:r>
        <w:rPr>
          <w:rFonts w:hint="eastAsia" w:eastAsia="方正仿宋_GBK" w:cs="Times New Roman"/>
          <w:b w:val="0"/>
          <w:bCs w:val="0"/>
          <w:spacing w:val="-6"/>
          <w:kern w:val="0"/>
          <w:sz w:val="32"/>
          <w:szCs w:val="32"/>
          <w:lang w:eastAsia="zh-CN"/>
        </w:rPr>
        <w:t>。</w:t>
      </w:r>
      <w:r>
        <w:rPr>
          <w:rFonts w:hint="default" w:ascii="Times New Roman" w:hAnsi="Times New Roman" w:eastAsia="方正仿宋_GBK" w:cs="Times New Roman"/>
          <w:b w:val="0"/>
          <w:bCs w:val="0"/>
          <w:kern w:val="0"/>
          <w:sz w:val="32"/>
          <w:szCs w:val="32"/>
        </w:rPr>
        <w:t>在工程建设过程中，严格按照批准的水土保持方案，完成各项水土保持措施，并接受我局监督检查。</w:t>
      </w: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630"/>
        <w:rPr>
          <w:rFonts w:hint="eastAsia" w:ascii="方正黑体_GBK" w:hAnsi="方正黑体_GBK" w:eastAsia="方正黑体_GBK" w:cs="方正黑体_GBK"/>
          <w:b w:val="0"/>
          <w:bCs w:val="0"/>
          <w:kern w:val="0"/>
          <w:sz w:val="32"/>
          <w:szCs w:val="32"/>
        </w:rPr>
      </w:pPr>
      <w:r>
        <w:rPr>
          <w:rFonts w:hint="eastAsia" w:ascii="方正黑体_GBK" w:hAnsi="方正黑体_GBK" w:eastAsia="方正黑体_GBK" w:cs="方正黑体_GBK"/>
          <w:b w:val="0"/>
          <w:bCs w:val="0"/>
          <w:kern w:val="0"/>
          <w:sz w:val="32"/>
          <w:szCs w:val="32"/>
        </w:rPr>
        <w:t>五、该许可文件只作为该项目水土保持方案许可。</w:t>
      </w: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63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六、本行政许可决定有效期为3年，自签发之日起计算，期满后若该工程未开工建设，本行政许可决定自行失效</w:t>
      </w:r>
      <w:r>
        <w:rPr>
          <w:rFonts w:hint="default" w:ascii="Times New Roman" w:hAnsi="Times New Roman" w:eastAsia="方正仿宋_GBK" w:cs="Times New Roman"/>
          <w:b w:val="0"/>
          <w:bCs w:val="0"/>
          <w:kern w:val="0"/>
          <w:sz w:val="32"/>
          <w:szCs w:val="32"/>
          <w:lang w:eastAsia="zh-CN"/>
        </w:rPr>
        <w:t>，</w:t>
      </w:r>
      <w:r>
        <w:rPr>
          <w:rFonts w:hint="default" w:ascii="Times New Roman" w:hAnsi="Times New Roman" w:eastAsia="方正仿宋_GBK" w:cs="Times New Roman"/>
          <w:b w:val="0"/>
          <w:bCs w:val="0"/>
          <w:spacing w:val="-23"/>
          <w:kern w:val="0"/>
          <w:sz w:val="32"/>
          <w:szCs w:val="32"/>
        </w:rPr>
        <w:t>确需延期的</w:t>
      </w:r>
      <w:r>
        <w:rPr>
          <w:rFonts w:hint="default" w:ascii="Times New Roman" w:hAnsi="Times New Roman" w:eastAsia="方正仿宋_GBK" w:cs="Times New Roman"/>
          <w:b w:val="0"/>
          <w:bCs w:val="0"/>
          <w:spacing w:val="-23"/>
          <w:kern w:val="0"/>
          <w:sz w:val="32"/>
          <w:szCs w:val="32"/>
          <w:lang w:eastAsia="zh-CN"/>
        </w:rPr>
        <w:t>，</w:t>
      </w:r>
      <w:r>
        <w:rPr>
          <w:rFonts w:hint="default" w:ascii="Times New Roman" w:hAnsi="Times New Roman" w:eastAsia="方正仿宋_GBK" w:cs="Times New Roman"/>
          <w:b w:val="0"/>
          <w:bCs w:val="0"/>
          <w:kern w:val="0"/>
          <w:sz w:val="32"/>
          <w:szCs w:val="32"/>
        </w:rPr>
        <w:t>项目业主应在有效期届满前30日内提出延期申请。</w:t>
      </w: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630"/>
        <w:rPr>
          <w:rFonts w:hint="default" w:ascii="Times New Roman" w:hAnsi="Times New Roman" w:eastAsia="方正仿宋_GBK" w:cs="Times New Roman"/>
          <w:b w:val="0"/>
          <w:bCs w:val="0"/>
          <w:kern w:val="0"/>
          <w:sz w:val="32"/>
          <w:szCs w:val="32"/>
        </w:rPr>
      </w:pP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640" w:firstLineChars="200"/>
        <w:jc w:val="left"/>
        <w:textAlignment w:val="baseline"/>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kern w:val="0"/>
          <w:sz w:val="32"/>
          <w:szCs w:val="32"/>
        </w:rPr>
        <w:t>附件：1</w:t>
      </w:r>
      <w:r>
        <w:rPr>
          <w:rFonts w:hint="eastAsia" w:eastAsia="方正仿宋_GBK" w:cs="Times New Roman"/>
          <w:b w:val="0"/>
          <w:bCs w:val="0"/>
          <w:kern w:val="0"/>
          <w:sz w:val="32"/>
          <w:szCs w:val="32"/>
          <w:lang w:val="en-US" w:eastAsia="zh-CN"/>
        </w:rPr>
        <w:t>.</w:t>
      </w:r>
      <w:r>
        <w:rPr>
          <w:rFonts w:hint="default" w:ascii="Times New Roman" w:hAnsi="Times New Roman" w:eastAsia="方正仿宋_GBK" w:cs="Times New Roman"/>
          <w:b w:val="0"/>
          <w:bCs w:val="0"/>
          <w:kern w:val="0"/>
          <w:sz w:val="32"/>
          <w:szCs w:val="32"/>
        </w:rPr>
        <w:t>石柱大堡梁风电扩建二期项目水土保持方案特性表</w:t>
      </w:r>
    </w:p>
    <w:p>
      <w:pPr>
        <w:keepNext w:val="0"/>
        <w:keepLines w:val="0"/>
        <w:pageBreakBefore w:val="0"/>
        <w:widowControl w:val="0"/>
        <w:kinsoku w:val="0"/>
        <w:wordWrap/>
        <w:overflowPunct w:val="0"/>
        <w:topLinePunct w:val="0"/>
        <w:autoSpaceDE w:val="0"/>
        <w:autoSpaceDN w:val="0"/>
        <w:bidi w:val="0"/>
        <w:adjustRightInd/>
        <w:snapToGrid/>
        <w:spacing w:line="540" w:lineRule="exact"/>
        <w:ind w:left="1596" w:leftChars="760" w:firstLine="0" w:firstLineChars="0"/>
        <w:jc w:val="left"/>
        <w:textAlignment w:val="baseline"/>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lang w:eastAsia="zh-CN"/>
        </w:rPr>
        <w:t>2.</w:t>
      </w:r>
      <w:r>
        <w:rPr>
          <w:rFonts w:hint="default" w:ascii="Times New Roman" w:hAnsi="Times New Roman" w:eastAsia="方正仿宋_GBK" w:cs="Times New Roman"/>
          <w:b w:val="0"/>
          <w:bCs w:val="0"/>
          <w:kern w:val="0"/>
          <w:sz w:val="32"/>
          <w:szCs w:val="32"/>
        </w:rPr>
        <w:t>石柱大堡梁风电扩建二期项目水土保持方案报告书专家审查意见</w:t>
      </w: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4800" w:firstLineChars="1500"/>
        <w:rPr>
          <w:rFonts w:hint="default" w:ascii="Times New Roman" w:hAnsi="Times New Roman" w:eastAsia="方正仿宋_GBK" w:cs="Times New Roman"/>
          <w:b w:val="0"/>
          <w:bCs w:val="0"/>
          <w:kern w:val="0"/>
          <w:sz w:val="32"/>
          <w:szCs w:val="32"/>
        </w:rPr>
      </w:pPr>
    </w:p>
    <w:p>
      <w:pPr>
        <w:keepNext w:val="0"/>
        <w:keepLines w:val="0"/>
        <w:pageBreakBefore w:val="0"/>
        <w:widowControl w:val="0"/>
        <w:kinsoku w:val="0"/>
        <w:wordWrap/>
        <w:overflowPunct w:val="0"/>
        <w:topLinePunct w:val="0"/>
        <w:autoSpaceDE w:val="0"/>
        <w:autoSpaceDN w:val="0"/>
        <w:bidi w:val="0"/>
        <w:adjustRightInd/>
        <w:snapToGrid/>
        <w:spacing w:line="540" w:lineRule="exact"/>
        <w:ind w:firstLine="4800" w:firstLineChars="15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石柱土家族自治县水利局</w:t>
      </w:r>
    </w:p>
    <w:p>
      <w:pPr>
        <w:keepNext w:val="0"/>
        <w:keepLines w:val="0"/>
        <w:pageBreakBefore w:val="0"/>
        <w:widowControl w:val="0"/>
        <w:kinsoku w:val="0"/>
        <w:wordWrap/>
        <w:overflowPunct w:val="0"/>
        <w:topLinePunct w:val="0"/>
        <w:autoSpaceDE w:val="0"/>
        <w:autoSpaceDN w:val="0"/>
        <w:bidi w:val="0"/>
        <w:adjustRightInd/>
        <w:snapToGrid/>
        <w:spacing w:line="540" w:lineRule="exact"/>
        <w:rPr>
          <w:rFonts w:hint="eastAsia" w:ascii="方正仿宋_GBK" w:eastAsia="方正仿宋_GBK"/>
          <w:color w:val="000000" w:themeColor="text1"/>
          <w:sz w:val="32"/>
          <w:szCs w:val="32"/>
        </w:rPr>
      </w:pPr>
      <w:r>
        <w:rPr>
          <w:rFonts w:hint="default" w:ascii="Times New Roman" w:hAnsi="Times New Roman" w:eastAsia="方正仿宋_GBK" w:cs="Times New Roman"/>
          <w:b w:val="0"/>
          <w:bCs w:val="0"/>
          <w:kern w:val="0"/>
          <w:sz w:val="32"/>
          <w:szCs w:val="32"/>
        </w:rPr>
        <w:t xml:space="preserve">                                   2026年1月23日</w:t>
      </w:r>
    </w:p>
    <w:p>
      <w:pPr>
        <w:pBdr>
          <w:bottom w:val="single" w:color="auto" w:sz="6" w:space="1"/>
        </w:pBdr>
        <w:tabs>
          <w:tab w:val="left" w:pos="7655"/>
          <w:tab w:val="left" w:pos="7938"/>
        </w:tabs>
        <w:snapToGrid w:val="0"/>
        <w:spacing w:line="520" w:lineRule="exact"/>
        <w:jc w:val="right"/>
        <w:rPr>
          <w:rFonts w:ascii="方正仿宋_GBK" w:eastAsia="方正仿宋_GBK"/>
          <w:sz w:val="32"/>
          <w:szCs w:val="32"/>
        </w:rPr>
      </w:pPr>
    </w:p>
    <w:p>
      <w:pPr>
        <w:pBdr>
          <w:bottom w:val="single" w:color="auto" w:sz="6" w:space="1"/>
        </w:pBdr>
        <w:tabs>
          <w:tab w:val="left" w:pos="7655"/>
          <w:tab w:val="left" w:pos="7938"/>
        </w:tabs>
        <w:snapToGrid w:val="0"/>
        <w:spacing w:line="520" w:lineRule="exact"/>
        <w:jc w:val="right"/>
        <w:rPr>
          <w:rFonts w:ascii="方正仿宋_GBK" w:eastAsia="方正仿宋_GBK"/>
          <w:sz w:val="32"/>
          <w:szCs w:val="32"/>
        </w:rPr>
      </w:pPr>
    </w:p>
    <w:p>
      <w:pPr>
        <w:pBdr>
          <w:bottom w:val="single" w:color="auto" w:sz="6" w:space="1"/>
        </w:pBdr>
        <w:tabs>
          <w:tab w:val="left" w:pos="7655"/>
          <w:tab w:val="left" w:pos="7938"/>
        </w:tabs>
        <w:snapToGrid w:val="0"/>
        <w:spacing w:line="520" w:lineRule="exact"/>
        <w:jc w:val="both"/>
        <w:rPr>
          <w:rFonts w:ascii="方正仿宋_GBK" w:eastAsia="方正仿宋_GBK"/>
          <w:sz w:val="32"/>
          <w:szCs w:val="32"/>
        </w:rPr>
      </w:pPr>
    </w:p>
    <w:p>
      <w:pPr>
        <w:pBdr>
          <w:bottom w:val="single" w:color="auto" w:sz="6" w:space="1"/>
        </w:pBdr>
        <w:tabs>
          <w:tab w:val="left" w:pos="7655"/>
          <w:tab w:val="left" w:pos="7938"/>
        </w:tabs>
        <w:snapToGrid w:val="0"/>
        <w:spacing w:line="520" w:lineRule="exact"/>
        <w:jc w:val="both"/>
        <w:rPr>
          <w:rFonts w:ascii="方正仿宋_GBK" w:eastAsia="方正仿宋_GBK"/>
          <w:sz w:val="32"/>
          <w:szCs w:val="32"/>
        </w:rPr>
      </w:pPr>
    </w:p>
    <w:p>
      <w:pPr>
        <w:spacing w:line="560" w:lineRule="exact"/>
        <w:rPr>
          <w:rFonts w:ascii="方正仿宋_GBK" w:eastAsia="方正仿宋_GBK"/>
          <w:spacing w:val="-20"/>
          <w:sz w:val="28"/>
          <w:szCs w:val="28"/>
        </w:rPr>
      </w:pPr>
      <w:r>
        <w:rPr>
          <w:rFonts w:hint="eastAsia" w:ascii="方正仿宋_GBK" w:eastAsia="方正仿宋_GBK"/>
          <w:sz w:val="28"/>
          <w:szCs w:val="28"/>
        </w:rPr>
        <w:t>抄送：王平副局长，向朝文主任</w:t>
      </w:r>
      <w:r>
        <w:rPr>
          <w:rFonts w:hint="eastAsia" w:ascii="方正仿宋_GBK" w:eastAsia="方正仿宋_GBK"/>
          <w:sz w:val="28"/>
          <w:szCs w:val="28"/>
          <w:lang w:eastAsia="zh-CN"/>
        </w:rPr>
        <w:t>，</w:t>
      </w:r>
      <w:r>
        <w:rPr>
          <w:rFonts w:hint="eastAsia" w:ascii="方正仿宋_GBK" w:eastAsia="方正仿宋_GBK"/>
          <w:sz w:val="28"/>
          <w:szCs w:val="28"/>
        </w:rPr>
        <w:t>秦华主任</w:t>
      </w:r>
      <w:r>
        <w:rPr>
          <w:rFonts w:hint="eastAsia" w:ascii="方正仿宋_GBK" w:eastAsia="方正仿宋_GBK"/>
          <w:sz w:val="28"/>
          <w:szCs w:val="28"/>
          <w:lang w:eastAsia="zh-CN"/>
        </w:rPr>
        <w:t>，</w:t>
      </w:r>
      <w:r>
        <w:rPr>
          <w:rFonts w:hint="eastAsia" w:ascii="方正仿宋_GBK" w:eastAsia="方正仿宋_GBK"/>
          <w:sz w:val="28"/>
          <w:szCs w:val="28"/>
        </w:rPr>
        <w:t>县水保站，水行政执法科</w:t>
      </w:r>
    </w:p>
    <w:p>
      <w:pPr>
        <w:pBdr>
          <w:top w:val="single" w:color="auto" w:sz="6" w:space="1"/>
          <w:bottom w:val="single" w:color="auto" w:sz="6" w:space="1"/>
        </w:pBdr>
        <w:tabs>
          <w:tab w:val="left" w:pos="7655"/>
        </w:tabs>
        <w:snapToGrid w:val="0"/>
        <w:spacing w:line="520" w:lineRule="exact"/>
        <w:rPr>
          <w:rFonts w:ascii="方正仿宋_GBK" w:eastAsia="方正仿宋_GBK"/>
          <w:sz w:val="28"/>
          <w:szCs w:val="28"/>
        </w:rPr>
      </w:pPr>
      <w:r>
        <w:rPr>
          <w:rFonts w:hint="eastAsia" w:ascii="方正仿宋_GBK" w:eastAsia="方正仿宋_GBK"/>
          <w:sz w:val="28"/>
          <w:szCs w:val="28"/>
        </w:rPr>
        <w:t xml:space="preserve">  石柱土家族自治县水利局办公室　　　   　 2026年1月23日印发</w:t>
      </w:r>
    </w:p>
    <w:p>
      <w:pPr>
        <w:pStyle w:val="116"/>
        <w:ind w:firstLine="482"/>
        <w:jc w:val="both"/>
        <w:rPr>
          <w:rFonts w:hint="eastAsia" w:ascii="方正仿宋_GBK" w:eastAsia="方正仿宋_GBK"/>
          <w:color w:val="000000"/>
        </w:rPr>
      </w:pPr>
      <w:r>
        <w:rPr>
          <w:rFonts w:hint="eastAsia" w:ascii="方正仿宋_GBK" w:eastAsia="方正仿宋_GBK"/>
          <w:b w:val="0"/>
        </w:rPr>
        <w:t>附件1</w:t>
      </w:r>
      <w:r>
        <w:rPr>
          <w:rFonts w:hint="eastAsia" w:ascii="方正仿宋_GBK" w:eastAsia="方正仿宋_GBK"/>
        </w:rPr>
        <w:t xml:space="preserve">              </w:t>
      </w:r>
      <w:r>
        <w:rPr>
          <w:rFonts w:hint="eastAsia" w:ascii="方正仿宋_GBK" w:eastAsia="方正仿宋_GBK"/>
          <w:color w:val="000000"/>
        </w:rPr>
        <w:t>水土保持方案特性表</w:t>
      </w:r>
    </w:p>
    <w:p>
      <w:pPr>
        <w:rPr>
          <w:rFonts w:hint="eastAsia" w:ascii="方正仿宋_GBK" w:eastAsia="方正仿宋_GBK"/>
        </w:rPr>
      </w:pPr>
    </w:p>
    <w:tbl>
      <w:tblPr>
        <w:tblStyle w:val="18"/>
        <w:tblW w:w="4789" w:type="pct"/>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121"/>
        <w:gridCol w:w="1959"/>
        <w:gridCol w:w="845"/>
        <w:gridCol w:w="698"/>
        <w:gridCol w:w="980"/>
        <w:gridCol w:w="980"/>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项目名称</w:t>
            </w:r>
          </w:p>
        </w:tc>
        <w:tc>
          <w:tcPr>
            <w:tcW w:w="1753"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石柱大堡梁风电扩建二期项目</w:t>
            </w:r>
          </w:p>
        </w:tc>
        <w:tc>
          <w:tcPr>
            <w:tcW w:w="878"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流域管理机构</w:t>
            </w:r>
          </w:p>
        </w:tc>
        <w:tc>
          <w:tcPr>
            <w:tcW w:w="1734" w:type="pct"/>
            <w:gridSpan w:val="3"/>
            <w:noWrap/>
            <w:vAlign w:val="center"/>
          </w:tcPr>
          <w:p>
            <w:pPr>
              <w:pStyle w:val="51"/>
              <w:rPr>
                <w:rFonts w:hint="eastAsia" w:ascii="方正仿宋_GBK" w:eastAsia="方正仿宋_GBK"/>
                <w:sz w:val="18"/>
                <w:szCs w:val="18"/>
              </w:rPr>
            </w:pPr>
            <w:r>
              <w:rPr>
                <w:rFonts w:hint="eastAsia" w:ascii="方正仿宋_GBK" w:eastAsia="方正仿宋_GBK"/>
                <w:sz w:val="18"/>
                <w:szCs w:val="18"/>
              </w:rPr>
              <w:t>长江水利委员会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涉及省（市、区）</w:t>
            </w:r>
          </w:p>
        </w:tc>
        <w:tc>
          <w:tcPr>
            <w:tcW w:w="638"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重庆市</w:t>
            </w:r>
          </w:p>
        </w:tc>
        <w:tc>
          <w:tcPr>
            <w:tcW w:w="111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涉及地市或个数</w:t>
            </w:r>
          </w:p>
        </w:tc>
        <w:tc>
          <w:tcPr>
            <w:tcW w:w="878"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w:t>
            </w:r>
          </w:p>
        </w:tc>
        <w:tc>
          <w:tcPr>
            <w:tcW w:w="1116"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涉及区县或个数</w:t>
            </w:r>
          </w:p>
        </w:tc>
        <w:tc>
          <w:tcPr>
            <w:tcW w:w="618"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石柱县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项目规模</w:t>
            </w:r>
          </w:p>
        </w:tc>
        <w:tc>
          <w:tcPr>
            <w:tcW w:w="1753"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项目规划建设容量为5万千瓦，设计安装7台7.15MW的WTG5风力发电机组</w:t>
            </w:r>
          </w:p>
        </w:tc>
        <w:tc>
          <w:tcPr>
            <w:tcW w:w="878" w:type="pct"/>
            <w:gridSpan w:val="2"/>
            <w:vAlign w:val="center"/>
          </w:tcPr>
          <w:p>
            <w:pPr>
              <w:pStyle w:val="51"/>
              <w:rPr>
                <w:rFonts w:hint="eastAsia" w:ascii="方正仿宋_GBK" w:eastAsia="方正仿宋_GBK"/>
                <w:sz w:val="18"/>
                <w:szCs w:val="18"/>
              </w:rPr>
            </w:pPr>
            <w:r>
              <w:rPr>
                <w:rFonts w:hint="eastAsia" w:ascii="方正仿宋_GBK" w:eastAsia="方正仿宋_GBK"/>
                <w:sz w:val="18"/>
                <w:szCs w:val="18"/>
              </w:rPr>
              <w:t>总投资（亿元）</w:t>
            </w:r>
          </w:p>
        </w:tc>
        <w:tc>
          <w:tcPr>
            <w:tcW w:w="558" w:type="pct"/>
            <w:vAlign w:val="center"/>
          </w:tcPr>
          <w:p>
            <w:pPr>
              <w:pStyle w:val="51"/>
              <w:rPr>
                <w:rFonts w:hint="eastAsia" w:ascii="方正仿宋_GBK" w:eastAsia="方正仿宋_GBK"/>
                <w:sz w:val="18"/>
                <w:szCs w:val="18"/>
              </w:rPr>
            </w:pPr>
            <w:r>
              <w:rPr>
                <w:rFonts w:hint="eastAsia" w:ascii="方正仿宋_GBK" w:eastAsia="方正仿宋_GBK"/>
                <w:sz w:val="18"/>
                <w:szCs w:val="18"/>
              </w:rPr>
              <w:t>3.24</w:t>
            </w:r>
          </w:p>
        </w:tc>
        <w:tc>
          <w:tcPr>
            <w:tcW w:w="558" w:type="pct"/>
            <w:vAlign w:val="center"/>
          </w:tcPr>
          <w:p>
            <w:pPr>
              <w:pStyle w:val="51"/>
              <w:rPr>
                <w:rFonts w:hint="eastAsia" w:ascii="方正仿宋_GBK" w:eastAsia="方正仿宋_GBK"/>
                <w:sz w:val="18"/>
                <w:szCs w:val="18"/>
              </w:rPr>
            </w:pPr>
            <w:r>
              <w:rPr>
                <w:rFonts w:hint="eastAsia" w:ascii="方正仿宋_GBK" w:eastAsia="方正仿宋_GBK"/>
                <w:sz w:val="18"/>
                <w:szCs w:val="18"/>
              </w:rPr>
              <w:t>土建投资（亿元）</w:t>
            </w:r>
          </w:p>
        </w:tc>
        <w:tc>
          <w:tcPr>
            <w:tcW w:w="618" w:type="pct"/>
            <w:vAlign w:val="center"/>
          </w:tcPr>
          <w:p>
            <w:pPr>
              <w:pStyle w:val="51"/>
              <w:rPr>
                <w:rFonts w:hint="eastAsia" w:ascii="方正仿宋_GBK" w:eastAsia="方正仿宋_GBK"/>
                <w:sz w:val="18"/>
                <w:szCs w:val="18"/>
              </w:rPr>
            </w:pPr>
            <w:r>
              <w:rPr>
                <w:rFonts w:hint="eastAsia" w:ascii="方正仿宋_GBK" w:eastAsia="方正仿宋_GBK"/>
                <w:sz w:val="18"/>
                <w:szCs w:val="18"/>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动工时间</w:t>
            </w:r>
          </w:p>
        </w:tc>
        <w:tc>
          <w:tcPr>
            <w:tcW w:w="638"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2026年3月</w:t>
            </w:r>
          </w:p>
        </w:tc>
        <w:tc>
          <w:tcPr>
            <w:tcW w:w="111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完工时间</w:t>
            </w:r>
          </w:p>
        </w:tc>
        <w:tc>
          <w:tcPr>
            <w:tcW w:w="878"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2027年3月</w:t>
            </w:r>
          </w:p>
        </w:tc>
        <w:tc>
          <w:tcPr>
            <w:tcW w:w="1116"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设计水平年</w:t>
            </w:r>
          </w:p>
        </w:tc>
        <w:tc>
          <w:tcPr>
            <w:tcW w:w="618"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2027年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3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工程占地（hm</w:t>
            </w:r>
            <w:r>
              <w:rPr>
                <w:rFonts w:hint="eastAsia" w:ascii="方正仿宋_GBK" w:eastAsia="方正仿宋_GBK"/>
                <w:sz w:val="18"/>
                <w:szCs w:val="18"/>
                <w:vertAlign w:val="superscript"/>
              </w:rPr>
              <w:t>2</w:t>
            </w:r>
            <w:r>
              <w:rPr>
                <w:rFonts w:hint="eastAsia" w:ascii="方正仿宋_GBK" w:eastAsia="方正仿宋_GBK"/>
                <w:sz w:val="18"/>
                <w:szCs w:val="18"/>
              </w:rPr>
              <w:t>）</w:t>
            </w:r>
          </w:p>
        </w:tc>
        <w:tc>
          <w:tcPr>
            <w:tcW w:w="638"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12.73</w:t>
            </w:r>
          </w:p>
        </w:tc>
        <w:tc>
          <w:tcPr>
            <w:tcW w:w="111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永久占地（hm</w:t>
            </w:r>
            <w:r>
              <w:rPr>
                <w:rFonts w:hint="eastAsia" w:ascii="方正仿宋_GBK" w:eastAsia="方正仿宋_GBK"/>
                <w:sz w:val="18"/>
                <w:szCs w:val="18"/>
                <w:vertAlign w:val="superscript"/>
              </w:rPr>
              <w:t>2</w:t>
            </w:r>
            <w:r>
              <w:rPr>
                <w:rFonts w:hint="eastAsia" w:ascii="方正仿宋_GBK" w:eastAsia="方正仿宋_GBK"/>
                <w:sz w:val="18"/>
                <w:szCs w:val="18"/>
              </w:rPr>
              <w:t>）</w:t>
            </w:r>
          </w:p>
        </w:tc>
        <w:tc>
          <w:tcPr>
            <w:tcW w:w="878"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0.42</w:t>
            </w:r>
          </w:p>
        </w:tc>
        <w:tc>
          <w:tcPr>
            <w:tcW w:w="1116"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临时占地（hm</w:t>
            </w:r>
            <w:r>
              <w:rPr>
                <w:rFonts w:hint="eastAsia" w:ascii="方正仿宋_GBK" w:eastAsia="方正仿宋_GBK"/>
                <w:sz w:val="18"/>
                <w:szCs w:val="18"/>
                <w:vertAlign w:val="superscript"/>
              </w:rPr>
              <w:t>2</w:t>
            </w:r>
            <w:r>
              <w:rPr>
                <w:rFonts w:hint="eastAsia" w:ascii="方正仿宋_GBK" w:eastAsia="方正仿宋_GBK"/>
                <w:sz w:val="18"/>
                <w:szCs w:val="18"/>
              </w:rPr>
              <w:t>）</w:t>
            </w:r>
          </w:p>
        </w:tc>
        <w:tc>
          <w:tcPr>
            <w:tcW w:w="618"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73" w:type="pct"/>
            <w:gridSpan w:val="2"/>
            <w:vMerge w:val="restart"/>
            <w:noWrap/>
            <w:vAlign w:val="center"/>
          </w:tcPr>
          <w:p>
            <w:pPr>
              <w:pStyle w:val="51"/>
              <w:rPr>
                <w:rFonts w:hint="eastAsia" w:ascii="方正仿宋_GBK" w:eastAsia="方正仿宋_GBK"/>
                <w:sz w:val="18"/>
                <w:szCs w:val="18"/>
              </w:rPr>
            </w:pPr>
            <w:r>
              <w:rPr>
                <w:rFonts w:hint="eastAsia" w:ascii="方正仿宋_GBK" w:eastAsia="方正仿宋_GBK"/>
                <w:sz w:val="18"/>
                <w:szCs w:val="18"/>
              </w:rPr>
              <w:t>土石方量（万m</w:t>
            </w:r>
            <w:r>
              <w:rPr>
                <w:rFonts w:hint="eastAsia" w:ascii="方正仿宋_GBK" w:eastAsia="方正仿宋_GBK"/>
                <w:sz w:val="18"/>
                <w:szCs w:val="18"/>
                <w:vertAlign w:val="superscript"/>
              </w:rPr>
              <w:t>3</w:t>
            </w:r>
            <w:r>
              <w:rPr>
                <w:rFonts w:hint="eastAsia" w:ascii="方正仿宋_GBK" w:eastAsia="方正仿宋_GBK"/>
                <w:sz w:val="18"/>
                <w:szCs w:val="18"/>
              </w:rPr>
              <w:t>）</w:t>
            </w:r>
          </w:p>
        </w:tc>
        <w:tc>
          <w:tcPr>
            <w:tcW w:w="111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挖方</w:t>
            </w:r>
          </w:p>
        </w:tc>
        <w:tc>
          <w:tcPr>
            <w:tcW w:w="878"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填方</w:t>
            </w:r>
          </w:p>
        </w:tc>
        <w:tc>
          <w:tcPr>
            <w:tcW w:w="1116"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借方</w:t>
            </w:r>
          </w:p>
        </w:tc>
        <w:tc>
          <w:tcPr>
            <w:tcW w:w="618"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弃（余）方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73" w:type="pct"/>
            <w:gridSpan w:val="2"/>
            <w:vMerge w:val="continue"/>
            <w:vAlign w:val="center"/>
          </w:tcPr>
          <w:p>
            <w:pPr>
              <w:pStyle w:val="51"/>
              <w:rPr>
                <w:rFonts w:hint="eastAsia" w:ascii="方正仿宋_GBK" w:eastAsia="方正仿宋_GBK"/>
                <w:sz w:val="18"/>
                <w:szCs w:val="18"/>
              </w:rPr>
            </w:pPr>
          </w:p>
        </w:tc>
        <w:tc>
          <w:tcPr>
            <w:tcW w:w="111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41.12</w:t>
            </w:r>
          </w:p>
        </w:tc>
        <w:tc>
          <w:tcPr>
            <w:tcW w:w="878"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4.37</w:t>
            </w:r>
          </w:p>
        </w:tc>
        <w:tc>
          <w:tcPr>
            <w:tcW w:w="1116"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w:t>
            </w:r>
          </w:p>
        </w:tc>
        <w:tc>
          <w:tcPr>
            <w:tcW w:w="618"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36.75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73"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重点防治区名称</w:t>
            </w:r>
          </w:p>
        </w:tc>
        <w:tc>
          <w:tcPr>
            <w:tcW w:w="3727" w:type="pct"/>
            <w:gridSpan w:val="6"/>
            <w:noWrap/>
            <w:vAlign w:val="center"/>
          </w:tcPr>
          <w:p>
            <w:pPr>
              <w:pStyle w:val="51"/>
              <w:rPr>
                <w:rFonts w:hint="eastAsia" w:ascii="方正仿宋_GBK" w:eastAsia="方正仿宋_GBK"/>
                <w:sz w:val="18"/>
                <w:szCs w:val="18"/>
              </w:rPr>
            </w:pPr>
            <w:r>
              <w:rPr>
                <w:rFonts w:hint="eastAsia" w:ascii="方正仿宋_GBK" w:eastAsia="方正仿宋_GBK"/>
                <w:sz w:val="18"/>
                <w:szCs w:val="18"/>
              </w:rPr>
              <w:t>三峡库区国家级水土流失重点治理区</w:t>
            </w:r>
            <w:r>
              <w:rPr>
                <w:rFonts w:hint="eastAsia" w:ascii="方正仿宋_GBK" w:eastAsia="方正仿宋_GBK"/>
                <w:sz w:val="18"/>
                <w:szCs w:val="18"/>
                <w:lang w:val="zh-CN"/>
              </w:rPr>
              <w:t>、</w:t>
            </w:r>
            <w:r>
              <w:rPr>
                <w:rFonts w:hint="eastAsia" w:ascii="方正仿宋_GBK" w:eastAsia="方正仿宋_GBK"/>
                <w:sz w:val="18"/>
                <w:szCs w:val="18"/>
              </w:rPr>
              <w:t>重庆市水土流失重点治理区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73"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地貌类型</w:t>
            </w:r>
          </w:p>
        </w:tc>
        <w:tc>
          <w:tcPr>
            <w:tcW w:w="111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中山地貌</w:t>
            </w:r>
          </w:p>
        </w:tc>
        <w:tc>
          <w:tcPr>
            <w:tcW w:w="878" w:type="pct"/>
            <w:gridSpan w:val="2"/>
            <w:vAlign w:val="center"/>
          </w:tcPr>
          <w:p>
            <w:pPr>
              <w:pStyle w:val="51"/>
              <w:rPr>
                <w:rFonts w:hint="eastAsia" w:ascii="方正仿宋_GBK" w:eastAsia="方正仿宋_GBK"/>
                <w:sz w:val="18"/>
                <w:szCs w:val="18"/>
              </w:rPr>
            </w:pPr>
            <w:r>
              <w:rPr>
                <w:rFonts w:hint="eastAsia" w:ascii="方正仿宋_GBK" w:eastAsia="方正仿宋_GBK"/>
                <w:sz w:val="18"/>
                <w:szCs w:val="18"/>
              </w:rPr>
              <w:t>水土保持区划</w:t>
            </w:r>
          </w:p>
        </w:tc>
        <w:tc>
          <w:tcPr>
            <w:tcW w:w="1734" w:type="pct"/>
            <w:gridSpan w:val="3"/>
            <w:vAlign w:val="center"/>
          </w:tcPr>
          <w:p>
            <w:pPr>
              <w:pStyle w:val="51"/>
              <w:rPr>
                <w:rFonts w:hint="eastAsia" w:ascii="方正仿宋_GBK" w:eastAsia="方正仿宋_GBK"/>
                <w:sz w:val="18"/>
                <w:szCs w:val="18"/>
              </w:rPr>
            </w:pPr>
            <w:r>
              <w:rPr>
                <w:rFonts w:hint="eastAsia" w:ascii="方正仿宋_GBK" w:eastAsia="方正仿宋_GBK"/>
                <w:sz w:val="18"/>
                <w:szCs w:val="18"/>
              </w:rPr>
              <w:t>西南紫色土区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73"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土壤侵蚀类型</w:t>
            </w:r>
          </w:p>
        </w:tc>
        <w:tc>
          <w:tcPr>
            <w:tcW w:w="111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水力侵蚀</w:t>
            </w:r>
          </w:p>
        </w:tc>
        <w:tc>
          <w:tcPr>
            <w:tcW w:w="878" w:type="pct"/>
            <w:gridSpan w:val="2"/>
            <w:vAlign w:val="center"/>
          </w:tcPr>
          <w:p>
            <w:pPr>
              <w:pStyle w:val="51"/>
              <w:rPr>
                <w:rFonts w:hint="eastAsia" w:ascii="方正仿宋_GBK" w:eastAsia="方正仿宋_GBK"/>
                <w:sz w:val="18"/>
                <w:szCs w:val="18"/>
              </w:rPr>
            </w:pPr>
            <w:r>
              <w:rPr>
                <w:rFonts w:hint="eastAsia" w:ascii="方正仿宋_GBK" w:eastAsia="方正仿宋_GBK"/>
                <w:sz w:val="18"/>
                <w:szCs w:val="18"/>
              </w:rPr>
              <w:t>土壤侵蚀强度[t/（km</w:t>
            </w:r>
            <w:r>
              <w:rPr>
                <w:rFonts w:hint="eastAsia" w:ascii="方正仿宋_GBK" w:eastAsia="方正仿宋_GBK"/>
                <w:sz w:val="18"/>
                <w:szCs w:val="18"/>
                <w:vertAlign w:val="superscript"/>
              </w:rPr>
              <w:t>2</w:t>
            </w:r>
            <w:r>
              <w:rPr>
                <w:rFonts w:hint="eastAsia" w:ascii="方正仿宋_GBK" w:eastAsia="方正仿宋_GBK"/>
                <w:sz w:val="18"/>
                <w:szCs w:val="18"/>
              </w:rPr>
              <w:t>.a）]</w:t>
            </w:r>
          </w:p>
        </w:tc>
        <w:tc>
          <w:tcPr>
            <w:tcW w:w="1734" w:type="pct"/>
            <w:gridSpan w:val="3"/>
            <w:vAlign w:val="center"/>
          </w:tcPr>
          <w:p>
            <w:pPr>
              <w:pStyle w:val="51"/>
              <w:rPr>
                <w:rFonts w:hint="eastAsia" w:ascii="方正仿宋_GBK" w:eastAsia="方正仿宋_GBK"/>
                <w:sz w:val="18"/>
                <w:szCs w:val="18"/>
              </w:rPr>
            </w:pPr>
            <w:r>
              <w:rPr>
                <w:rFonts w:hint="eastAsia" w:ascii="方正仿宋_GBK" w:eastAsia="方正仿宋_GBK"/>
                <w:sz w:val="18"/>
                <w:szCs w:val="18"/>
                <w:lang w:val="zh-CN"/>
              </w:rPr>
              <w:t>1068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273"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防治责任范围面积（hm</w:t>
            </w:r>
            <w:r>
              <w:rPr>
                <w:rFonts w:hint="eastAsia" w:ascii="方正仿宋_GBK" w:eastAsia="方正仿宋_GBK"/>
                <w:sz w:val="18"/>
                <w:szCs w:val="18"/>
                <w:vertAlign w:val="superscript"/>
              </w:rPr>
              <w:t>2</w:t>
            </w:r>
            <w:r>
              <w:rPr>
                <w:rFonts w:hint="eastAsia" w:ascii="方正仿宋_GBK" w:eastAsia="方正仿宋_GBK"/>
                <w:sz w:val="18"/>
                <w:szCs w:val="18"/>
              </w:rPr>
              <w:t>）</w:t>
            </w:r>
          </w:p>
        </w:tc>
        <w:tc>
          <w:tcPr>
            <w:tcW w:w="111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12.73</w:t>
            </w:r>
          </w:p>
        </w:tc>
        <w:tc>
          <w:tcPr>
            <w:tcW w:w="878" w:type="pct"/>
            <w:gridSpan w:val="2"/>
            <w:vAlign w:val="center"/>
          </w:tcPr>
          <w:p>
            <w:pPr>
              <w:pStyle w:val="51"/>
              <w:rPr>
                <w:rFonts w:hint="eastAsia" w:ascii="方正仿宋_GBK" w:eastAsia="方正仿宋_GBK"/>
                <w:sz w:val="18"/>
                <w:szCs w:val="18"/>
              </w:rPr>
            </w:pPr>
            <w:r>
              <w:rPr>
                <w:rFonts w:hint="eastAsia" w:ascii="方正仿宋_GBK" w:eastAsia="方正仿宋_GBK"/>
                <w:sz w:val="18"/>
                <w:szCs w:val="18"/>
              </w:rPr>
              <w:t>容许土壤流失量</w:t>
            </w:r>
          </w:p>
          <w:p>
            <w:pPr>
              <w:pStyle w:val="51"/>
              <w:rPr>
                <w:rFonts w:hint="eastAsia" w:ascii="方正仿宋_GBK" w:eastAsia="方正仿宋_GBK"/>
                <w:sz w:val="18"/>
                <w:szCs w:val="18"/>
              </w:rPr>
            </w:pPr>
            <w:r>
              <w:rPr>
                <w:rFonts w:hint="eastAsia" w:ascii="方正仿宋_GBK" w:eastAsia="方正仿宋_GBK"/>
                <w:sz w:val="18"/>
                <w:szCs w:val="18"/>
              </w:rPr>
              <w:t>[t/(km</w:t>
            </w:r>
            <w:r>
              <w:rPr>
                <w:rFonts w:hint="eastAsia" w:ascii="方正仿宋_GBK" w:eastAsia="方正仿宋_GBK"/>
                <w:sz w:val="18"/>
                <w:szCs w:val="18"/>
                <w:vertAlign w:val="superscript"/>
              </w:rPr>
              <w:t>2</w:t>
            </w:r>
            <w:r>
              <w:rPr>
                <w:rFonts w:hint="eastAsia" w:ascii="方正仿宋_GBK" w:eastAsia="方正仿宋_GBK"/>
                <w:sz w:val="18"/>
                <w:szCs w:val="18"/>
              </w:rPr>
              <w:t>·a)]</w:t>
            </w:r>
          </w:p>
        </w:tc>
        <w:tc>
          <w:tcPr>
            <w:tcW w:w="1734" w:type="pct"/>
            <w:gridSpan w:val="3"/>
            <w:vAlign w:val="center"/>
          </w:tcPr>
          <w:p>
            <w:pPr>
              <w:pStyle w:val="51"/>
              <w:rPr>
                <w:rFonts w:hint="eastAsia" w:ascii="方正仿宋_GBK" w:eastAsia="方正仿宋_GBK"/>
                <w:sz w:val="18"/>
                <w:szCs w:val="18"/>
              </w:rPr>
            </w:pPr>
            <w:r>
              <w:rPr>
                <w:rFonts w:hint="eastAsia" w:ascii="方正仿宋_GBK" w:eastAsia="方正仿宋_GBK"/>
                <w:sz w:val="18"/>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73"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土壤流失预测总量（t）</w:t>
            </w:r>
          </w:p>
        </w:tc>
        <w:tc>
          <w:tcPr>
            <w:tcW w:w="111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1725</w:t>
            </w:r>
          </w:p>
        </w:tc>
        <w:tc>
          <w:tcPr>
            <w:tcW w:w="878" w:type="pct"/>
            <w:gridSpan w:val="2"/>
            <w:vAlign w:val="center"/>
          </w:tcPr>
          <w:p>
            <w:pPr>
              <w:pStyle w:val="51"/>
              <w:rPr>
                <w:rFonts w:hint="eastAsia" w:ascii="方正仿宋_GBK" w:eastAsia="方正仿宋_GBK"/>
                <w:sz w:val="18"/>
                <w:szCs w:val="18"/>
              </w:rPr>
            </w:pPr>
            <w:r>
              <w:rPr>
                <w:rFonts w:hint="eastAsia" w:ascii="方正仿宋_GBK" w:eastAsia="方正仿宋_GBK"/>
                <w:sz w:val="18"/>
                <w:szCs w:val="18"/>
              </w:rPr>
              <w:t>新增土壤流失量（t）</w:t>
            </w:r>
          </w:p>
        </w:tc>
        <w:tc>
          <w:tcPr>
            <w:tcW w:w="1734" w:type="pct"/>
            <w:gridSpan w:val="3"/>
            <w:vAlign w:val="center"/>
          </w:tcPr>
          <w:p>
            <w:pPr>
              <w:pStyle w:val="51"/>
              <w:rPr>
                <w:rFonts w:hint="eastAsia" w:ascii="方正仿宋_GBK" w:eastAsia="方正仿宋_GBK"/>
                <w:sz w:val="18"/>
                <w:szCs w:val="18"/>
              </w:rPr>
            </w:pPr>
            <w:r>
              <w:rPr>
                <w:rFonts w:hint="eastAsia" w:ascii="方正仿宋_GBK" w:eastAsia="方正仿宋_GBK"/>
                <w:sz w:val="18"/>
                <w:szCs w:val="18"/>
              </w:rPr>
              <w:t>1545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73"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水土流失防治标准执行等级</w:t>
            </w:r>
          </w:p>
        </w:tc>
        <w:tc>
          <w:tcPr>
            <w:tcW w:w="3727" w:type="pct"/>
            <w:gridSpan w:val="6"/>
            <w:noWrap/>
            <w:vAlign w:val="center"/>
          </w:tcPr>
          <w:p>
            <w:pPr>
              <w:pStyle w:val="51"/>
              <w:rPr>
                <w:rFonts w:hint="eastAsia" w:ascii="方正仿宋_GBK" w:eastAsia="方正仿宋_GBK"/>
                <w:sz w:val="18"/>
                <w:szCs w:val="18"/>
              </w:rPr>
            </w:pPr>
            <w:r>
              <w:rPr>
                <w:rFonts w:hint="eastAsia" w:ascii="方正仿宋_GBK" w:eastAsia="方正仿宋_GBK"/>
                <w:sz w:val="18"/>
                <w:szCs w:val="18"/>
              </w:rPr>
              <w:t>西南紫色土区建设类一级防治标准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5" w:type="pct"/>
            <w:vMerge w:val="restart"/>
            <w:noWrap/>
            <w:vAlign w:val="center"/>
          </w:tcPr>
          <w:p>
            <w:pPr>
              <w:pStyle w:val="51"/>
              <w:rPr>
                <w:rFonts w:hint="eastAsia" w:ascii="方正仿宋_GBK" w:eastAsia="方正仿宋_GBK"/>
                <w:sz w:val="18"/>
                <w:szCs w:val="18"/>
              </w:rPr>
            </w:pPr>
            <w:r>
              <w:rPr>
                <w:rFonts w:hint="eastAsia" w:ascii="方正仿宋_GBK" w:eastAsia="方正仿宋_GBK"/>
                <w:sz w:val="18"/>
                <w:szCs w:val="18"/>
              </w:rPr>
              <w:t>防治指标</w:t>
            </w:r>
          </w:p>
        </w:tc>
        <w:tc>
          <w:tcPr>
            <w:tcW w:w="638"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水土流失治理度（%）</w:t>
            </w:r>
          </w:p>
        </w:tc>
        <w:tc>
          <w:tcPr>
            <w:tcW w:w="111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97</w:t>
            </w:r>
          </w:p>
        </w:tc>
        <w:tc>
          <w:tcPr>
            <w:tcW w:w="878"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土壤流失控制比</w:t>
            </w:r>
          </w:p>
        </w:tc>
        <w:tc>
          <w:tcPr>
            <w:tcW w:w="1734" w:type="pct"/>
            <w:gridSpan w:val="3"/>
            <w:noWrap/>
            <w:vAlign w:val="center"/>
          </w:tcPr>
          <w:p>
            <w:pPr>
              <w:pStyle w:val="51"/>
              <w:rPr>
                <w:rFonts w:hint="eastAsia" w:ascii="方正仿宋_GBK" w:eastAsia="方正仿宋_GBK"/>
                <w:sz w:val="18"/>
                <w:szCs w:val="18"/>
              </w:rPr>
            </w:pPr>
            <w:r>
              <w:rPr>
                <w:rFonts w:hint="eastAsia" w:ascii="方正仿宋_GBK" w:eastAsia="方正仿宋_GBK"/>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5" w:type="pct"/>
            <w:vMerge w:val="continue"/>
            <w:vAlign w:val="center"/>
          </w:tcPr>
          <w:p>
            <w:pPr>
              <w:pStyle w:val="51"/>
              <w:rPr>
                <w:rFonts w:hint="eastAsia" w:ascii="方正仿宋_GBK" w:eastAsia="方正仿宋_GBK"/>
                <w:sz w:val="18"/>
                <w:szCs w:val="18"/>
              </w:rPr>
            </w:pPr>
          </w:p>
        </w:tc>
        <w:tc>
          <w:tcPr>
            <w:tcW w:w="638"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渣土防护率（%）</w:t>
            </w:r>
          </w:p>
        </w:tc>
        <w:tc>
          <w:tcPr>
            <w:tcW w:w="111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92</w:t>
            </w:r>
          </w:p>
        </w:tc>
        <w:tc>
          <w:tcPr>
            <w:tcW w:w="878"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表土保护率（%）</w:t>
            </w:r>
          </w:p>
        </w:tc>
        <w:tc>
          <w:tcPr>
            <w:tcW w:w="1734" w:type="pct"/>
            <w:gridSpan w:val="3"/>
            <w:noWrap/>
            <w:vAlign w:val="center"/>
          </w:tcPr>
          <w:p>
            <w:pPr>
              <w:pStyle w:val="51"/>
              <w:rPr>
                <w:rFonts w:hint="eastAsia" w:ascii="方正仿宋_GBK" w:eastAsia="方正仿宋_GBK"/>
                <w:sz w:val="18"/>
                <w:szCs w:val="18"/>
              </w:rPr>
            </w:pPr>
            <w:r>
              <w:rPr>
                <w:rFonts w:hint="eastAsia" w:ascii="方正仿宋_GBK" w:eastAsia="方正仿宋_GBK"/>
                <w:sz w:val="18"/>
                <w:szCs w:val="18"/>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5" w:type="pct"/>
            <w:vMerge w:val="continue"/>
            <w:vAlign w:val="center"/>
          </w:tcPr>
          <w:p>
            <w:pPr>
              <w:pStyle w:val="51"/>
              <w:rPr>
                <w:rFonts w:hint="eastAsia" w:ascii="方正仿宋_GBK" w:eastAsia="方正仿宋_GBK"/>
                <w:sz w:val="18"/>
                <w:szCs w:val="18"/>
              </w:rPr>
            </w:pPr>
          </w:p>
        </w:tc>
        <w:tc>
          <w:tcPr>
            <w:tcW w:w="638"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林草植被恢复率（%）</w:t>
            </w:r>
          </w:p>
        </w:tc>
        <w:tc>
          <w:tcPr>
            <w:tcW w:w="111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97</w:t>
            </w:r>
          </w:p>
        </w:tc>
        <w:tc>
          <w:tcPr>
            <w:tcW w:w="878"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林草覆盖率（%）</w:t>
            </w:r>
          </w:p>
        </w:tc>
        <w:tc>
          <w:tcPr>
            <w:tcW w:w="1734" w:type="pct"/>
            <w:gridSpan w:val="3"/>
            <w:noWrap/>
            <w:vAlign w:val="center"/>
          </w:tcPr>
          <w:p>
            <w:pPr>
              <w:pStyle w:val="51"/>
              <w:rPr>
                <w:rFonts w:hint="eastAsia" w:ascii="方正仿宋_GBK" w:eastAsia="方正仿宋_GBK"/>
                <w:sz w:val="18"/>
                <w:szCs w:val="18"/>
              </w:rPr>
            </w:pPr>
            <w:r>
              <w:rPr>
                <w:rFonts w:hint="eastAsia" w:ascii="方正仿宋_GBK" w:eastAsia="方正仿宋_GBK"/>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5" w:type="pct"/>
            <w:vMerge w:val="restart"/>
            <w:noWrap/>
            <w:vAlign w:val="center"/>
          </w:tcPr>
          <w:p>
            <w:pPr>
              <w:pStyle w:val="51"/>
              <w:rPr>
                <w:rFonts w:hint="eastAsia" w:ascii="方正仿宋_GBK" w:eastAsia="方正仿宋_GBK"/>
                <w:sz w:val="18"/>
                <w:szCs w:val="18"/>
              </w:rPr>
            </w:pPr>
            <w:r>
              <w:rPr>
                <w:rFonts w:hint="eastAsia" w:ascii="方正仿宋_GBK" w:eastAsia="方正仿宋_GBK"/>
                <w:sz w:val="18"/>
                <w:szCs w:val="18"/>
              </w:rPr>
              <w:t>防治措施及工程量</w:t>
            </w:r>
          </w:p>
        </w:tc>
        <w:tc>
          <w:tcPr>
            <w:tcW w:w="638" w:type="pct"/>
            <w:vAlign w:val="center"/>
          </w:tcPr>
          <w:p>
            <w:pPr>
              <w:pStyle w:val="51"/>
              <w:rPr>
                <w:rFonts w:hint="eastAsia" w:ascii="方正仿宋_GBK" w:eastAsia="方正仿宋_GBK"/>
                <w:sz w:val="18"/>
                <w:szCs w:val="18"/>
              </w:rPr>
            </w:pPr>
            <w:r>
              <w:rPr>
                <w:rFonts w:hint="eastAsia" w:ascii="方正仿宋_GBK" w:eastAsia="方正仿宋_GBK"/>
                <w:sz w:val="18"/>
                <w:szCs w:val="18"/>
              </w:rPr>
              <w:t>防治分区</w:t>
            </w:r>
          </w:p>
        </w:tc>
        <w:tc>
          <w:tcPr>
            <w:tcW w:w="1115" w:type="pct"/>
            <w:vAlign w:val="center"/>
          </w:tcPr>
          <w:p>
            <w:pPr>
              <w:pStyle w:val="51"/>
              <w:rPr>
                <w:rFonts w:hint="eastAsia" w:ascii="方正仿宋_GBK" w:eastAsia="方正仿宋_GBK"/>
                <w:sz w:val="18"/>
                <w:szCs w:val="18"/>
              </w:rPr>
            </w:pPr>
            <w:r>
              <w:rPr>
                <w:rFonts w:hint="eastAsia" w:ascii="方正仿宋_GBK" w:eastAsia="方正仿宋_GBK"/>
                <w:sz w:val="18"/>
                <w:szCs w:val="18"/>
              </w:rPr>
              <w:t>工程措施</w:t>
            </w:r>
          </w:p>
        </w:tc>
        <w:tc>
          <w:tcPr>
            <w:tcW w:w="878" w:type="pct"/>
            <w:gridSpan w:val="2"/>
            <w:vAlign w:val="center"/>
          </w:tcPr>
          <w:p>
            <w:pPr>
              <w:pStyle w:val="51"/>
              <w:rPr>
                <w:rFonts w:hint="eastAsia" w:ascii="方正仿宋_GBK" w:eastAsia="方正仿宋_GBK"/>
                <w:sz w:val="18"/>
                <w:szCs w:val="18"/>
              </w:rPr>
            </w:pPr>
            <w:r>
              <w:rPr>
                <w:rFonts w:hint="eastAsia" w:ascii="方正仿宋_GBK" w:eastAsia="方正仿宋_GBK"/>
                <w:sz w:val="18"/>
                <w:szCs w:val="18"/>
              </w:rPr>
              <w:t>植物措施</w:t>
            </w:r>
          </w:p>
        </w:tc>
        <w:tc>
          <w:tcPr>
            <w:tcW w:w="1734" w:type="pct"/>
            <w:gridSpan w:val="3"/>
            <w:noWrap/>
            <w:vAlign w:val="center"/>
          </w:tcPr>
          <w:p>
            <w:pPr>
              <w:pStyle w:val="51"/>
              <w:rPr>
                <w:rFonts w:hint="eastAsia" w:ascii="方正仿宋_GBK" w:eastAsia="方正仿宋_GBK"/>
                <w:sz w:val="18"/>
                <w:szCs w:val="18"/>
              </w:rPr>
            </w:pPr>
            <w:r>
              <w:rPr>
                <w:rFonts w:hint="eastAsia" w:ascii="方正仿宋_GBK" w:eastAsia="方正仿宋_GBK"/>
                <w:sz w:val="18"/>
                <w:szCs w:val="18"/>
              </w:rPr>
              <w:t>临时措施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5" w:type="pct"/>
            <w:vMerge w:val="continue"/>
            <w:noWrap/>
            <w:vAlign w:val="center"/>
          </w:tcPr>
          <w:p>
            <w:pPr>
              <w:pStyle w:val="51"/>
              <w:rPr>
                <w:rFonts w:hint="eastAsia" w:ascii="方正仿宋_GBK" w:eastAsia="方正仿宋_GBK"/>
                <w:sz w:val="18"/>
                <w:szCs w:val="18"/>
              </w:rPr>
            </w:pPr>
          </w:p>
        </w:tc>
        <w:tc>
          <w:tcPr>
            <w:tcW w:w="638" w:type="pct"/>
            <w:vAlign w:val="center"/>
          </w:tcPr>
          <w:p>
            <w:pPr>
              <w:jc w:val="center"/>
              <w:rPr>
                <w:rFonts w:hint="eastAsia" w:ascii="方正仿宋_GBK" w:eastAsia="方正仿宋_GBK"/>
                <w:color w:val="000000"/>
                <w:sz w:val="18"/>
                <w:szCs w:val="18"/>
              </w:rPr>
            </w:pPr>
            <w:r>
              <w:rPr>
                <w:rFonts w:hint="eastAsia" w:ascii="方正仿宋_GBK" w:eastAsia="方正仿宋_GBK"/>
                <w:color w:val="000000"/>
                <w:sz w:val="18"/>
                <w:szCs w:val="18"/>
              </w:rPr>
              <w:t>风机工程防治区</w:t>
            </w:r>
          </w:p>
        </w:tc>
        <w:tc>
          <w:tcPr>
            <w:tcW w:w="1115" w:type="pct"/>
            <w:vAlign w:val="center"/>
          </w:tcPr>
          <w:p>
            <w:pPr>
              <w:pStyle w:val="51"/>
              <w:rPr>
                <w:rFonts w:hint="eastAsia" w:ascii="方正仿宋_GBK" w:eastAsia="方正仿宋_GBK"/>
                <w:sz w:val="18"/>
                <w:szCs w:val="18"/>
              </w:rPr>
            </w:pPr>
            <w:r>
              <w:rPr>
                <w:rFonts w:hint="eastAsia" w:ascii="方正仿宋_GBK" w:eastAsia="方正仿宋_GBK"/>
                <w:sz w:val="18"/>
                <w:szCs w:val="18"/>
              </w:rPr>
              <w:t>主体设计：浆砌石排水沟2100m，浆砌石沉砂池7口；方案新增：表土剥离0.47万m</w:t>
            </w:r>
            <w:r>
              <w:rPr>
                <w:rFonts w:hint="eastAsia" w:ascii="方正仿宋_GBK" w:eastAsia="方正仿宋_GBK"/>
                <w:sz w:val="18"/>
                <w:szCs w:val="18"/>
                <w:vertAlign w:val="superscript"/>
              </w:rPr>
              <w:t>3</w:t>
            </w:r>
            <w:r>
              <w:rPr>
                <w:rFonts w:hint="eastAsia" w:ascii="方正仿宋_GBK" w:eastAsia="方正仿宋_GBK"/>
                <w:sz w:val="18"/>
                <w:szCs w:val="18"/>
              </w:rPr>
              <w:t>，表土回填0.47万m</w:t>
            </w:r>
            <w:r>
              <w:rPr>
                <w:rFonts w:hint="eastAsia" w:ascii="方正仿宋_GBK" w:eastAsia="方正仿宋_GBK"/>
                <w:sz w:val="18"/>
                <w:szCs w:val="18"/>
                <w:vertAlign w:val="superscript"/>
              </w:rPr>
              <w:t>3</w:t>
            </w:r>
            <w:r>
              <w:rPr>
                <w:rFonts w:hint="eastAsia" w:ascii="方正仿宋_GBK" w:eastAsia="方正仿宋_GBK"/>
                <w:sz w:val="18"/>
                <w:szCs w:val="18"/>
              </w:rPr>
              <w:t>，土地整治0.16hm</w:t>
            </w:r>
            <w:r>
              <w:rPr>
                <w:rFonts w:hint="eastAsia" w:ascii="方正仿宋_GBK" w:eastAsia="方正仿宋_GBK"/>
                <w:sz w:val="18"/>
                <w:szCs w:val="18"/>
                <w:vertAlign w:val="superscript"/>
              </w:rPr>
              <w:t>2</w:t>
            </w:r>
            <w:r>
              <w:rPr>
                <w:rFonts w:hint="eastAsia" w:ascii="方正仿宋_GBK" w:eastAsia="方正仿宋_GBK"/>
                <w:sz w:val="18"/>
                <w:szCs w:val="18"/>
              </w:rPr>
              <w:t>；</w:t>
            </w:r>
          </w:p>
        </w:tc>
        <w:tc>
          <w:tcPr>
            <w:tcW w:w="878" w:type="pct"/>
            <w:gridSpan w:val="2"/>
            <w:vAlign w:val="center"/>
          </w:tcPr>
          <w:p>
            <w:pPr>
              <w:pStyle w:val="51"/>
              <w:rPr>
                <w:rFonts w:hint="eastAsia" w:ascii="方正仿宋_GBK" w:eastAsia="方正仿宋_GBK"/>
                <w:sz w:val="18"/>
                <w:szCs w:val="18"/>
              </w:rPr>
            </w:pPr>
            <w:r>
              <w:rPr>
                <w:rFonts w:hint="eastAsia" w:ascii="方正仿宋_GBK" w:eastAsia="方正仿宋_GBK"/>
                <w:sz w:val="18"/>
                <w:szCs w:val="18"/>
              </w:rPr>
              <w:t>主体设计：灌草复绿0.86hm</w:t>
            </w:r>
            <w:r>
              <w:rPr>
                <w:rFonts w:hint="eastAsia" w:ascii="方正仿宋_GBK" w:eastAsia="方正仿宋_GBK"/>
                <w:sz w:val="18"/>
                <w:szCs w:val="18"/>
                <w:vertAlign w:val="superscript"/>
              </w:rPr>
              <w:t>2</w:t>
            </w:r>
            <w:r>
              <w:rPr>
                <w:rFonts w:hint="eastAsia" w:ascii="方正仿宋_GBK" w:eastAsia="方正仿宋_GBK"/>
                <w:sz w:val="18"/>
                <w:szCs w:val="18"/>
              </w:rPr>
              <w:t>，挂网喷播植草1.28hm</w:t>
            </w:r>
            <w:r>
              <w:rPr>
                <w:rFonts w:hint="eastAsia" w:ascii="方正仿宋_GBK" w:eastAsia="方正仿宋_GBK"/>
                <w:sz w:val="18"/>
                <w:szCs w:val="18"/>
                <w:vertAlign w:val="superscript"/>
              </w:rPr>
              <w:t>2</w:t>
            </w:r>
            <w:r>
              <w:rPr>
                <w:rFonts w:hint="eastAsia" w:ascii="方正仿宋_GBK" w:eastAsia="方正仿宋_GBK"/>
                <w:sz w:val="18"/>
                <w:szCs w:val="18"/>
              </w:rPr>
              <w:t>，攀爬植物复绿1400m；</w:t>
            </w:r>
          </w:p>
        </w:tc>
        <w:tc>
          <w:tcPr>
            <w:tcW w:w="1734" w:type="pct"/>
            <w:gridSpan w:val="3"/>
            <w:noWrap/>
            <w:vAlign w:val="center"/>
          </w:tcPr>
          <w:p>
            <w:pPr>
              <w:pStyle w:val="51"/>
              <w:rPr>
                <w:rFonts w:hint="eastAsia" w:ascii="方正仿宋_GBK" w:eastAsia="方正仿宋_GBK"/>
                <w:sz w:val="18"/>
                <w:szCs w:val="18"/>
              </w:rPr>
            </w:pPr>
            <w:r>
              <w:rPr>
                <w:rFonts w:hint="eastAsia" w:ascii="方正仿宋_GBK" w:eastAsia="方正仿宋_GBK"/>
                <w:sz w:val="18"/>
                <w:szCs w:val="18"/>
              </w:rPr>
              <w:t>方案新增：编织土袋拦挡2240m，</w:t>
            </w:r>
            <w:bookmarkStart w:id="1" w:name="OLE_LINK4"/>
            <w:r>
              <w:rPr>
                <w:rFonts w:hint="eastAsia" w:ascii="方正仿宋_GBK" w:eastAsia="方正仿宋_GBK"/>
                <w:sz w:val="18"/>
                <w:szCs w:val="18"/>
              </w:rPr>
              <w:t>临时苫盖8000m</w:t>
            </w:r>
            <w:r>
              <w:rPr>
                <w:rFonts w:hint="eastAsia" w:ascii="方正仿宋_GBK" w:eastAsia="方正仿宋_GBK"/>
                <w:sz w:val="18"/>
                <w:szCs w:val="18"/>
                <w:vertAlign w:val="superscript"/>
              </w:rPr>
              <w:t>2</w:t>
            </w:r>
            <w:bookmarkEnd w:id="1"/>
            <w:r>
              <w:rPr>
                <w:rFonts w:hint="eastAsia" w:ascii="方正仿宋_GBK" w:eastAsia="方正仿宋_GBK"/>
                <w:sz w:val="18"/>
                <w:szCs w:val="18"/>
              </w:rPr>
              <w:t>，临时排水沟840m，临时沉砂池7座；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5" w:type="pct"/>
            <w:vMerge w:val="continue"/>
            <w:noWrap/>
            <w:vAlign w:val="center"/>
          </w:tcPr>
          <w:p>
            <w:pPr>
              <w:pStyle w:val="51"/>
              <w:rPr>
                <w:rFonts w:hint="eastAsia" w:ascii="方正仿宋_GBK" w:eastAsia="方正仿宋_GBK"/>
                <w:sz w:val="18"/>
                <w:szCs w:val="18"/>
              </w:rPr>
            </w:pPr>
          </w:p>
        </w:tc>
        <w:tc>
          <w:tcPr>
            <w:tcW w:w="638" w:type="pct"/>
            <w:vAlign w:val="center"/>
          </w:tcPr>
          <w:p>
            <w:pPr>
              <w:jc w:val="center"/>
              <w:rPr>
                <w:rFonts w:hint="eastAsia" w:ascii="方正仿宋_GBK" w:eastAsia="方正仿宋_GBK"/>
                <w:color w:val="000000"/>
                <w:sz w:val="18"/>
                <w:szCs w:val="18"/>
              </w:rPr>
            </w:pPr>
            <w:r>
              <w:rPr>
                <w:rFonts w:hint="eastAsia" w:ascii="方正仿宋_GBK" w:eastAsia="方正仿宋_GBK"/>
                <w:color w:val="000000"/>
                <w:sz w:val="18"/>
                <w:szCs w:val="18"/>
              </w:rPr>
              <w:t>集点线路工程防治区</w:t>
            </w:r>
          </w:p>
        </w:tc>
        <w:tc>
          <w:tcPr>
            <w:tcW w:w="1115" w:type="pct"/>
            <w:vAlign w:val="center"/>
          </w:tcPr>
          <w:p>
            <w:pPr>
              <w:pStyle w:val="51"/>
              <w:rPr>
                <w:rFonts w:hint="eastAsia" w:ascii="方正仿宋_GBK" w:eastAsia="方正仿宋_GBK"/>
                <w:sz w:val="18"/>
                <w:szCs w:val="18"/>
              </w:rPr>
            </w:pPr>
            <w:r>
              <w:rPr>
                <w:rFonts w:hint="eastAsia" w:ascii="方正仿宋_GBK" w:eastAsia="方正仿宋_GBK"/>
                <w:sz w:val="18"/>
                <w:szCs w:val="18"/>
              </w:rPr>
              <w:t>/</w:t>
            </w:r>
          </w:p>
        </w:tc>
        <w:tc>
          <w:tcPr>
            <w:tcW w:w="878" w:type="pct"/>
            <w:gridSpan w:val="2"/>
            <w:vAlign w:val="center"/>
          </w:tcPr>
          <w:p>
            <w:pPr>
              <w:pStyle w:val="51"/>
              <w:rPr>
                <w:rFonts w:hint="eastAsia" w:ascii="方正仿宋_GBK" w:eastAsia="方正仿宋_GBK"/>
                <w:sz w:val="18"/>
                <w:szCs w:val="18"/>
              </w:rPr>
            </w:pPr>
            <w:r>
              <w:rPr>
                <w:rFonts w:hint="eastAsia" w:ascii="方正仿宋_GBK" w:eastAsia="方正仿宋_GBK"/>
                <w:sz w:val="18"/>
                <w:szCs w:val="18"/>
              </w:rPr>
              <w:t>方案新增：撒播草籽1.39hm</w:t>
            </w:r>
            <w:r>
              <w:rPr>
                <w:rFonts w:hint="eastAsia" w:ascii="方正仿宋_GBK" w:eastAsia="方正仿宋_GBK"/>
                <w:sz w:val="18"/>
                <w:szCs w:val="18"/>
                <w:vertAlign w:val="superscript"/>
              </w:rPr>
              <w:t>2</w:t>
            </w:r>
            <w:r>
              <w:rPr>
                <w:rFonts w:hint="eastAsia" w:ascii="方正仿宋_GBK" w:eastAsia="方正仿宋_GBK"/>
                <w:sz w:val="18"/>
                <w:szCs w:val="18"/>
              </w:rPr>
              <w:t>；</w:t>
            </w:r>
          </w:p>
        </w:tc>
        <w:tc>
          <w:tcPr>
            <w:tcW w:w="1734" w:type="pct"/>
            <w:gridSpan w:val="3"/>
            <w:noWrap/>
            <w:vAlign w:val="center"/>
          </w:tcPr>
          <w:p>
            <w:pPr>
              <w:pStyle w:val="51"/>
              <w:rPr>
                <w:rFonts w:hint="eastAsia" w:ascii="方正仿宋_GBK" w:eastAsia="方正仿宋_GBK"/>
                <w:sz w:val="18"/>
                <w:szCs w:val="18"/>
              </w:rPr>
            </w:pPr>
            <w:r>
              <w:rPr>
                <w:rFonts w:hint="eastAsia" w:ascii="方正仿宋_GBK" w:eastAsia="方正仿宋_GBK"/>
                <w:sz w:val="18"/>
                <w:szCs w:val="18"/>
              </w:rPr>
              <w:t>方案新增：临时苫盖2000m</w:t>
            </w:r>
            <w:r>
              <w:rPr>
                <w:rFonts w:hint="eastAsia" w:ascii="方正仿宋_GBK" w:eastAsia="方正仿宋_GBK"/>
                <w:sz w:val="18"/>
                <w:szCs w:val="18"/>
                <w:vertAlign w:val="superscript"/>
              </w:rPr>
              <w:t>2</w:t>
            </w:r>
            <w:r>
              <w:rPr>
                <w:rFonts w:hint="eastAsia" w:ascii="方正仿宋_GBK" w:eastAsia="方正仿宋_GBK"/>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5" w:type="pct"/>
            <w:vMerge w:val="continue"/>
            <w:noWrap/>
            <w:vAlign w:val="center"/>
          </w:tcPr>
          <w:p>
            <w:pPr>
              <w:pStyle w:val="51"/>
              <w:rPr>
                <w:rFonts w:hint="eastAsia" w:ascii="方正仿宋_GBK" w:eastAsia="方正仿宋_GBK"/>
                <w:sz w:val="18"/>
                <w:szCs w:val="18"/>
              </w:rPr>
            </w:pPr>
          </w:p>
        </w:tc>
        <w:tc>
          <w:tcPr>
            <w:tcW w:w="638" w:type="pct"/>
            <w:vAlign w:val="center"/>
          </w:tcPr>
          <w:p>
            <w:pPr>
              <w:jc w:val="center"/>
              <w:rPr>
                <w:rFonts w:hint="eastAsia" w:ascii="方正仿宋_GBK" w:eastAsia="方正仿宋_GBK"/>
                <w:color w:val="000000"/>
                <w:sz w:val="18"/>
                <w:szCs w:val="18"/>
              </w:rPr>
            </w:pPr>
            <w:r>
              <w:rPr>
                <w:rFonts w:hint="eastAsia" w:ascii="方正仿宋_GBK" w:eastAsia="方正仿宋_GBK"/>
                <w:color w:val="000000"/>
                <w:sz w:val="18"/>
                <w:szCs w:val="18"/>
              </w:rPr>
              <w:t>施工便道防治区</w:t>
            </w:r>
          </w:p>
        </w:tc>
        <w:tc>
          <w:tcPr>
            <w:tcW w:w="1115" w:type="pct"/>
            <w:vAlign w:val="center"/>
          </w:tcPr>
          <w:p>
            <w:pPr>
              <w:pStyle w:val="51"/>
              <w:rPr>
                <w:rFonts w:hint="eastAsia" w:ascii="方正仿宋_GBK" w:eastAsia="方正仿宋_GBK"/>
                <w:sz w:val="18"/>
                <w:szCs w:val="18"/>
              </w:rPr>
            </w:pPr>
            <w:r>
              <w:rPr>
                <w:rFonts w:hint="eastAsia" w:ascii="方正仿宋_GBK" w:eastAsia="方正仿宋_GBK"/>
                <w:sz w:val="18"/>
                <w:szCs w:val="18"/>
              </w:rPr>
              <w:t>方案新增：表土剥离0.01万m</w:t>
            </w:r>
            <w:r>
              <w:rPr>
                <w:rFonts w:hint="eastAsia" w:ascii="方正仿宋_GBK" w:eastAsia="方正仿宋_GBK"/>
                <w:sz w:val="18"/>
                <w:szCs w:val="18"/>
                <w:vertAlign w:val="superscript"/>
              </w:rPr>
              <w:t>3</w:t>
            </w:r>
            <w:r>
              <w:rPr>
                <w:rFonts w:hint="eastAsia" w:ascii="方正仿宋_GBK" w:eastAsia="方正仿宋_GBK"/>
                <w:sz w:val="18"/>
                <w:szCs w:val="18"/>
              </w:rPr>
              <w:t>，表土回填0.01万m</w:t>
            </w:r>
            <w:r>
              <w:rPr>
                <w:rFonts w:hint="eastAsia" w:ascii="方正仿宋_GBK" w:eastAsia="方正仿宋_GBK"/>
                <w:sz w:val="18"/>
                <w:szCs w:val="18"/>
                <w:vertAlign w:val="superscript"/>
              </w:rPr>
              <w:t>3</w:t>
            </w:r>
            <w:r>
              <w:rPr>
                <w:rFonts w:hint="eastAsia" w:ascii="方正仿宋_GBK" w:eastAsia="方正仿宋_GBK"/>
                <w:sz w:val="18"/>
                <w:szCs w:val="18"/>
              </w:rPr>
              <w:t>；</w:t>
            </w:r>
          </w:p>
        </w:tc>
        <w:tc>
          <w:tcPr>
            <w:tcW w:w="878" w:type="pct"/>
            <w:gridSpan w:val="2"/>
            <w:vAlign w:val="center"/>
          </w:tcPr>
          <w:p>
            <w:pPr>
              <w:pStyle w:val="51"/>
              <w:rPr>
                <w:rFonts w:hint="eastAsia" w:ascii="方正仿宋_GBK" w:eastAsia="方正仿宋_GBK"/>
                <w:sz w:val="18"/>
                <w:szCs w:val="18"/>
              </w:rPr>
            </w:pPr>
            <w:r>
              <w:rPr>
                <w:rFonts w:hint="eastAsia" w:ascii="方正仿宋_GBK" w:eastAsia="方正仿宋_GBK"/>
                <w:sz w:val="18"/>
                <w:szCs w:val="18"/>
              </w:rPr>
              <w:t>方案新增：灌草复绿0.03hm</w:t>
            </w:r>
            <w:r>
              <w:rPr>
                <w:rFonts w:hint="eastAsia" w:ascii="方正仿宋_GBK" w:eastAsia="方正仿宋_GBK"/>
                <w:sz w:val="18"/>
                <w:szCs w:val="18"/>
                <w:vertAlign w:val="superscript"/>
              </w:rPr>
              <w:t>2</w:t>
            </w:r>
            <w:r>
              <w:rPr>
                <w:rFonts w:hint="eastAsia" w:ascii="方正仿宋_GBK" w:eastAsia="方正仿宋_GBK"/>
                <w:sz w:val="18"/>
                <w:szCs w:val="18"/>
              </w:rPr>
              <w:t>；</w:t>
            </w:r>
          </w:p>
        </w:tc>
        <w:tc>
          <w:tcPr>
            <w:tcW w:w="1734" w:type="pct"/>
            <w:gridSpan w:val="3"/>
            <w:noWrap/>
            <w:vAlign w:val="center"/>
          </w:tcPr>
          <w:p>
            <w:pPr>
              <w:pStyle w:val="51"/>
              <w:rPr>
                <w:rFonts w:hint="eastAsia" w:ascii="方正仿宋_GBK" w:eastAsia="方正仿宋_GBK"/>
                <w:sz w:val="18"/>
                <w:szCs w:val="18"/>
              </w:rPr>
            </w:pPr>
            <w:r>
              <w:rPr>
                <w:rFonts w:hint="eastAsia" w:ascii="方正仿宋_GBK" w:eastAsia="方正仿宋_GBK"/>
                <w:sz w:val="18"/>
                <w:szCs w:val="18"/>
              </w:rPr>
              <w:t>方案新增：临时苫盖1000m</w:t>
            </w:r>
            <w:r>
              <w:rPr>
                <w:rFonts w:hint="eastAsia" w:ascii="方正仿宋_GBK" w:eastAsia="方正仿宋_GBK"/>
                <w:sz w:val="18"/>
                <w:szCs w:val="18"/>
                <w:vertAlign w:val="superscript"/>
              </w:rPr>
              <w:t>2</w:t>
            </w:r>
            <w:r>
              <w:rPr>
                <w:rFonts w:hint="eastAsia" w:ascii="方正仿宋_GBK" w:eastAsia="方正仿宋_GBK"/>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5" w:type="pct"/>
            <w:vMerge w:val="continue"/>
            <w:noWrap/>
            <w:vAlign w:val="center"/>
          </w:tcPr>
          <w:p>
            <w:pPr>
              <w:pStyle w:val="51"/>
              <w:rPr>
                <w:rFonts w:hint="eastAsia" w:ascii="方正仿宋_GBK" w:eastAsia="方正仿宋_GBK"/>
                <w:sz w:val="18"/>
                <w:szCs w:val="18"/>
              </w:rPr>
            </w:pPr>
          </w:p>
        </w:tc>
        <w:tc>
          <w:tcPr>
            <w:tcW w:w="638" w:type="pct"/>
            <w:vAlign w:val="center"/>
          </w:tcPr>
          <w:p>
            <w:pPr>
              <w:jc w:val="center"/>
              <w:rPr>
                <w:rFonts w:hint="eastAsia" w:ascii="方正仿宋_GBK" w:eastAsia="方正仿宋_GBK"/>
                <w:color w:val="000000"/>
                <w:sz w:val="18"/>
                <w:szCs w:val="18"/>
              </w:rPr>
            </w:pPr>
            <w:r>
              <w:rPr>
                <w:rFonts w:hint="eastAsia" w:ascii="方正仿宋_GBK" w:eastAsia="方正仿宋_GBK"/>
                <w:color w:val="000000"/>
                <w:sz w:val="18"/>
                <w:szCs w:val="18"/>
              </w:rPr>
              <w:t>弃渣场防治区</w:t>
            </w:r>
          </w:p>
        </w:tc>
        <w:tc>
          <w:tcPr>
            <w:tcW w:w="1115" w:type="pct"/>
            <w:vAlign w:val="center"/>
          </w:tcPr>
          <w:p>
            <w:pPr>
              <w:pStyle w:val="51"/>
              <w:rPr>
                <w:rFonts w:hint="eastAsia" w:ascii="方正仿宋_GBK" w:eastAsia="方正仿宋_GBK"/>
                <w:sz w:val="18"/>
                <w:szCs w:val="18"/>
              </w:rPr>
            </w:pPr>
            <w:r>
              <w:rPr>
                <w:rFonts w:hint="eastAsia" w:ascii="方正仿宋_GBK" w:eastAsia="方正仿宋_GBK"/>
                <w:sz w:val="18"/>
                <w:szCs w:val="18"/>
              </w:rPr>
              <w:t>主体设计：挡土墙2000m，排水沟1745m，浆砌石沉砂池7口，盲沟1425m，跌水槽160m；方案新增：表土剥离2.14万m</w:t>
            </w:r>
            <w:r>
              <w:rPr>
                <w:rFonts w:hint="eastAsia" w:ascii="方正仿宋_GBK" w:eastAsia="方正仿宋_GBK"/>
                <w:sz w:val="18"/>
                <w:szCs w:val="18"/>
                <w:vertAlign w:val="superscript"/>
              </w:rPr>
              <w:t>3</w:t>
            </w:r>
            <w:r>
              <w:rPr>
                <w:rFonts w:hint="eastAsia" w:ascii="方正仿宋_GBK" w:eastAsia="方正仿宋_GBK"/>
                <w:sz w:val="18"/>
                <w:szCs w:val="18"/>
              </w:rPr>
              <w:t>，表土回填2.14万m</w:t>
            </w:r>
            <w:r>
              <w:rPr>
                <w:rFonts w:hint="eastAsia" w:ascii="方正仿宋_GBK" w:eastAsia="方正仿宋_GBK"/>
                <w:sz w:val="18"/>
                <w:szCs w:val="18"/>
                <w:vertAlign w:val="superscript"/>
              </w:rPr>
              <w:t>3</w:t>
            </w:r>
            <w:r>
              <w:rPr>
                <w:rFonts w:hint="eastAsia" w:ascii="方正仿宋_GBK" w:eastAsia="方正仿宋_GBK"/>
                <w:sz w:val="18"/>
                <w:szCs w:val="18"/>
              </w:rPr>
              <w:t>，土地整治8.61hm</w:t>
            </w:r>
            <w:r>
              <w:rPr>
                <w:rFonts w:hint="eastAsia" w:ascii="方正仿宋_GBK" w:eastAsia="方正仿宋_GBK"/>
                <w:sz w:val="18"/>
                <w:szCs w:val="18"/>
                <w:vertAlign w:val="superscript"/>
              </w:rPr>
              <w:t>2</w:t>
            </w:r>
            <w:r>
              <w:rPr>
                <w:rFonts w:hint="eastAsia" w:ascii="方正仿宋_GBK" w:eastAsia="方正仿宋_GBK"/>
                <w:sz w:val="18"/>
                <w:szCs w:val="18"/>
              </w:rPr>
              <w:t>；</w:t>
            </w:r>
          </w:p>
        </w:tc>
        <w:tc>
          <w:tcPr>
            <w:tcW w:w="878" w:type="pct"/>
            <w:gridSpan w:val="2"/>
            <w:vAlign w:val="center"/>
          </w:tcPr>
          <w:p>
            <w:pPr>
              <w:pStyle w:val="51"/>
              <w:rPr>
                <w:rFonts w:hint="eastAsia" w:ascii="方正仿宋_GBK" w:eastAsia="方正仿宋_GBK"/>
                <w:sz w:val="18"/>
                <w:szCs w:val="18"/>
              </w:rPr>
            </w:pPr>
            <w:r>
              <w:rPr>
                <w:rFonts w:hint="eastAsia" w:ascii="方正仿宋_GBK" w:eastAsia="方正仿宋_GBK"/>
                <w:sz w:val="18"/>
                <w:szCs w:val="18"/>
              </w:rPr>
              <w:t>主体设计：灌草复绿6.86hm</w:t>
            </w:r>
            <w:r>
              <w:rPr>
                <w:rFonts w:hint="eastAsia" w:ascii="方正仿宋_GBK" w:eastAsia="方正仿宋_GBK"/>
                <w:sz w:val="18"/>
                <w:szCs w:val="18"/>
                <w:vertAlign w:val="superscript"/>
              </w:rPr>
              <w:t>2</w:t>
            </w:r>
            <w:r>
              <w:rPr>
                <w:rFonts w:hint="eastAsia" w:ascii="方正仿宋_GBK" w:eastAsia="方正仿宋_GBK"/>
                <w:sz w:val="18"/>
                <w:szCs w:val="18"/>
              </w:rPr>
              <w:t>，攀爬植物复绿1200m，撒播草籽1.75hm</w:t>
            </w:r>
            <w:r>
              <w:rPr>
                <w:rFonts w:hint="eastAsia" w:ascii="方正仿宋_GBK" w:eastAsia="方正仿宋_GBK"/>
                <w:sz w:val="18"/>
                <w:szCs w:val="18"/>
                <w:vertAlign w:val="superscript"/>
              </w:rPr>
              <w:t>2</w:t>
            </w:r>
            <w:r>
              <w:rPr>
                <w:rFonts w:hint="eastAsia" w:ascii="方正仿宋_GBK" w:eastAsia="方正仿宋_GBK"/>
                <w:sz w:val="18"/>
                <w:szCs w:val="18"/>
              </w:rPr>
              <w:t>；</w:t>
            </w:r>
          </w:p>
        </w:tc>
        <w:tc>
          <w:tcPr>
            <w:tcW w:w="1734" w:type="pct"/>
            <w:gridSpan w:val="3"/>
            <w:noWrap/>
            <w:vAlign w:val="center"/>
          </w:tcPr>
          <w:p>
            <w:pPr>
              <w:pStyle w:val="51"/>
              <w:rPr>
                <w:rFonts w:hint="eastAsia" w:ascii="方正仿宋_GBK" w:eastAsia="方正仿宋_GBK"/>
                <w:sz w:val="18"/>
                <w:szCs w:val="18"/>
              </w:rPr>
            </w:pPr>
            <w:r>
              <w:rPr>
                <w:rFonts w:hint="eastAsia" w:ascii="方正仿宋_GBK" w:eastAsia="方正仿宋_GBK"/>
                <w:sz w:val="18"/>
                <w:szCs w:val="18"/>
              </w:rPr>
              <w:t>方案新增：临时苫盖7000m</w:t>
            </w:r>
            <w:r>
              <w:rPr>
                <w:rFonts w:hint="eastAsia" w:ascii="方正仿宋_GBK" w:eastAsia="方正仿宋_GBK"/>
                <w:sz w:val="18"/>
                <w:szCs w:val="18"/>
                <w:vertAlign w:val="superscript"/>
              </w:rPr>
              <w:t>2</w:t>
            </w:r>
            <w:r>
              <w:rPr>
                <w:rFonts w:hint="eastAsia" w:ascii="方正仿宋_GBK" w:eastAsia="方正仿宋_GBK"/>
                <w:sz w:val="18"/>
                <w:szCs w:val="18"/>
              </w:rPr>
              <w:t>，编织土袋拦挡810m，临时排水沟810m，临时沉砂池4座；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3"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投资（万元）</w:t>
            </w:r>
          </w:p>
        </w:tc>
        <w:tc>
          <w:tcPr>
            <w:tcW w:w="1115" w:type="pct"/>
            <w:vAlign w:val="center"/>
          </w:tcPr>
          <w:p>
            <w:pPr>
              <w:pStyle w:val="51"/>
              <w:rPr>
                <w:rFonts w:hint="eastAsia" w:ascii="方正仿宋_GBK" w:eastAsia="方正仿宋_GBK"/>
                <w:sz w:val="18"/>
                <w:szCs w:val="18"/>
              </w:rPr>
            </w:pPr>
            <w:r>
              <w:rPr>
                <w:rFonts w:hint="eastAsia" w:ascii="方正仿宋_GBK" w:eastAsia="方正仿宋_GBK"/>
                <w:sz w:val="18"/>
                <w:szCs w:val="18"/>
              </w:rPr>
              <w:t>714.21（新增70.30）</w:t>
            </w:r>
          </w:p>
        </w:tc>
        <w:tc>
          <w:tcPr>
            <w:tcW w:w="878" w:type="pct"/>
            <w:gridSpan w:val="2"/>
            <w:vAlign w:val="center"/>
          </w:tcPr>
          <w:p>
            <w:pPr>
              <w:pStyle w:val="51"/>
              <w:rPr>
                <w:rFonts w:hint="eastAsia" w:ascii="方正仿宋_GBK" w:eastAsia="方正仿宋_GBK"/>
                <w:sz w:val="18"/>
                <w:szCs w:val="18"/>
              </w:rPr>
            </w:pPr>
            <w:r>
              <w:rPr>
                <w:rFonts w:hint="eastAsia" w:ascii="方正仿宋_GBK" w:eastAsia="方正仿宋_GBK"/>
                <w:sz w:val="18"/>
                <w:szCs w:val="18"/>
              </w:rPr>
              <w:t>189.59（新增1.65）</w:t>
            </w:r>
          </w:p>
        </w:tc>
        <w:tc>
          <w:tcPr>
            <w:tcW w:w="1734" w:type="pct"/>
            <w:gridSpan w:val="3"/>
            <w:noWrap/>
            <w:vAlign w:val="center"/>
          </w:tcPr>
          <w:p>
            <w:pPr>
              <w:pStyle w:val="51"/>
              <w:rPr>
                <w:rFonts w:hint="eastAsia" w:ascii="方正仿宋_GBK" w:eastAsia="方正仿宋_GBK"/>
                <w:sz w:val="18"/>
                <w:szCs w:val="18"/>
              </w:rPr>
            </w:pPr>
            <w:r>
              <w:rPr>
                <w:rFonts w:hint="eastAsia" w:ascii="方正仿宋_GBK" w:eastAsia="方正仿宋_GBK"/>
                <w:sz w:val="18"/>
                <w:szCs w:val="18"/>
              </w:rPr>
              <w:t>106.45（新增106.45）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3"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水土保持总投资（万元）</w:t>
            </w:r>
          </w:p>
        </w:tc>
        <w:tc>
          <w:tcPr>
            <w:tcW w:w="111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1089.46（新增257.61）</w:t>
            </w:r>
          </w:p>
        </w:tc>
        <w:tc>
          <w:tcPr>
            <w:tcW w:w="878" w:type="pct"/>
            <w:gridSpan w:val="2"/>
            <w:vAlign w:val="center"/>
          </w:tcPr>
          <w:p>
            <w:pPr>
              <w:pStyle w:val="51"/>
              <w:rPr>
                <w:rFonts w:hint="eastAsia" w:ascii="方正仿宋_GBK" w:eastAsia="方正仿宋_GBK"/>
                <w:sz w:val="18"/>
                <w:szCs w:val="18"/>
              </w:rPr>
            </w:pPr>
            <w:r>
              <w:rPr>
                <w:rFonts w:hint="eastAsia" w:ascii="方正仿宋_GBK" w:eastAsia="方正仿宋_GBK"/>
                <w:sz w:val="18"/>
                <w:szCs w:val="18"/>
              </w:rPr>
              <w:t>独立费用（万元）</w:t>
            </w:r>
          </w:p>
        </w:tc>
        <w:tc>
          <w:tcPr>
            <w:tcW w:w="1734" w:type="pct"/>
            <w:gridSpan w:val="3"/>
            <w:vAlign w:val="center"/>
          </w:tcPr>
          <w:p>
            <w:pPr>
              <w:pStyle w:val="51"/>
              <w:rPr>
                <w:rFonts w:hint="eastAsia" w:ascii="方正仿宋_GBK" w:eastAsia="方正仿宋_GBK"/>
                <w:sz w:val="18"/>
                <w:szCs w:val="18"/>
              </w:rPr>
            </w:pPr>
            <w:r>
              <w:rPr>
                <w:rFonts w:hint="eastAsia" w:ascii="方正仿宋_GBK" w:eastAsia="方正仿宋_GBK"/>
                <w:sz w:val="18"/>
                <w:szCs w:val="18"/>
              </w:rPr>
              <w:t>30.65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3"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基本预备费（万元）</w:t>
            </w:r>
          </w:p>
        </w:tc>
        <w:tc>
          <w:tcPr>
            <w:tcW w:w="111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13.57</w:t>
            </w:r>
          </w:p>
        </w:tc>
        <w:tc>
          <w:tcPr>
            <w:tcW w:w="481" w:type="pct"/>
            <w:vAlign w:val="center"/>
          </w:tcPr>
          <w:p>
            <w:pPr>
              <w:pStyle w:val="51"/>
              <w:rPr>
                <w:rFonts w:hint="eastAsia" w:ascii="方正仿宋_GBK" w:eastAsia="方正仿宋_GBK"/>
                <w:sz w:val="18"/>
                <w:szCs w:val="18"/>
              </w:rPr>
            </w:pPr>
            <w:r>
              <w:rPr>
                <w:rFonts w:hint="eastAsia" w:ascii="方正仿宋_GBK" w:eastAsia="方正仿宋_GBK"/>
                <w:sz w:val="18"/>
                <w:szCs w:val="18"/>
              </w:rPr>
              <w:t>监测费（万元）</w:t>
            </w:r>
          </w:p>
        </w:tc>
        <w:tc>
          <w:tcPr>
            <w:tcW w:w="397"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17.17</w:t>
            </w:r>
          </w:p>
        </w:tc>
        <w:tc>
          <w:tcPr>
            <w:tcW w:w="558" w:type="pct"/>
            <w:vAlign w:val="center"/>
          </w:tcPr>
          <w:p>
            <w:pPr>
              <w:pStyle w:val="51"/>
              <w:rPr>
                <w:rFonts w:hint="eastAsia" w:ascii="方正仿宋_GBK" w:eastAsia="方正仿宋_GBK"/>
                <w:sz w:val="18"/>
                <w:szCs w:val="18"/>
              </w:rPr>
            </w:pPr>
            <w:r>
              <w:rPr>
                <w:rFonts w:hint="eastAsia" w:ascii="方正仿宋_GBK" w:eastAsia="方正仿宋_GBK"/>
                <w:sz w:val="18"/>
                <w:szCs w:val="18"/>
              </w:rPr>
              <w:t>补偿费（万元）</w:t>
            </w:r>
          </w:p>
        </w:tc>
        <w:tc>
          <w:tcPr>
            <w:tcW w:w="1176" w:type="pct"/>
            <w:gridSpan w:val="2"/>
            <w:vAlign w:val="center"/>
          </w:tcPr>
          <w:p>
            <w:pPr>
              <w:pStyle w:val="51"/>
              <w:rPr>
                <w:rFonts w:hint="eastAsia" w:ascii="方正仿宋_GBK" w:eastAsia="方正仿宋_GBK"/>
                <w:sz w:val="18"/>
                <w:szCs w:val="18"/>
              </w:rPr>
            </w:pPr>
            <w:r>
              <w:rPr>
                <w:rFonts w:hint="eastAsia" w:ascii="方正仿宋_GBK" w:eastAsia="方正仿宋_GBK"/>
                <w:sz w:val="18"/>
                <w:szCs w:val="18"/>
              </w:rPr>
              <w:t>17.82（178168.20元）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73"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方案编制单位</w:t>
            </w:r>
          </w:p>
        </w:tc>
        <w:tc>
          <w:tcPr>
            <w:tcW w:w="111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重庆隆湖工程设计咨询有限公司</w:t>
            </w:r>
          </w:p>
        </w:tc>
        <w:tc>
          <w:tcPr>
            <w:tcW w:w="878" w:type="pct"/>
            <w:gridSpan w:val="2"/>
            <w:vAlign w:val="center"/>
          </w:tcPr>
          <w:p>
            <w:pPr>
              <w:pStyle w:val="51"/>
              <w:rPr>
                <w:rFonts w:hint="eastAsia" w:ascii="方正仿宋_GBK" w:eastAsia="方正仿宋_GBK"/>
                <w:sz w:val="18"/>
                <w:szCs w:val="18"/>
              </w:rPr>
            </w:pPr>
            <w:r>
              <w:rPr>
                <w:rFonts w:hint="eastAsia" w:ascii="方正仿宋_GBK" w:eastAsia="方正仿宋_GBK"/>
                <w:sz w:val="18"/>
                <w:szCs w:val="18"/>
              </w:rPr>
              <w:t>建设单位</w:t>
            </w:r>
          </w:p>
        </w:tc>
        <w:tc>
          <w:tcPr>
            <w:tcW w:w="1734" w:type="pct"/>
            <w:gridSpan w:val="3"/>
            <w:noWrap/>
            <w:vAlign w:val="center"/>
          </w:tcPr>
          <w:p>
            <w:pPr>
              <w:pStyle w:val="51"/>
              <w:rPr>
                <w:rFonts w:hint="eastAsia" w:ascii="方正仿宋_GBK" w:eastAsia="方正仿宋_GBK"/>
                <w:sz w:val="18"/>
                <w:szCs w:val="18"/>
              </w:rPr>
            </w:pPr>
            <w:r>
              <w:rPr>
                <w:rFonts w:hint="eastAsia" w:ascii="方正仿宋_GBK" w:eastAsia="方正仿宋_GBK"/>
                <w:sz w:val="18"/>
                <w:szCs w:val="18"/>
              </w:rPr>
              <w:t>国能重庆市石柱县新能源开发有限公司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73"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法定代表人</w:t>
            </w:r>
          </w:p>
        </w:tc>
        <w:tc>
          <w:tcPr>
            <w:tcW w:w="111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代数</w:t>
            </w:r>
          </w:p>
        </w:tc>
        <w:tc>
          <w:tcPr>
            <w:tcW w:w="878" w:type="pct"/>
            <w:gridSpan w:val="2"/>
            <w:vAlign w:val="center"/>
          </w:tcPr>
          <w:p>
            <w:pPr>
              <w:pStyle w:val="51"/>
              <w:rPr>
                <w:rFonts w:hint="eastAsia" w:ascii="方正仿宋_GBK" w:eastAsia="方正仿宋_GBK"/>
                <w:sz w:val="18"/>
                <w:szCs w:val="18"/>
              </w:rPr>
            </w:pPr>
            <w:r>
              <w:rPr>
                <w:rFonts w:hint="eastAsia" w:ascii="方正仿宋_GBK" w:eastAsia="方正仿宋_GBK"/>
                <w:sz w:val="18"/>
                <w:szCs w:val="18"/>
              </w:rPr>
              <w:t>法定代表人</w:t>
            </w:r>
          </w:p>
        </w:tc>
        <w:tc>
          <w:tcPr>
            <w:tcW w:w="1734" w:type="pct"/>
            <w:gridSpan w:val="3"/>
            <w:noWrap/>
            <w:vAlign w:val="center"/>
          </w:tcPr>
          <w:p>
            <w:pPr>
              <w:pStyle w:val="51"/>
              <w:rPr>
                <w:rFonts w:hint="eastAsia" w:ascii="方正仿宋_GBK" w:eastAsia="方正仿宋_GBK"/>
                <w:sz w:val="18"/>
                <w:szCs w:val="18"/>
                <w:highlight w:val="yellow"/>
              </w:rPr>
            </w:pPr>
            <w:r>
              <w:rPr>
                <w:rFonts w:hint="eastAsia" w:ascii="方正仿宋_GBK" w:eastAsia="方正仿宋_GBK"/>
                <w:sz w:val="18"/>
                <w:szCs w:val="18"/>
              </w:rPr>
              <w:t>徐乾尧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73"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地址</w:t>
            </w:r>
          </w:p>
        </w:tc>
        <w:tc>
          <w:tcPr>
            <w:tcW w:w="111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重庆市渝北区新南路203号</w:t>
            </w:r>
          </w:p>
        </w:tc>
        <w:tc>
          <w:tcPr>
            <w:tcW w:w="878" w:type="pct"/>
            <w:gridSpan w:val="2"/>
            <w:vAlign w:val="center"/>
          </w:tcPr>
          <w:p>
            <w:pPr>
              <w:pStyle w:val="51"/>
              <w:rPr>
                <w:rFonts w:hint="eastAsia" w:ascii="方正仿宋_GBK" w:eastAsia="方正仿宋_GBK"/>
                <w:sz w:val="18"/>
                <w:szCs w:val="18"/>
              </w:rPr>
            </w:pPr>
            <w:r>
              <w:rPr>
                <w:rFonts w:hint="eastAsia" w:ascii="方正仿宋_GBK" w:eastAsia="方正仿宋_GBK"/>
                <w:sz w:val="18"/>
                <w:szCs w:val="18"/>
              </w:rPr>
              <w:t>地址</w:t>
            </w:r>
          </w:p>
        </w:tc>
        <w:tc>
          <w:tcPr>
            <w:tcW w:w="1734" w:type="pct"/>
            <w:gridSpan w:val="3"/>
            <w:noWrap/>
            <w:vAlign w:val="center"/>
          </w:tcPr>
          <w:p>
            <w:pPr>
              <w:pStyle w:val="51"/>
              <w:rPr>
                <w:rFonts w:hint="eastAsia" w:ascii="方正仿宋_GBK" w:eastAsia="方正仿宋_GBK"/>
                <w:sz w:val="18"/>
                <w:szCs w:val="18"/>
                <w:shd w:val="clear" w:color="auto" w:fill="FFFFFF"/>
              </w:rPr>
            </w:pPr>
            <w:r>
              <w:rPr>
                <w:rStyle w:val="117"/>
                <w:rFonts w:hint="eastAsia" w:ascii="方正仿宋_GBK" w:eastAsia="方正仿宋_GBK"/>
                <w:sz w:val="18"/>
                <w:szCs w:val="18"/>
              </w:rPr>
              <w:t>重庆市石柱土家族自治县南宾街道165号第负一至九层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73"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邮编</w:t>
            </w:r>
          </w:p>
        </w:tc>
        <w:tc>
          <w:tcPr>
            <w:tcW w:w="111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401147</w:t>
            </w:r>
          </w:p>
        </w:tc>
        <w:tc>
          <w:tcPr>
            <w:tcW w:w="878" w:type="pct"/>
            <w:gridSpan w:val="2"/>
            <w:vAlign w:val="center"/>
          </w:tcPr>
          <w:p>
            <w:pPr>
              <w:pStyle w:val="51"/>
              <w:rPr>
                <w:rFonts w:hint="eastAsia" w:ascii="方正仿宋_GBK" w:eastAsia="方正仿宋_GBK"/>
                <w:sz w:val="18"/>
                <w:szCs w:val="18"/>
              </w:rPr>
            </w:pPr>
            <w:r>
              <w:rPr>
                <w:rFonts w:hint="eastAsia" w:ascii="方正仿宋_GBK" w:eastAsia="方正仿宋_GBK"/>
                <w:sz w:val="18"/>
                <w:szCs w:val="18"/>
              </w:rPr>
              <w:t>邮编</w:t>
            </w:r>
          </w:p>
        </w:tc>
        <w:tc>
          <w:tcPr>
            <w:tcW w:w="1734" w:type="pct"/>
            <w:gridSpan w:val="3"/>
            <w:noWrap/>
            <w:vAlign w:val="center"/>
          </w:tcPr>
          <w:p>
            <w:pPr>
              <w:pStyle w:val="51"/>
              <w:rPr>
                <w:rFonts w:hint="eastAsia" w:ascii="方正仿宋_GBK" w:eastAsia="方正仿宋_GBK"/>
                <w:sz w:val="18"/>
                <w:szCs w:val="18"/>
                <w:highlight w:val="yellow"/>
              </w:rPr>
            </w:pPr>
            <w:r>
              <w:rPr>
                <w:rFonts w:hint="eastAsia" w:ascii="方正仿宋_GBK" w:eastAsia="方正仿宋_GBK"/>
                <w:sz w:val="18"/>
                <w:szCs w:val="18"/>
              </w:rPr>
              <w:t>401120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73"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联系人及电话</w:t>
            </w:r>
          </w:p>
        </w:tc>
        <w:tc>
          <w:tcPr>
            <w:tcW w:w="111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贾桃涛/13527393879</w:t>
            </w:r>
          </w:p>
        </w:tc>
        <w:tc>
          <w:tcPr>
            <w:tcW w:w="878" w:type="pct"/>
            <w:gridSpan w:val="2"/>
            <w:vAlign w:val="center"/>
          </w:tcPr>
          <w:p>
            <w:pPr>
              <w:pStyle w:val="51"/>
              <w:rPr>
                <w:rFonts w:hint="eastAsia" w:ascii="方正仿宋_GBK" w:eastAsia="方正仿宋_GBK"/>
                <w:sz w:val="18"/>
                <w:szCs w:val="18"/>
              </w:rPr>
            </w:pPr>
            <w:r>
              <w:rPr>
                <w:rFonts w:hint="eastAsia" w:ascii="方正仿宋_GBK" w:eastAsia="方正仿宋_GBK"/>
                <w:sz w:val="18"/>
                <w:szCs w:val="18"/>
              </w:rPr>
              <w:t>联系人及电话</w:t>
            </w:r>
          </w:p>
        </w:tc>
        <w:tc>
          <w:tcPr>
            <w:tcW w:w="1734" w:type="pct"/>
            <w:gridSpan w:val="3"/>
            <w:vAlign w:val="center"/>
          </w:tcPr>
          <w:p>
            <w:pPr>
              <w:pStyle w:val="51"/>
              <w:rPr>
                <w:rFonts w:hint="eastAsia" w:ascii="方正仿宋_GBK" w:eastAsia="方正仿宋_GBK"/>
                <w:sz w:val="18"/>
                <w:szCs w:val="18"/>
              </w:rPr>
            </w:pPr>
            <w:r>
              <w:rPr>
                <w:rFonts w:hint="eastAsia" w:ascii="方正仿宋_GBK" w:eastAsia="方正仿宋_GBK"/>
                <w:sz w:val="18"/>
                <w:szCs w:val="18"/>
              </w:rPr>
              <w:t>孙老师/</w:t>
            </w:r>
            <w:r>
              <w:rPr>
                <w:rFonts w:hint="eastAsia" w:ascii="方正仿宋_GBK" w:eastAsia="方正仿宋_GBK"/>
              </w:rPr>
              <w:t xml:space="preserve"> </w:t>
            </w:r>
            <w:r>
              <w:rPr>
                <w:rFonts w:hint="eastAsia" w:ascii="方正仿宋_GBK" w:eastAsia="方正仿宋_GBK"/>
                <w:sz w:val="18"/>
                <w:szCs w:val="18"/>
              </w:rPr>
              <w:t>18290451466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73"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传真</w:t>
            </w:r>
          </w:p>
        </w:tc>
        <w:tc>
          <w:tcPr>
            <w:tcW w:w="111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023-68614438</w:t>
            </w:r>
          </w:p>
        </w:tc>
        <w:tc>
          <w:tcPr>
            <w:tcW w:w="878" w:type="pct"/>
            <w:gridSpan w:val="2"/>
            <w:vAlign w:val="center"/>
          </w:tcPr>
          <w:p>
            <w:pPr>
              <w:pStyle w:val="51"/>
              <w:rPr>
                <w:rFonts w:hint="eastAsia" w:ascii="方正仿宋_GBK" w:eastAsia="方正仿宋_GBK"/>
                <w:sz w:val="18"/>
                <w:szCs w:val="18"/>
              </w:rPr>
            </w:pPr>
            <w:r>
              <w:rPr>
                <w:rFonts w:hint="eastAsia" w:ascii="方正仿宋_GBK" w:eastAsia="方正仿宋_GBK"/>
                <w:sz w:val="18"/>
                <w:szCs w:val="18"/>
              </w:rPr>
              <w:t>传真</w:t>
            </w:r>
          </w:p>
        </w:tc>
        <w:tc>
          <w:tcPr>
            <w:tcW w:w="1734" w:type="pct"/>
            <w:gridSpan w:val="3"/>
            <w:vAlign w:val="center"/>
          </w:tcPr>
          <w:p>
            <w:pPr>
              <w:pStyle w:val="51"/>
              <w:rPr>
                <w:rFonts w:hint="eastAsia" w:ascii="方正仿宋_GBK" w:eastAsia="方正仿宋_GBK"/>
                <w:sz w:val="18"/>
                <w:szCs w:val="18"/>
                <w:highlight w:val="yellow"/>
              </w:rPr>
            </w:pPr>
            <w:r>
              <w:rPr>
                <w:rFonts w:hint="eastAsia" w:ascii="方正仿宋_GBK" w:eastAsia="方正仿宋_GBK"/>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73" w:type="pct"/>
            <w:gridSpan w:val="2"/>
            <w:noWrap/>
            <w:vAlign w:val="center"/>
          </w:tcPr>
          <w:p>
            <w:pPr>
              <w:pStyle w:val="51"/>
              <w:rPr>
                <w:rFonts w:hint="eastAsia" w:ascii="方正仿宋_GBK" w:eastAsia="方正仿宋_GBK"/>
                <w:sz w:val="18"/>
                <w:szCs w:val="18"/>
              </w:rPr>
            </w:pPr>
            <w:r>
              <w:rPr>
                <w:rFonts w:hint="eastAsia" w:ascii="方正仿宋_GBK" w:eastAsia="方正仿宋_GBK"/>
                <w:sz w:val="18"/>
                <w:szCs w:val="18"/>
              </w:rPr>
              <w:t>电子信箱</w:t>
            </w:r>
          </w:p>
        </w:tc>
        <w:tc>
          <w:tcPr>
            <w:tcW w:w="1115" w:type="pct"/>
            <w:noWrap/>
            <w:vAlign w:val="center"/>
          </w:tcPr>
          <w:p>
            <w:pPr>
              <w:pStyle w:val="51"/>
              <w:rPr>
                <w:rFonts w:hint="eastAsia" w:ascii="方正仿宋_GBK" w:eastAsia="方正仿宋_GBK"/>
                <w:sz w:val="18"/>
                <w:szCs w:val="18"/>
              </w:rPr>
            </w:pPr>
            <w:r>
              <w:rPr>
                <w:rFonts w:hint="eastAsia" w:ascii="方正仿宋_GBK" w:eastAsia="方正仿宋_GBK"/>
                <w:sz w:val="18"/>
                <w:szCs w:val="18"/>
              </w:rPr>
              <w:t>120900827@qq.com</w:t>
            </w:r>
          </w:p>
        </w:tc>
        <w:tc>
          <w:tcPr>
            <w:tcW w:w="878" w:type="pct"/>
            <w:gridSpan w:val="2"/>
            <w:vAlign w:val="center"/>
          </w:tcPr>
          <w:p>
            <w:pPr>
              <w:pStyle w:val="51"/>
              <w:rPr>
                <w:rFonts w:hint="eastAsia" w:ascii="方正仿宋_GBK" w:eastAsia="方正仿宋_GBK"/>
                <w:sz w:val="18"/>
                <w:szCs w:val="18"/>
              </w:rPr>
            </w:pPr>
            <w:r>
              <w:rPr>
                <w:rFonts w:hint="eastAsia" w:ascii="方正仿宋_GBK" w:eastAsia="方正仿宋_GBK"/>
                <w:sz w:val="18"/>
                <w:szCs w:val="18"/>
              </w:rPr>
              <w:t>电子信箱</w:t>
            </w:r>
          </w:p>
        </w:tc>
        <w:tc>
          <w:tcPr>
            <w:tcW w:w="1734" w:type="pct"/>
            <w:gridSpan w:val="3"/>
            <w:vAlign w:val="center"/>
          </w:tcPr>
          <w:p>
            <w:pPr>
              <w:pStyle w:val="51"/>
              <w:rPr>
                <w:rFonts w:hint="eastAsia" w:ascii="方正仿宋_GBK" w:eastAsia="方正仿宋_GBK"/>
                <w:sz w:val="18"/>
                <w:szCs w:val="18"/>
                <w:highlight w:val="yellow"/>
              </w:rPr>
            </w:pPr>
            <w:r>
              <w:rPr>
                <w:rFonts w:hint="eastAsia" w:ascii="方正仿宋_GBK" w:eastAsia="方正仿宋_GBK"/>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73" w:type="pct"/>
            <w:gridSpan w:val="2"/>
            <w:noWrap/>
            <w:vAlign w:val="center"/>
          </w:tcPr>
          <w:p>
            <w:pPr>
              <w:adjustRightInd w:val="0"/>
              <w:snapToGrid w:val="0"/>
              <w:jc w:val="center"/>
              <w:rPr>
                <w:rFonts w:hint="eastAsia" w:ascii="方正仿宋_GBK" w:eastAsia="方正仿宋_GBK"/>
                <w:color w:val="000000"/>
                <w:sz w:val="18"/>
                <w:szCs w:val="18"/>
              </w:rPr>
            </w:pPr>
            <w:r>
              <w:rPr>
                <w:rFonts w:hint="eastAsia" w:ascii="方正仿宋_GBK" w:eastAsia="方正仿宋_GBK"/>
                <w:color w:val="000000"/>
                <w:sz w:val="18"/>
                <w:szCs w:val="18"/>
              </w:rPr>
              <w:t>统一社会信用代码</w:t>
            </w:r>
          </w:p>
        </w:tc>
        <w:tc>
          <w:tcPr>
            <w:tcW w:w="1115" w:type="pct"/>
            <w:noWrap/>
            <w:vAlign w:val="center"/>
          </w:tcPr>
          <w:p>
            <w:pPr>
              <w:adjustRightInd w:val="0"/>
              <w:snapToGrid w:val="0"/>
              <w:jc w:val="center"/>
              <w:rPr>
                <w:rFonts w:hint="eastAsia" w:ascii="方正仿宋_GBK" w:eastAsia="方正仿宋_GBK"/>
                <w:color w:val="000000"/>
                <w:sz w:val="18"/>
                <w:szCs w:val="18"/>
              </w:rPr>
            </w:pPr>
            <w:r>
              <w:rPr>
                <w:rFonts w:hint="eastAsia" w:ascii="方正仿宋_GBK" w:eastAsia="方正仿宋_GBK"/>
                <w:color w:val="000000"/>
                <w:sz w:val="18"/>
                <w:szCs w:val="18"/>
                <w:shd w:val="clear" w:color="auto" w:fill="FFFFFF"/>
              </w:rPr>
              <w:t>91500112305000327G</w:t>
            </w:r>
          </w:p>
        </w:tc>
        <w:tc>
          <w:tcPr>
            <w:tcW w:w="878" w:type="pct"/>
            <w:gridSpan w:val="2"/>
            <w:vAlign w:val="center"/>
          </w:tcPr>
          <w:p>
            <w:pPr>
              <w:adjustRightInd w:val="0"/>
              <w:snapToGrid w:val="0"/>
              <w:jc w:val="center"/>
              <w:rPr>
                <w:rFonts w:hint="eastAsia" w:ascii="方正仿宋_GBK" w:eastAsia="方正仿宋_GBK"/>
                <w:color w:val="000000"/>
                <w:sz w:val="18"/>
                <w:szCs w:val="18"/>
              </w:rPr>
            </w:pPr>
            <w:r>
              <w:rPr>
                <w:rFonts w:hint="eastAsia" w:ascii="方正仿宋_GBK" w:eastAsia="方正仿宋_GBK"/>
                <w:color w:val="000000"/>
                <w:sz w:val="18"/>
                <w:szCs w:val="18"/>
              </w:rPr>
              <w:t>统一社会信用代码</w:t>
            </w:r>
          </w:p>
        </w:tc>
        <w:tc>
          <w:tcPr>
            <w:tcW w:w="1734" w:type="pct"/>
            <w:gridSpan w:val="3"/>
            <w:vAlign w:val="center"/>
          </w:tcPr>
          <w:p>
            <w:pPr>
              <w:adjustRightInd w:val="0"/>
              <w:snapToGrid w:val="0"/>
              <w:jc w:val="center"/>
              <w:rPr>
                <w:rFonts w:hint="eastAsia" w:ascii="方正仿宋_GBK" w:eastAsia="方正仿宋_GBK"/>
                <w:color w:val="000000"/>
                <w:sz w:val="18"/>
                <w:szCs w:val="18"/>
              </w:rPr>
            </w:pPr>
            <w:r>
              <w:rPr>
                <w:rFonts w:hint="eastAsia" w:ascii="方正仿宋_GBK" w:eastAsia="方正仿宋_GBK"/>
                <w:color w:val="000000"/>
                <w:sz w:val="18"/>
                <w:szCs w:val="18"/>
                <w:shd w:val="clear" w:color="auto" w:fill="FFFFFF"/>
              </w:rPr>
              <w:t>91500240MACBPJD18Y</w:t>
            </w:r>
          </w:p>
        </w:tc>
      </w:tr>
    </w:tbl>
    <w:p>
      <w:pPr>
        <w:rPr>
          <w:rFonts w:ascii="方正仿宋_GBK" w:eastAsia="方正仿宋_GBK"/>
          <w:b/>
          <w:sz w:val="28"/>
          <w:szCs w:val="28"/>
        </w:rPr>
      </w:pPr>
    </w:p>
    <w:p>
      <w:pPr>
        <w:pStyle w:val="108"/>
        <w:spacing w:line="240" w:lineRule="exact"/>
        <w:jc w:val="both"/>
        <w:rPr>
          <w:rFonts w:ascii="方正仿宋_GBK" w:eastAsia="方正仿宋_GBK"/>
          <w:kern w:val="2"/>
          <w:sz w:val="28"/>
          <w:szCs w:val="28"/>
        </w:rPr>
      </w:pPr>
    </w:p>
    <w:p>
      <w:pPr>
        <w:pStyle w:val="108"/>
        <w:spacing w:line="240" w:lineRule="exact"/>
        <w:ind w:firstLine="140" w:firstLineChars="50"/>
        <w:jc w:val="both"/>
        <w:rPr>
          <w:rFonts w:ascii="方正仿宋_GBK" w:eastAsia="方正仿宋_GBK"/>
          <w:kern w:val="2"/>
          <w:sz w:val="28"/>
          <w:szCs w:val="28"/>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jc w:val="both"/>
        <w:rPr>
          <w:rFonts w:ascii="方正仿宋_GBK" w:eastAsia="方正仿宋_GBK"/>
          <w:b w:val="0"/>
          <w:kern w:val="2"/>
          <w:sz w:val="28"/>
          <w:szCs w:val="28"/>
        </w:rPr>
      </w:pPr>
      <w:r>
        <w:rPr>
          <w:rFonts w:hint="eastAsia" w:ascii="方正仿宋_GBK" w:eastAsia="方正仿宋_GBK"/>
          <w:b w:val="0"/>
          <w:kern w:val="2"/>
          <w:sz w:val="28"/>
          <w:szCs w:val="28"/>
        </w:rPr>
        <w:t>附件2</w:t>
      </w: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r>
        <w:rPr>
          <w:rFonts w:ascii="方正仿宋_GBK" w:eastAsia="方正仿宋_GBK"/>
          <w:kern w:val="2"/>
        </w:rPr>
        <w:drawing>
          <wp:anchor distT="0" distB="0" distL="114300" distR="114300" simplePos="0" relativeHeight="251660288" behindDoc="0" locked="0" layoutInCell="1" allowOverlap="1">
            <wp:simplePos x="0" y="0"/>
            <wp:positionH relativeFrom="column">
              <wp:posOffset>280035</wp:posOffset>
            </wp:positionH>
            <wp:positionV relativeFrom="paragraph">
              <wp:posOffset>26670</wp:posOffset>
            </wp:positionV>
            <wp:extent cx="5269230" cy="7134225"/>
            <wp:effectExtent l="19050" t="0" r="7871" b="0"/>
            <wp:wrapNone/>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noChangeArrowheads="true"/>
                    </pic:cNvPicPr>
                  </pic:nvPicPr>
                  <pic:blipFill>
                    <a:blip r:embed="rId5"/>
                    <a:srcRect/>
                    <a:stretch>
                      <a:fillRect/>
                    </a:stretch>
                  </pic:blipFill>
                  <pic:spPr>
                    <a:xfrm>
                      <a:off x="0" y="0"/>
                      <a:ext cx="5268979" cy="7134446"/>
                    </a:xfrm>
                    <a:prstGeom prst="rect">
                      <a:avLst/>
                    </a:prstGeom>
                    <a:noFill/>
                    <a:ln w="9525">
                      <a:noFill/>
                      <a:miter lim="800000"/>
                      <a:headEnd/>
                      <a:tailEnd/>
                    </a:ln>
                  </pic:spPr>
                </pic:pic>
              </a:graphicData>
            </a:graphic>
          </wp:anchor>
        </w:drawing>
      </w: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r>
        <w:rPr>
          <w:rFonts w:ascii="方正仿宋_GBK" w:eastAsia="方正仿宋_GBK"/>
          <w:kern w:val="2"/>
        </w:rPr>
        <w:drawing>
          <wp:anchor distT="0" distB="0" distL="114300" distR="114300" simplePos="0" relativeHeight="251661312" behindDoc="0" locked="0" layoutInCell="1" allowOverlap="1">
            <wp:simplePos x="0" y="0"/>
            <wp:positionH relativeFrom="column">
              <wp:posOffset>152400</wp:posOffset>
            </wp:positionH>
            <wp:positionV relativeFrom="paragraph">
              <wp:posOffset>51435</wp:posOffset>
            </wp:positionV>
            <wp:extent cx="5605145" cy="7623175"/>
            <wp:effectExtent l="19050" t="0" r="0" b="0"/>
            <wp:wrapNone/>
            <wp:docPr id="3"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true" noChangeArrowheads="true"/>
                    </pic:cNvPicPr>
                  </pic:nvPicPr>
                  <pic:blipFill>
                    <a:blip r:embed="rId6"/>
                    <a:srcRect/>
                    <a:stretch>
                      <a:fillRect/>
                    </a:stretch>
                  </pic:blipFill>
                  <pic:spPr>
                    <a:xfrm>
                      <a:off x="0" y="0"/>
                      <a:ext cx="5605145" cy="7623175"/>
                    </a:xfrm>
                    <a:prstGeom prst="rect">
                      <a:avLst/>
                    </a:prstGeom>
                    <a:noFill/>
                    <a:ln w="9525">
                      <a:noFill/>
                      <a:miter lim="800000"/>
                      <a:headEnd/>
                      <a:tailEnd/>
                    </a:ln>
                  </pic:spPr>
                </pic:pic>
              </a:graphicData>
            </a:graphic>
          </wp:anchor>
        </w:drawing>
      </w: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r>
        <w:rPr>
          <w:rFonts w:ascii="方正仿宋_GBK" w:eastAsia="方正仿宋_GBK"/>
          <w:kern w:val="2"/>
        </w:rPr>
        <w:drawing>
          <wp:anchor distT="0" distB="0" distL="114300" distR="114300" simplePos="0" relativeHeight="251662336" behindDoc="0" locked="0" layoutInCell="1" allowOverlap="1">
            <wp:simplePos x="0" y="0"/>
            <wp:positionH relativeFrom="column">
              <wp:posOffset>3175</wp:posOffset>
            </wp:positionH>
            <wp:positionV relativeFrom="paragraph">
              <wp:posOffset>-31750</wp:posOffset>
            </wp:positionV>
            <wp:extent cx="5605780" cy="7633970"/>
            <wp:effectExtent l="19050" t="0" r="0" b="0"/>
            <wp:wrapNone/>
            <wp:docPr id="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true" noChangeArrowheads="true"/>
                    </pic:cNvPicPr>
                  </pic:nvPicPr>
                  <pic:blipFill>
                    <a:blip r:embed="rId7"/>
                    <a:srcRect/>
                    <a:stretch>
                      <a:fillRect/>
                    </a:stretch>
                  </pic:blipFill>
                  <pic:spPr>
                    <a:xfrm>
                      <a:off x="0" y="0"/>
                      <a:ext cx="5605574" cy="7634177"/>
                    </a:xfrm>
                    <a:prstGeom prst="rect">
                      <a:avLst/>
                    </a:prstGeom>
                    <a:noFill/>
                    <a:ln w="9525">
                      <a:noFill/>
                      <a:miter lim="800000"/>
                      <a:headEnd/>
                      <a:tailEnd/>
                    </a:ln>
                  </pic:spPr>
                </pic:pic>
              </a:graphicData>
            </a:graphic>
          </wp:anchor>
        </w:drawing>
      </w: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r>
        <w:rPr>
          <w:rFonts w:ascii="方正仿宋_GBK" w:eastAsia="方正仿宋_GBK"/>
          <w:kern w:val="2"/>
        </w:rPr>
        <w:drawing>
          <wp:anchor distT="0" distB="0" distL="114300" distR="114300" simplePos="0" relativeHeight="251663360" behindDoc="0" locked="0" layoutInCell="1" allowOverlap="1">
            <wp:simplePos x="0" y="0"/>
            <wp:positionH relativeFrom="column">
              <wp:posOffset>258445</wp:posOffset>
            </wp:positionH>
            <wp:positionV relativeFrom="paragraph">
              <wp:posOffset>-133350</wp:posOffset>
            </wp:positionV>
            <wp:extent cx="5605145" cy="7740015"/>
            <wp:effectExtent l="19050" t="0" r="0" b="0"/>
            <wp:wrapNone/>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noChangeArrowheads="true"/>
                    </pic:cNvPicPr>
                  </pic:nvPicPr>
                  <pic:blipFill>
                    <a:blip r:embed="rId8"/>
                    <a:srcRect/>
                    <a:stretch>
                      <a:fillRect/>
                    </a:stretch>
                  </pic:blipFill>
                  <pic:spPr>
                    <a:xfrm>
                      <a:off x="0" y="0"/>
                      <a:ext cx="5605145" cy="7740015"/>
                    </a:xfrm>
                    <a:prstGeom prst="rect">
                      <a:avLst/>
                    </a:prstGeom>
                    <a:noFill/>
                    <a:ln w="9525">
                      <a:noFill/>
                      <a:miter lim="800000"/>
                      <a:headEnd/>
                      <a:tailEnd/>
                    </a:ln>
                  </pic:spPr>
                </pic:pic>
              </a:graphicData>
            </a:graphic>
          </wp:anchor>
        </w:drawing>
      </w: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r>
        <w:rPr>
          <w:rFonts w:hint="eastAsia" w:ascii="方正仿宋_GBK" w:eastAsia="方正仿宋_GBK"/>
          <w:kern w:val="2"/>
        </w:rPr>
        <w:drawing>
          <wp:anchor distT="0" distB="0" distL="114300" distR="114300" simplePos="0" relativeHeight="251664384" behindDoc="0" locked="0" layoutInCell="1" allowOverlap="1">
            <wp:simplePos x="0" y="0"/>
            <wp:positionH relativeFrom="column">
              <wp:posOffset>88265</wp:posOffset>
            </wp:positionH>
            <wp:positionV relativeFrom="paragraph">
              <wp:posOffset>-207645</wp:posOffset>
            </wp:positionV>
            <wp:extent cx="5608955" cy="7538085"/>
            <wp:effectExtent l="19050" t="0" r="0" b="0"/>
            <wp:wrapNone/>
            <wp:docPr id="9"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true" noChangeArrowheads="true"/>
                    </pic:cNvPicPr>
                  </pic:nvPicPr>
                  <pic:blipFill>
                    <a:blip r:embed="rId9"/>
                    <a:srcRect/>
                    <a:stretch>
                      <a:fillRect/>
                    </a:stretch>
                  </pic:blipFill>
                  <pic:spPr>
                    <a:xfrm>
                      <a:off x="0" y="0"/>
                      <a:ext cx="5608955" cy="7538085"/>
                    </a:xfrm>
                    <a:prstGeom prst="rect">
                      <a:avLst/>
                    </a:prstGeom>
                    <a:noFill/>
                    <a:ln w="9525">
                      <a:noFill/>
                      <a:miter lim="800000"/>
                      <a:headEnd/>
                      <a:tailEnd/>
                    </a:ln>
                  </pic:spPr>
                </pic:pic>
              </a:graphicData>
            </a:graphic>
          </wp:anchor>
        </w:drawing>
      </w: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hint="eastAsia"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ind w:firstLine="120" w:firstLineChars="50"/>
        <w:jc w:val="both"/>
        <w:rPr>
          <w:rFonts w:ascii="方正仿宋_GBK" w:eastAsia="方正仿宋_GBK"/>
          <w:kern w:val="2"/>
        </w:rPr>
      </w:pPr>
    </w:p>
    <w:p>
      <w:pPr>
        <w:pStyle w:val="108"/>
        <w:spacing w:line="240" w:lineRule="exact"/>
        <w:jc w:val="both"/>
        <w:rPr>
          <w:rFonts w:ascii="方正仿宋_GBK" w:eastAsia="方正仿宋_GBK"/>
          <w:kern w:val="2"/>
        </w:rPr>
      </w:pPr>
    </w:p>
    <w:sectPr>
      <w:footerReference r:id="rId3" w:type="default"/>
      <w:pgSz w:w="11906" w:h="16838"/>
      <w:pgMar w:top="2154" w:right="1417" w:bottom="204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Cambria">
    <w:altName w:val="Noto Sans Syriac Eastern"/>
    <w:panose1 w:val="02040503050406030204"/>
    <w:charset w:val="00"/>
    <w:family w:val="roman"/>
    <w:pitch w:val="default"/>
    <w:sig w:usb0="00000000" w:usb1="00000000" w:usb2="00000000" w:usb3="00000000" w:csb0="2000019F" w:csb1="00000000"/>
  </w:font>
  <w:font w:name="仿宋_GB2312">
    <w:altName w:val="方正仿宋_GBK"/>
    <w:panose1 w:val="02010609030101010101"/>
    <w:charset w:val="86"/>
    <w:family w:val="modern"/>
    <w:pitch w:val="default"/>
    <w:sig w:usb0="00000000" w:usb1="00000000" w:usb2="00000010" w:usb3="00000000" w:csb0="00040000" w:csb1="00000000"/>
  </w:font>
  <w:font w:name="华文仿宋">
    <w:altName w:val="汉仪仿宋简"/>
    <w:panose1 w:val="00000000000000000000"/>
    <w:charset w:val="86"/>
    <w:family w:val="auto"/>
    <w:pitch w:val="default"/>
    <w:sig w:usb0="00000000" w:usb1="00000000" w:usb2="00000000" w:usb3="00000000" w:csb0="0004009F" w:csb1="DFD70000"/>
  </w:font>
  <w:font w:name="楷体_GB2312">
    <w:altName w:val="方正楷体_GBK"/>
    <w:panose1 w:val="02010609030101010101"/>
    <w:charset w:val="86"/>
    <w:family w:val="modern"/>
    <w:pitch w:val="default"/>
    <w:sig w:usb0="00000000" w:usb1="00000000" w:usb2="00000010" w:usb3="00000000" w:csb0="00040000" w:csb1="00000000"/>
  </w:font>
  <w:font w:name="方正仿宋_GBK">
    <w:panose1 w:val="02000000000000000000"/>
    <w:charset w:val="86"/>
    <w:family w:val="script"/>
    <w:pitch w:val="default"/>
    <w:sig w:usb0="00000001" w:usb1="08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方正黑体_GBK">
    <w:panose1 w:val="02000000000000000000"/>
    <w:charset w:val="86"/>
    <w:family w:val="script"/>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 w:name="汉仪仿宋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rPr>
        <w:rStyle w:val="21"/>
        <w:rFonts w:ascii="宋体"/>
        <w:sz w:val="28"/>
        <w:szCs w:val="28"/>
      </w:rPr>
    </w:pPr>
    <w:r>
      <w:rPr>
        <w:rStyle w:val="21"/>
        <w:rFonts w:ascii="宋体" w:hAnsi="宋体"/>
        <w:sz w:val="28"/>
        <w:szCs w:val="28"/>
      </w:rPr>
      <w:t xml:space="preserve">- </w:t>
    </w:r>
    <w:r>
      <w:rPr>
        <w:rStyle w:val="21"/>
        <w:rFonts w:ascii="宋体" w:hAnsi="宋体"/>
        <w:sz w:val="28"/>
        <w:szCs w:val="28"/>
      </w:rPr>
      <w:fldChar w:fldCharType="begin"/>
    </w:r>
    <w:r>
      <w:rPr>
        <w:rStyle w:val="21"/>
        <w:rFonts w:ascii="宋体" w:hAnsi="宋体"/>
        <w:sz w:val="28"/>
        <w:szCs w:val="28"/>
      </w:rPr>
      <w:instrText xml:space="preserve">PAGE  </w:instrText>
    </w:r>
    <w:r>
      <w:rPr>
        <w:rStyle w:val="21"/>
        <w:rFonts w:ascii="宋体" w:hAnsi="宋体"/>
        <w:sz w:val="28"/>
        <w:szCs w:val="28"/>
      </w:rPr>
      <w:fldChar w:fldCharType="separate"/>
    </w:r>
    <w:r>
      <w:rPr>
        <w:rStyle w:val="21"/>
        <w:rFonts w:ascii="宋体" w:hAnsi="宋体"/>
        <w:sz w:val="28"/>
        <w:szCs w:val="28"/>
      </w:rPr>
      <w:t>11</w:t>
    </w:r>
    <w:r>
      <w:rPr>
        <w:rStyle w:val="21"/>
        <w:rFonts w:ascii="宋体" w:hAnsi="宋体"/>
        <w:sz w:val="28"/>
        <w:szCs w:val="28"/>
      </w:rPr>
      <w:fldChar w:fldCharType="end"/>
    </w:r>
    <w:r>
      <w:rPr>
        <w:rStyle w:val="21"/>
        <w:rFonts w:ascii="宋体" w:hAnsi="宋体"/>
        <w:sz w:val="28"/>
        <w:szCs w:val="28"/>
      </w:rPr>
      <w:t xml:space="preserve"> -</w:t>
    </w:r>
  </w:p>
  <w:p>
    <w:pPr>
      <w:pStyle w:val="12"/>
      <w:ind w:right="360" w:firstLine="360"/>
      <w:jc w:val="center"/>
    </w:pPr>
  </w:p>
  <w:p>
    <w:pPr>
      <w:pStyle w:val="12"/>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true"/>
  <w:bordersDoNotSurroundFooter w:val="true"/>
  <w:documentProtection w:edit="forms" w:formatting="1" w:enforcement="0"/>
  <w:defaultTabStop w:val="420"/>
  <w:drawingGridHorizontalSpacing w:val="105"/>
  <w:drawingGridVerticalSpacing w:val="156"/>
  <w:displayHorizontalDrawingGridEvery w:val="2"/>
  <w:noPunctuationKerning w:val="true"/>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CA7"/>
    <w:rsid w:val="00001F90"/>
    <w:rsid w:val="0000571C"/>
    <w:rsid w:val="00006CCA"/>
    <w:rsid w:val="00010A7E"/>
    <w:rsid w:val="000158C6"/>
    <w:rsid w:val="00017633"/>
    <w:rsid w:val="0002035C"/>
    <w:rsid w:val="000236F9"/>
    <w:rsid w:val="00023F38"/>
    <w:rsid w:val="000272A2"/>
    <w:rsid w:val="00031257"/>
    <w:rsid w:val="00031C92"/>
    <w:rsid w:val="00032B06"/>
    <w:rsid w:val="0004210D"/>
    <w:rsid w:val="000441CA"/>
    <w:rsid w:val="00045239"/>
    <w:rsid w:val="000467D0"/>
    <w:rsid w:val="0005055E"/>
    <w:rsid w:val="00053A0A"/>
    <w:rsid w:val="00054248"/>
    <w:rsid w:val="00054685"/>
    <w:rsid w:val="000563AB"/>
    <w:rsid w:val="000573F2"/>
    <w:rsid w:val="00057C52"/>
    <w:rsid w:val="0006022C"/>
    <w:rsid w:val="000613AD"/>
    <w:rsid w:val="00061AE2"/>
    <w:rsid w:val="00062215"/>
    <w:rsid w:val="00062AF6"/>
    <w:rsid w:val="00062EF9"/>
    <w:rsid w:val="00063781"/>
    <w:rsid w:val="000644F3"/>
    <w:rsid w:val="00065DCF"/>
    <w:rsid w:val="000668DA"/>
    <w:rsid w:val="00066F3F"/>
    <w:rsid w:val="000711B7"/>
    <w:rsid w:val="000713EF"/>
    <w:rsid w:val="000727BF"/>
    <w:rsid w:val="000729F6"/>
    <w:rsid w:val="00072B98"/>
    <w:rsid w:val="0007561D"/>
    <w:rsid w:val="00080C9B"/>
    <w:rsid w:val="000828AC"/>
    <w:rsid w:val="000834DB"/>
    <w:rsid w:val="0008407B"/>
    <w:rsid w:val="00085853"/>
    <w:rsid w:val="00085E17"/>
    <w:rsid w:val="000866AF"/>
    <w:rsid w:val="00093451"/>
    <w:rsid w:val="00093FE0"/>
    <w:rsid w:val="000979F0"/>
    <w:rsid w:val="000A1259"/>
    <w:rsid w:val="000A1619"/>
    <w:rsid w:val="000A2317"/>
    <w:rsid w:val="000A255C"/>
    <w:rsid w:val="000A3777"/>
    <w:rsid w:val="000A3DA2"/>
    <w:rsid w:val="000A4FE7"/>
    <w:rsid w:val="000A53F3"/>
    <w:rsid w:val="000A58C2"/>
    <w:rsid w:val="000A5F2B"/>
    <w:rsid w:val="000B04BE"/>
    <w:rsid w:val="000B1633"/>
    <w:rsid w:val="000B4605"/>
    <w:rsid w:val="000B5BA3"/>
    <w:rsid w:val="000B6817"/>
    <w:rsid w:val="000C090E"/>
    <w:rsid w:val="000C1CB4"/>
    <w:rsid w:val="000C2259"/>
    <w:rsid w:val="000C2449"/>
    <w:rsid w:val="000C2E05"/>
    <w:rsid w:val="000C57FD"/>
    <w:rsid w:val="000C6DF9"/>
    <w:rsid w:val="000C7BBB"/>
    <w:rsid w:val="000D03F6"/>
    <w:rsid w:val="000D278C"/>
    <w:rsid w:val="000D353F"/>
    <w:rsid w:val="000D61C0"/>
    <w:rsid w:val="000D664A"/>
    <w:rsid w:val="000D74E1"/>
    <w:rsid w:val="000D7E2D"/>
    <w:rsid w:val="000E0724"/>
    <w:rsid w:val="000E16EB"/>
    <w:rsid w:val="000E1F67"/>
    <w:rsid w:val="000E2DEC"/>
    <w:rsid w:val="000E4FBA"/>
    <w:rsid w:val="000E55F7"/>
    <w:rsid w:val="000E5A9B"/>
    <w:rsid w:val="000E6E2F"/>
    <w:rsid w:val="000E7853"/>
    <w:rsid w:val="000F0A1E"/>
    <w:rsid w:val="000F3254"/>
    <w:rsid w:val="000F3B0A"/>
    <w:rsid w:val="00101B35"/>
    <w:rsid w:val="00102BEE"/>
    <w:rsid w:val="001045D9"/>
    <w:rsid w:val="00104DDF"/>
    <w:rsid w:val="00105A92"/>
    <w:rsid w:val="00105D8F"/>
    <w:rsid w:val="0010698E"/>
    <w:rsid w:val="00107C74"/>
    <w:rsid w:val="00107CA9"/>
    <w:rsid w:val="00113EFF"/>
    <w:rsid w:val="00114F38"/>
    <w:rsid w:val="00115A6B"/>
    <w:rsid w:val="00116098"/>
    <w:rsid w:val="001160C2"/>
    <w:rsid w:val="00116383"/>
    <w:rsid w:val="00116B0C"/>
    <w:rsid w:val="00116EAE"/>
    <w:rsid w:val="001222C5"/>
    <w:rsid w:val="00122A38"/>
    <w:rsid w:val="00126DF9"/>
    <w:rsid w:val="00126F0A"/>
    <w:rsid w:val="0012726A"/>
    <w:rsid w:val="00130F59"/>
    <w:rsid w:val="00131CB7"/>
    <w:rsid w:val="00131F69"/>
    <w:rsid w:val="0013269C"/>
    <w:rsid w:val="001329D5"/>
    <w:rsid w:val="001355CB"/>
    <w:rsid w:val="0013612A"/>
    <w:rsid w:val="00140261"/>
    <w:rsid w:val="00141F18"/>
    <w:rsid w:val="00142080"/>
    <w:rsid w:val="001438EC"/>
    <w:rsid w:val="00145BAE"/>
    <w:rsid w:val="00145C70"/>
    <w:rsid w:val="0015204E"/>
    <w:rsid w:val="0015410F"/>
    <w:rsid w:val="00155580"/>
    <w:rsid w:val="00160A0B"/>
    <w:rsid w:val="00161202"/>
    <w:rsid w:val="0016167A"/>
    <w:rsid w:val="00161D04"/>
    <w:rsid w:val="00162D69"/>
    <w:rsid w:val="00162D7F"/>
    <w:rsid w:val="00164967"/>
    <w:rsid w:val="0016511B"/>
    <w:rsid w:val="0016646B"/>
    <w:rsid w:val="00167278"/>
    <w:rsid w:val="0017091C"/>
    <w:rsid w:val="00170D9F"/>
    <w:rsid w:val="00171523"/>
    <w:rsid w:val="00171890"/>
    <w:rsid w:val="00171B8D"/>
    <w:rsid w:val="001739B8"/>
    <w:rsid w:val="00174769"/>
    <w:rsid w:val="00184C6F"/>
    <w:rsid w:val="0018504B"/>
    <w:rsid w:val="00185D69"/>
    <w:rsid w:val="00185DD4"/>
    <w:rsid w:val="00190743"/>
    <w:rsid w:val="00192525"/>
    <w:rsid w:val="00192F97"/>
    <w:rsid w:val="001931E9"/>
    <w:rsid w:val="0019363A"/>
    <w:rsid w:val="00194B45"/>
    <w:rsid w:val="00195364"/>
    <w:rsid w:val="001960A8"/>
    <w:rsid w:val="00197794"/>
    <w:rsid w:val="00197BAD"/>
    <w:rsid w:val="001A2F26"/>
    <w:rsid w:val="001A4D2A"/>
    <w:rsid w:val="001A6ACD"/>
    <w:rsid w:val="001B024C"/>
    <w:rsid w:val="001B04A1"/>
    <w:rsid w:val="001B1FA0"/>
    <w:rsid w:val="001B35FF"/>
    <w:rsid w:val="001B4789"/>
    <w:rsid w:val="001B6327"/>
    <w:rsid w:val="001B7587"/>
    <w:rsid w:val="001C2977"/>
    <w:rsid w:val="001C625E"/>
    <w:rsid w:val="001C6D40"/>
    <w:rsid w:val="001C6EB1"/>
    <w:rsid w:val="001D08C1"/>
    <w:rsid w:val="001D0C08"/>
    <w:rsid w:val="001D1263"/>
    <w:rsid w:val="001D2965"/>
    <w:rsid w:val="001D2D30"/>
    <w:rsid w:val="001D3C2F"/>
    <w:rsid w:val="001D5F9B"/>
    <w:rsid w:val="001E1058"/>
    <w:rsid w:val="001E19BE"/>
    <w:rsid w:val="001E1F11"/>
    <w:rsid w:val="001E26B9"/>
    <w:rsid w:val="001E3012"/>
    <w:rsid w:val="001E3372"/>
    <w:rsid w:val="001E458F"/>
    <w:rsid w:val="001E66BD"/>
    <w:rsid w:val="001E693F"/>
    <w:rsid w:val="001F0C84"/>
    <w:rsid w:val="001F1447"/>
    <w:rsid w:val="001F5CDE"/>
    <w:rsid w:val="001F6147"/>
    <w:rsid w:val="001F6306"/>
    <w:rsid w:val="001F79D0"/>
    <w:rsid w:val="002039E6"/>
    <w:rsid w:val="00203CD8"/>
    <w:rsid w:val="00204EAF"/>
    <w:rsid w:val="00206135"/>
    <w:rsid w:val="002070D7"/>
    <w:rsid w:val="00211DE4"/>
    <w:rsid w:val="002140DD"/>
    <w:rsid w:val="0021687B"/>
    <w:rsid w:val="00216FFF"/>
    <w:rsid w:val="002178D7"/>
    <w:rsid w:val="002213AB"/>
    <w:rsid w:val="00221CC2"/>
    <w:rsid w:val="00222DC8"/>
    <w:rsid w:val="00225602"/>
    <w:rsid w:val="002257E3"/>
    <w:rsid w:val="0022610C"/>
    <w:rsid w:val="00227232"/>
    <w:rsid w:val="00227280"/>
    <w:rsid w:val="00227BCB"/>
    <w:rsid w:val="00227D71"/>
    <w:rsid w:val="00227FEF"/>
    <w:rsid w:val="0023318F"/>
    <w:rsid w:val="00234CC8"/>
    <w:rsid w:val="00235DA8"/>
    <w:rsid w:val="00236A76"/>
    <w:rsid w:val="00240148"/>
    <w:rsid w:val="00242580"/>
    <w:rsid w:val="00242EFD"/>
    <w:rsid w:val="002435D4"/>
    <w:rsid w:val="002449E3"/>
    <w:rsid w:val="00245122"/>
    <w:rsid w:val="002456DE"/>
    <w:rsid w:val="00246043"/>
    <w:rsid w:val="0024729C"/>
    <w:rsid w:val="00252551"/>
    <w:rsid w:val="00253EB8"/>
    <w:rsid w:val="00254685"/>
    <w:rsid w:val="002546F0"/>
    <w:rsid w:val="00255362"/>
    <w:rsid w:val="00261485"/>
    <w:rsid w:val="00264973"/>
    <w:rsid w:val="002649C5"/>
    <w:rsid w:val="00265739"/>
    <w:rsid w:val="0026618F"/>
    <w:rsid w:val="00266E78"/>
    <w:rsid w:val="002675EC"/>
    <w:rsid w:val="00270702"/>
    <w:rsid w:val="00271657"/>
    <w:rsid w:val="00272436"/>
    <w:rsid w:val="00272B44"/>
    <w:rsid w:val="002732A4"/>
    <w:rsid w:val="00273AE3"/>
    <w:rsid w:val="00276526"/>
    <w:rsid w:val="002807D8"/>
    <w:rsid w:val="00282DF6"/>
    <w:rsid w:val="002835F9"/>
    <w:rsid w:val="00284362"/>
    <w:rsid w:val="00285CF2"/>
    <w:rsid w:val="00286265"/>
    <w:rsid w:val="002869F2"/>
    <w:rsid w:val="0028721A"/>
    <w:rsid w:val="0029039B"/>
    <w:rsid w:val="00290825"/>
    <w:rsid w:val="00293DE0"/>
    <w:rsid w:val="00295F76"/>
    <w:rsid w:val="00296514"/>
    <w:rsid w:val="00296FBA"/>
    <w:rsid w:val="00297278"/>
    <w:rsid w:val="002A18FC"/>
    <w:rsid w:val="002A1BC9"/>
    <w:rsid w:val="002A24A2"/>
    <w:rsid w:val="002A2F07"/>
    <w:rsid w:val="002A4941"/>
    <w:rsid w:val="002A4AC6"/>
    <w:rsid w:val="002A5343"/>
    <w:rsid w:val="002B0091"/>
    <w:rsid w:val="002B0550"/>
    <w:rsid w:val="002B06FC"/>
    <w:rsid w:val="002B0EA4"/>
    <w:rsid w:val="002B2144"/>
    <w:rsid w:val="002B2409"/>
    <w:rsid w:val="002B3F52"/>
    <w:rsid w:val="002B44E8"/>
    <w:rsid w:val="002B4891"/>
    <w:rsid w:val="002B6127"/>
    <w:rsid w:val="002B6FE9"/>
    <w:rsid w:val="002B77ED"/>
    <w:rsid w:val="002B79CD"/>
    <w:rsid w:val="002C0CD1"/>
    <w:rsid w:val="002C0DE5"/>
    <w:rsid w:val="002C10F3"/>
    <w:rsid w:val="002C28D5"/>
    <w:rsid w:val="002C2FF8"/>
    <w:rsid w:val="002C4AFA"/>
    <w:rsid w:val="002C5589"/>
    <w:rsid w:val="002C7B1B"/>
    <w:rsid w:val="002C7EE6"/>
    <w:rsid w:val="002D0E63"/>
    <w:rsid w:val="002D1884"/>
    <w:rsid w:val="002D1984"/>
    <w:rsid w:val="002D1BCB"/>
    <w:rsid w:val="002D24DE"/>
    <w:rsid w:val="002D3273"/>
    <w:rsid w:val="002D36C0"/>
    <w:rsid w:val="002D3A08"/>
    <w:rsid w:val="002D5618"/>
    <w:rsid w:val="002D56B9"/>
    <w:rsid w:val="002E1E8D"/>
    <w:rsid w:val="002E2F62"/>
    <w:rsid w:val="002E336C"/>
    <w:rsid w:val="002E380B"/>
    <w:rsid w:val="002E3E5A"/>
    <w:rsid w:val="002E447E"/>
    <w:rsid w:val="002E613E"/>
    <w:rsid w:val="002E6E80"/>
    <w:rsid w:val="002E7185"/>
    <w:rsid w:val="002E7F02"/>
    <w:rsid w:val="002F028A"/>
    <w:rsid w:val="002F0703"/>
    <w:rsid w:val="002F0FE4"/>
    <w:rsid w:val="002F1337"/>
    <w:rsid w:val="002F1CA8"/>
    <w:rsid w:val="002F2D9E"/>
    <w:rsid w:val="002F47FF"/>
    <w:rsid w:val="002F5529"/>
    <w:rsid w:val="002F6CA4"/>
    <w:rsid w:val="0030012D"/>
    <w:rsid w:val="00300FF0"/>
    <w:rsid w:val="00304122"/>
    <w:rsid w:val="00304CDC"/>
    <w:rsid w:val="00305394"/>
    <w:rsid w:val="0030624C"/>
    <w:rsid w:val="003079DA"/>
    <w:rsid w:val="00310043"/>
    <w:rsid w:val="003108A6"/>
    <w:rsid w:val="00311603"/>
    <w:rsid w:val="00312F46"/>
    <w:rsid w:val="00313BE8"/>
    <w:rsid w:val="00314884"/>
    <w:rsid w:val="00315320"/>
    <w:rsid w:val="00315535"/>
    <w:rsid w:val="003164E9"/>
    <w:rsid w:val="00317765"/>
    <w:rsid w:val="003215AA"/>
    <w:rsid w:val="00321666"/>
    <w:rsid w:val="003219CC"/>
    <w:rsid w:val="00321B59"/>
    <w:rsid w:val="00322CA6"/>
    <w:rsid w:val="00324CE8"/>
    <w:rsid w:val="00325B9A"/>
    <w:rsid w:val="00326FA5"/>
    <w:rsid w:val="00327C52"/>
    <w:rsid w:val="003303FF"/>
    <w:rsid w:val="003305A4"/>
    <w:rsid w:val="00332611"/>
    <w:rsid w:val="00332614"/>
    <w:rsid w:val="00332EAF"/>
    <w:rsid w:val="00333102"/>
    <w:rsid w:val="0033318E"/>
    <w:rsid w:val="00337A95"/>
    <w:rsid w:val="00341CB0"/>
    <w:rsid w:val="00343009"/>
    <w:rsid w:val="0034446C"/>
    <w:rsid w:val="0034557A"/>
    <w:rsid w:val="00345CD9"/>
    <w:rsid w:val="00346832"/>
    <w:rsid w:val="003477CB"/>
    <w:rsid w:val="0035007E"/>
    <w:rsid w:val="00350226"/>
    <w:rsid w:val="003505F0"/>
    <w:rsid w:val="00351A91"/>
    <w:rsid w:val="00354B18"/>
    <w:rsid w:val="00354F05"/>
    <w:rsid w:val="003553B1"/>
    <w:rsid w:val="00355767"/>
    <w:rsid w:val="003561FC"/>
    <w:rsid w:val="003578BA"/>
    <w:rsid w:val="00357AEC"/>
    <w:rsid w:val="00357D73"/>
    <w:rsid w:val="0036075A"/>
    <w:rsid w:val="003611D5"/>
    <w:rsid w:val="00361C76"/>
    <w:rsid w:val="00361D95"/>
    <w:rsid w:val="00362697"/>
    <w:rsid w:val="00364E80"/>
    <w:rsid w:val="00364FD5"/>
    <w:rsid w:val="00365A41"/>
    <w:rsid w:val="0036726B"/>
    <w:rsid w:val="00367A0A"/>
    <w:rsid w:val="00367AAD"/>
    <w:rsid w:val="003720F6"/>
    <w:rsid w:val="003731CF"/>
    <w:rsid w:val="003771B6"/>
    <w:rsid w:val="003775F7"/>
    <w:rsid w:val="00377ED4"/>
    <w:rsid w:val="0038063C"/>
    <w:rsid w:val="0038139C"/>
    <w:rsid w:val="00381777"/>
    <w:rsid w:val="00381AC1"/>
    <w:rsid w:val="00382991"/>
    <w:rsid w:val="00383EC7"/>
    <w:rsid w:val="00385721"/>
    <w:rsid w:val="00385F5F"/>
    <w:rsid w:val="00385FFE"/>
    <w:rsid w:val="00390656"/>
    <w:rsid w:val="00390BC4"/>
    <w:rsid w:val="00392875"/>
    <w:rsid w:val="0039293D"/>
    <w:rsid w:val="00392AA4"/>
    <w:rsid w:val="00392B2A"/>
    <w:rsid w:val="0039335E"/>
    <w:rsid w:val="00395BAC"/>
    <w:rsid w:val="003A04D5"/>
    <w:rsid w:val="003A292D"/>
    <w:rsid w:val="003A45BF"/>
    <w:rsid w:val="003A7B86"/>
    <w:rsid w:val="003A7F9C"/>
    <w:rsid w:val="003B5AE0"/>
    <w:rsid w:val="003C03B9"/>
    <w:rsid w:val="003C0B68"/>
    <w:rsid w:val="003C26B0"/>
    <w:rsid w:val="003C2C56"/>
    <w:rsid w:val="003C5205"/>
    <w:rsid w:val="003D0C7C"/>
    <w:rsid w:val="003D103D"/>
    <w:rsid w:val="003D3E46"/>
    <w:rsid w:val="003D519B"/>
    <w:rsid w:val="003D709E"/>
    <w:rsid w:val="003E103F"/>
    <w:rsid w:val="003E1101"/>
    <w:rsid w:val="003E54D8"/>
    <w:rsid w:val="003E58B4"/>
    <w:rsid w:val="003E5CE8"/>
    <w:rsid w:val="003E5E16"/>
    <w:rsid w:val="003E6550"/>
    <w:rsid w:val="003E76F5"/>
    <w:rsid w:val="003E7CB9"/>
    <w:rsid w:val="003F078D"/>
    <w:rsid w:val="003F22C1"/>
    <w:rsid w:val="003F22CA"/>
    <w:rsid w:val="003F3D70"/>
    <w:rsid w:val="003F4E8E"/>
    <w:rsid w:val="003F581E"/>
    <w:rsid w:val="003F643A"/>
    <w:rsid w:val="003F64D6"/>
    <w:rsid w:val="003F6AD7"/>
    <w:rsid w:val="004008DB"/>
    <w:rsid w:val="004010AF"/>
    <w:rsid w:val="004021E6"/>
    <w:rsid w:val="004061DD"/>
    <w:rsid w:val="004101B9"/>
    <w:rsid w:val="004116D2"/>
    <w:rsid w:val="00412B12"/>
    <w:rsid w:val="00413707"/>
    <w:rsid w:val="00417421"/>
    <w:rsid w:val="0042507E"/>
    <w:rsid w:val="0042578C"/>
    <w:rsid w:val="004257E7"/>
    <w:rsid w:val="00426288"/>
    <w:rsid w:val="00426923"/>
    <w:rsid w:val="004275EE"/>
    <w:rsid w:val="0042773A"/>
    <w:rsid w:val="00430589"/>
    <w:rsid w:val="00431691"/>
    <w:rsid w:val="004341F0"/>
    <w:rsid w:val="00434DE4"/>
    <w:rsid w:val="004411F3"/>
    <w:rsid w:val="00442648"/>
    <w:rsid w:val="0044351C"/>
    <w:rsid w:val="00443D37"/>
    <w:rsid w:val="00444D5A"/>
    <w:rsid w:val="00444E2E"/>
    <w:rsid w:val="00445F3E"/>
    <w:rsid w:val="004460C3"/>
    <w:rsid w:val="00446A03"/>
    <w:rsid w:val="0044726E"/>
    <w:rsid w:val="00450339"/>
    <w:rsid w:val="004520CA"/>
    <w:rsid w:val="00452E86"/>
    <w:rsid w:val="00453987"/>
    <w:rsid w:val="00456632"/>
    <w:rsid w:val="00460486"/>
    <w:rsid w:val="004606C2"/>
    <w:rsid w:val="0046336C"/>
    <w:rsid w:val="0046340E"/>
    <w:rsid w:val="0046470C"/>
    <w:rsid w:val="00464FA2"/>
    <w:rsid w:val="004670DF"/>
    <w:rsid w:val="00470AA7"/>
    <w:rsid w:val="00470DA1"/>
    <w:rsid w:val="00470F29"/>
    <w:rsid w:val="0047244A"/>
    <w:rsid w:val="0047249C"/>
    <w:rsid w:val="0047385A"/>
    <w:rsid w:val="00474B1B"/>
    <w:rsid w:val="00481115"/>
    <w:rsid w:val="00481936"/>
    <w:rsid w:val="00481A43"/>
    <w:rsid w:val="004826C8"/>
    <w:rsid w:val="00483BBC"/>
    <w:rsid w:val="00486D08"/>
    <w:rsid w:val="00487072"/>
    <w:rsid w:val="00487951"/>
    <w:rsid w:val="00487ED9"/>
    <w:rsid w:val="0049017E"/>
    <w:rsid w:val="00491895"/>
    <w:rsid w:val="00491A02"/>
    <w:rsid w:val="004928B4"/>
    <w:rsid w:val="004A3C34"/>
    <w:rsid w:val="004A56A2"/>
    <w:rsid w:val="004A6F7E"/>
    <w:rsid w:val="004A72C7"/>
    <w:rsid w:val="004B04E7"/>
    <w:rsid w:val="004B0B1D"/>
    <w:rsid w:val="004B1A06"/>
    <w:rsid w:val="004B3B8E"/>
    <w:rsid w:val="004B7A40"/>
    <w:rsid w:val="004C1DC6"/>
    <w:rsid w:val="004C22A8"/>
    <w:rsid w:val="004C23D7"/>
    <w:rsid w:val="004C3387"/>
    <w:rsid w:val="004C4640"/>
    <w:rsid w:val="004C5091"/>
    <w:rsid w:val="004C613A"/>
    <w:rsid w:val="004C6FEB"/>
    <w:rsid w:val="004C73A4"/>
    <w:rsid w:val="004D03F9"/>
    <w:rsid w:val="004D1C0C"/>
    <w:rsid w:val="004D2282"/>
    <w:rsid w:val="004D22A4"/>
    <w:rsid w:val="004D2F50"/>
    <w:rsid w:val="004D3055"/>
    <w:rsid w:val="004D3C84"/>
    <w:rsid w:val="004D5FDC"/>
    <w:rsid w:val="004D6E0D"/>
    <w:rsid w:val="004D76A9"/>
    <w:rsid w:val="004D779E"/>
    <w:rsid w:val="004E0378"/>
    <w:rsid w:val="004E0E8A"/>
    <w:rsid w:val="004E1AC4"/>
    <w:rsid w:val="004E399E"/>
    <w:rsid w:val="004F0673"/>
    <w:rsid w:val="004F17ED"/>
    <w:rsid w:val="004F313D"/>
    <w:rsid w:val="004F3C2A"/>
    <w:rsid w:val="004F43ED"/>
    <w:rsid w:val="004F4BF3"/>
    <w:rsid w:val="004F4D61"/>
    <w:rsid w:val="004F5668"/>
    <w:rsid w:val="004F71EC"/>
    <w:rsid w:val="004F7E43"/>
    <w:rsid w:val="004F7F96"/>
    <w:rsid w:val="00500AF7"/>
    <w:rsid w:val="005018AD"/>
    <w:rsid w:val="005023E0"/>
    <w:rsid w:val="005028C1"/>
    <w:rsid w:val="00502C75"/>
    <w:rsid w:val="005033C9"/>
    <w:rsid w:val="00504AD1"/>
    <w:rsid w:val="00507A08"/>
    <w:rsid w:val="00510419"/>
    <w:rsid w:val="00511991"/>
    <w:rsid w:val="0051238C"/>
    <w:rsid w:val="005126A5"/>
    <w:rsid w:val="0051291A"/>
    <w:rsid w:val="00512C1A"/>
    <w:rsid w:val="00514055"/>
    <w:rsid w:val="005161D2"/>
    <w:rsid w:val="005162B3"/>
    <w:rsid w:val="00516528"/>
    <w:rsid w:val="00517D4A"/>
    <w:rsid w:val="00521A81"/>
    <w:rsid w:val="00523FD3"/>
    <w:rsid w:val="005247E9"/>
    <w:rsid w:val="0052498F"/>
    <w:rsid w:val="00527C20"/>
    <w:rsid w:val="00531CC3"/>
    <w:rsid w:val="005347F5"/>
    <w:rsid w:val="00534E8B"/>
    <w:rsid w:val="00535339"/>
    <w:rsid w:val="00536AF9"/>
    <w:rsid w:val="00536E56"/>
    <w:rsid w:val="005371F4"/>
    <w:rsid w:val="00537406"/>
    <w:rsid w:val="00537E46"/>
    <w:rsid w:val="0054095D"/>
    <w:rsid w:val="005417AD"/>
    <w:rsid w:val="00543561"/>
    <w:rsid w:val="005436A5"/>
    <w:rsid w:val="00544019"/>
    <w:rsid w:val="005448CD"/>
    <w:rsid w:val="00544A1A"/>
    <w:rsid w:val="00545598"/>
    <w:rsid w:val="00546841"/>
    <w:rsid w:val="0055001B"/>
    <w:rsid w:val="00551813"/>
    <w:rsid w:val="005535BE"/>
    <w:rsid w:val="00557825"/>
    <w:rsid w:val="005578A0"/>
    <w:rsid w:val="00560139"/>
    <w:rsid w:val="00560BD1"/>
    <w:rsid w:val="005619BD"/>
    <w:rsid w:val="00561E2A"/>
    <w:rsid w:val="00567E84"/>
    <w:rsid w:val="005704DD"/>
    <w:rsid w:val="00570E25"/>
    <w:rsid w:val="005721BB"/>
    <w:rsid w:val="00573597"/>
    <w:rsid w:val="00574623"/>
    <w:rsid w:val="00575098"/>
    <w:rsid w:val="005776D9"/>
    <w:rsid w:val="0058086C"/>
    <w:rsid w:val="00580CE7"/>
    <w:rsid w:val="005851A4"/>
    <w:rsid w:val="00586BC9"/>
    <w:rsid w:val="0058796F"/>
    <w:rsid w:val="00590693"/>
    <w:rsid w:val="00590756"/>
    <w:rsid w:val="00591150"/>
    <w:rsid w:val="005917CF"/>
    <w:rsid w:val="00592783"/>
    <w:rsid w:val="00593CB3"/>
    <w:rsid w:val="005962A1"/>
    <w:rsid w:val="0059639E"/>
    <w:rsid w:val="00596564"/>
    <w:rsid w:val="005965EB"/>
    <w:rsid w:val="00596DF7"/>
    <w:rsid w:val="00596F26"/>
    <w:rsid w:val="005A2BC3"/>
    <w:rsid w:val="005A2EE1"/>
    <w:rsid w:val="005A3A60"/>
    <w:rsid w:val="005A5881"/>
    <w:rsid w:val="005A7135"/>
    <w:rsid w:val="005A7D79"/>
    <w:rsid w:val="005B01AF"/>
    <w:rsid w:val="005B03EC"/>
    <w:rsid w:val="005B081C"/>
    <w:rsid w:val="005B0F6A"/>
    <w:rsid w:val="005B15EB"/>
    <w:rsid w:val="005B1FFA"/>
    <w:rsid w:val="005B290A"/>
    <w:rsid w:val="005B39D1"/>
    <w:rsid w:val="005B55E8"/>
    <w:rsid w:val="005B591E"/>
    <w:rsid w:val="005B63B3"/>
    <w:rsid w:val="005C0AFE"/>
    <w:rsid w:val="005C11B9"/>
    <w:rsid w:val="005C1B7C"/>
    <w:rsid w:val="005C3FC3"/>
    <w:rsid w:val="005C424D"/>
    <w:rsid w:val="005C4697"/>
    <w:rsid w:val="005C50AD"/>
    <w:rsid w:val="005D124A"/>
    <w:rsid w:val="005D183E"/>
    <w:rsid w:val="005D22FD"/>
    <w:rsid w:val="005D23AC"/>
    <w:rsid w:val="005D3B50"/>
    <w:rsid w:val="005D3F64"/>
    <w:rsid w:val="005D4527"/>
    <w:rsid w:val="005E0D16"/>
    <w:rsid w:val="005E1D08"/>
    <w:rsid w:val="005E23AF"/>
    <w:rsid w:val="005E3973"/>
    <w:rsid w:val="005E3E82"/>
    <w:rsid w:val="005E4B6C"/>
    <w:rsid w:val="005E4C97"/>
    <w:rsid w:val="005E6405"/>
    <w:rsid w:val="005E64BA"/>
    <w:rsid w:val="005E6B72"/>
    <w:rsid w:val="005E6F93"/>
    <w:rsid w:val="005F14D0"/>
    <w:rsid w:val="005F21B4"/>
    <w:rsid w:val="005F2588"/>
    <w:rsid w:val="005F2C8F"/>
    <w:rsid w:val="005F33E8"/>
    <w:rsid w:val="005F53B3"/>
    <w:rsid w:val="00603D2A"/>
    <w:rsid w:val="00604E96"/>
    <w:rsid w:val="00604F8C"/>
    <w:rsid w:val="00605183"/>
    <w:rsid w:val="00606B3B"/>
    <w:rsid w:val="00607E3E"/>
    <w:rsid w:val="00610802"/>
    <w:rsid w:val="00612239"/>
    <w:rsid w:val="00612724"/>
    <w:rsid w:val="00613FFB"/>
    <w:rsid w:val="006140A7"/>
    <w:rsid w:val="006145C3"/>
    <w:rsid w:val="006161FE"/>
    <w:rsid w:val="00617AD2"/>
    <w:rsid w:val="00621B00"/>
    <w:rsid w:val="00622200"/>
    <w:rsid w:val="006222C6"/>
    <w:rsid w:val="00622587"/>
    <w:rsid w:val="0062302E"/>
    <w:rsid w:val="0062324F"/>
    <w:rsid w:val="00623BF2"/>
    <w:rsid w:val="00624D44"/>
    <w:rsid w:val="00626964"/>
    <w:rsid w:val="00626F85"/>
    <w:rsid w:val="0063000E"/>
    <w:rsid w:val="006304E3"/>
    <w:rsid w:val="00634C22"/>
    <w:rsid w:val="00635460"/>
    <w:rsid w:val="00636D6B"/>
    <w:rsid w:val="00637AA4"/>
    <w:rsid w:val="00637D1D"/>
    <w:rsid w:val="00637E48"/>
    <w:rsid w:val="006416F7"/>
    <w:rsid w:val="00641FEF"/>
    <w:rsid w:val="006424C2"/>
    <w:rsid w:val="00642CE6"/>
    <w:rsid w:val="00645726"/>
    <w:rsid w:val="006462A4"/>
    <w:rsid w:val="00646816"/>
    <w:rsid w:val="00646A27"/>
    <w:rsid w:val="00652023"/>
    <w:rsid w:val="00652485"/>
    <w:rsid w:val="00653FBB"/>
    <w:rsid w:val="00654070"/>
    <w:rsid w:val="0065479F"/>
    <w:rsid w:val="00654AC9"/>
    <w:rsid w:val="00654D5C"/>
    <w:rsid w:val="006555B3"/>
    <w:rsid w:val="00657C21"/>
    <w:rsid w:val="006601F0"/>
    <w:rsid w:val="0066099F"/>
    <w:rsid w:val="00661C76"/>
    <w:rsid w:val="00662480"/>
    <w:rsid w:val="00662A49"/>
    <w:rsid w:val="006631F7"/>
    <w:rsid w:val="00666215"/>
    <w:rsid w:val="00667C03"/>
    <w:rsid w:val="00670F63"/>
    <w:rsid w:val="00671906"/>
    <w:rsid w:val="006737F9"/>
    <w:rsid w:val="00674349"/>
    <w:rsid w:val="00674883"/>
    <w:rsid w:val="00675ED6"/>
    <w:rsid w:val="00683007"/>
    <w:rsid w:val="00683A6A"/>
    <w:rsid w:val="00684629"/>
    <w:rsid w:val="006846E5"/>
    <w:rsid w:val="00691793"/>
    <w:rsid w:val="006930B6"/>
    <w:rsid w:val="00693EDB"/>
    <w:rsid w:val="00695418"/>
    <w:rsid w:val="006A0B9D"/>
    <w:rsid w:val="006A1384"/>
    <w:rsid w:val="006A19C8"/>
    <w:rsid w:val="006A723B"/>
    <w:rsid w:val="006A72E8"/>
    <w:rsid w:val="006A741A"/>
    <w:rsid w:val="006A7BF1"/>
    <w:rsid w:val="006A7D11"/>
    <w:rsid w:val="006A7FB9"/>
    <w:rsid w:val="006B04F2"/>
    <w:rsid w:val="006B24E7"/>
    <w:rsid w:val="006B2885"/>
    <w:rsid w:val="006B2AAA"/>
    <w:rsid w:val="006B4A9D"/>
    <w:rsid w:val="006B4DFC"/>
    <w:rsid w:val="006B6C85"/>
    <w:rsid w:val="006B77D3"/>
    <w:rsid w:val="006C0025"/>
    <w:rsid w:val="006C022B"/>
    <w:rsid w:val="006C027F"/>
    <w:rsid w:val="006C0362"/>
    <w:rsid w:val="006C09E3"/>
    <w:rsid w:val="006C0AB3"/>
    <w:rsid w:val="006C0DE7"/>
    <w:rsid w:val="006C19D7"/>
    <w:rsid w:val="006C288F"/>
    <w:rsid w:val="006C58AA"/>
    <w:rsid w:val="006C6432"/>
    <w:rsid w:val="006D00EF"/>
    <w:rsid w:val="006D2076"/>
    <w:rsid w:val="006D3DF8"/>
    <w:rsid w:val="006E019B"/>
    <w:rsid w:val="006E1A11"/>
    <w:rsid w:val="006E6D8A"/>
    <w:rsid w:val="006E71D5"/>
    <w:rsid w:val="006E749E"/>
    <w:rsid w:val="006F0A34"/>
    <w:rsid w:val="006F4A7C"/>
    <w:rsid w:val="006F4F25"/>
    <w:rsid w:val="006F5645"/>
    <w:rsid w:val="006F57C2"/>
    <w:rsid w:val="006F57D3"/>
    <w:rsid w:val="006F7126"/>
    <w:rsid w:val="006F7F3A"/>
    <w:rsid w:val="00702C93"/>
    <w:rsid w:val="00705372"/>
    <w:rsid w:val="00706315"/>
    <w:rsid w:val="00707C11"/>
    <w:rsid w:val="00710412"/>
    <w:rsid w:val="00710CAD"/>
    <w:rsid w:val="007116E3"/>
    <w:rsid w:val="00712612"/>
    <w:rsid w:val="00713BEB"/>
    <w:rsid w:val="0071434C"/>
    <w:rsid w:val="00714B30"/>
    <w:rsid w:val="00716D1B"/>
    <w:rsid w:val="00716F2E"/>
    <w:rsid w:val="00720027"/>
    <w:rsid w:val="007200A5"/>
    <w:rsid w:val="007217D2"/>
    <w:rsid w:val="007225A5"/>
    <w:rsid w:val="007233C0"/>
    <w:rsid w:val="00723D29"/>
    <w:rsid w:val="00725A77"/>
    <w:rsid w:val="00726C6D"/>
    <w:rsid w:val="00731096"/>
    <w:rsid w:val="0073145A"/>
    <w:rsid w:val="0073451F"/>
    <w:rsid w:val="00734DB3"/>
    <w:rsid w:val="007355D2"/>
    <w:rsid w:val="00736239"/>
    <w:rsid w:val="00737DE2"/>
    <w:rsid w:val="00740EC2"/>
    <w:rsid w:val="00741286"/>
    <w:rsid w:val="007458D3"/>
    <w:rsid w:val="007504B6"/>
    <w:rsid w:val="0075238B"/>
    <w:rsid w:val="00752BC5"/>
    <w:rsid w:val="00753BF2"/>
    <w:rsid w:val="00756103"/>
    <w:rsid w:val="00757209"/>
    <w:rsid w:val="00757B85"/>
    <w:rsid w:val="00760498"/>
    <w:rsid w:val="0076122F"/>
    <w:rsid w:val="007624A4"/>
    <w:rsid w:val="00762E78"/>
    <w:rsid w:val="00763BFC"/>
    <w:rsid w:val="007642ED"/>
    <w:rsid w:val="00764E47"/>
    <w:rsid w:val="00765391"/>
    <w:rsid w:val="00770124"/>
    <w:rsid w:val="00770C0F"/>
    <w:rsid w:val="00774445"/>
    <w:rsid w:val="0077588B"/>
    <w:rsid w:val="00775905"/>
    <w:rsid w:val="00776B07"/>
    <w:rsid w:val="00782C44"/>
    <w:rsid w:val="007836B6"/>
    <w:rsid w:val="0078413A"/>
    <w:rsid w:val="00784419"/>
    <w:rsid w:val="007845F5"/>
    <w:rsid w:val="00784C02"/>
    <w:rsid w:val="007854B7"/>
    <w:rsid w:val="007867A7"/>
    <w:rsid w:val="00787453"/>
    <w:rsid w:val="00787682"/>
    <w:rsid w:val="00791612"/>
    <w:rsid w:val="007918B9"/>
    <w:rsid w:val="00793EEB"/>
    <w:rsid w:val="00794940"/>
    <w:rsid w:val="007A122A"/>
    <w:rsid w:val="007A174D"/>
    <w:rsid w:val="007A1E5F"/>
    <w:rsid w:val="007A455E"/>
    <w:rsid w:val="007A59FF"/>
    <w:rsid w:val="007A5BCD"/>
    <w:rsid w:val="007B0478"/>
    <w:rsid w:val="007B05A4"/>
    <w:rsid w:val="007B1159"/>
    <w:rsid w:val="007B1289"/>
    <w:rsid w:val="007B26F9"/>
    <w:rsid w:val="007B40E9"/>
    <w:rsid w:val="007B531C"/>
    <w:rsid w:val="007B59A3"/>
    <w:rsid w:val="007B698E"/>
    <w:rsid w:val="007C2C98"/>
    <w:rsid w:val="007C5114"/>
    <w:rsid w:val="007C614C"/>
    <w:rsid w:val="007C6429"/>
    <w:rsid w:val="007C7545"/>
    <w:rsid w:val="007C771B"/>
    <w:rsid w:val="007D061C"/>
    <w:rsid w:val="007D3032"/>
    <w:rsid w:val="007D517A"/>
    <w:rsid w:val="007D6F9C"/>
    <w:rsid w:val="007E0295"/>
    <w:rsid w:val="007E213E"/>
    <w:rsid w:val="007E2770"/>
    <w:rsid w:val="007E2F38"/>
    <w:rsid w:val="007E3AE6"/>
    <w:rsid w:val="007E3ECA"/>
    <w:rsid w:val="007E425F"/>
    <w:rsid w:val="007E6280"/>
    <w:rsid w:val="007F0C99"/>
    <w:rsid w:val="007F22AA"/>
    <w:rsid w:val="007F354E"/>
    <w:rsid w:val="007F7727"/>
    <w:rsid w:val="00800EF5"/>
    <w:rsid w:val="00801FF0"/>
    <w:rsid w:val="00803472"/>
    <w:rsid w:val="008046FB"/>
    <w:rsid w:val="008056F1"/>
    <w:rsid w:val="00806317"/>
    <w:rsid w:val="00810243"/>
    <w:rsid w:val="008112CB"/>
    <w:rsid w:val="0081333E"/>
    <w:rsid w:val="0081475E"/>
    <w:rsid w:val="008156A4"/>
    <w:rsid w:val="00815FDD"/>
    <w:rsid w:val="0081639B"/>
    <w:rsid w:val="0082248C"/>
    <w:rsid w:val="008230C9"/>
    <w:rsid w:val="00824141"/>
    <w:rsid w:val="008271B5"/>
    <w:rsid w:val="00827B30"/>
    <w:rsid w:val="008302C2"/>
    <w:rsid w:val="008309C7"/>
    <w:rsid w:val="00830E46"/>
    <w:rsid w:val="0083170F"/>
    <w:rsid w:val="008335DA"/>
    <w:rsid w:val="00833D7E"/>
    <w:rsid w:val="008347F3"/>
    <w:rsid w:val="008407E2"/>
    <w:rsid w:val="008429A3"/>
    <w:rsid w:val="008434D2"/>
    <w:rsid w:val="00843EA7"/>
    <w:rsid w:val="0084438D"/>
    <w:rsid w:val="0084469B"/>
    <w:rsid w:val="0084592D"/>
    <w:rsid w:val="008463E6"/>
    <w:rsid w:val="00850357"/>
    <w:rsid w:val="0085094D"/>
    <w:rsid w:val="008510D3"/>
    <w:rsid w:val="008520C7"/>
    <w:rsid w:val="00852414"/>
    <w:rsid w:val="00853172"/>
    <w:rsid w:val="008535A5"/>
    <w:rsid w:val="0085365C"/>
    <w:rsid w:val="00855376"/>
    <w:rsid w:val="008562EB"/>
    <w:rsid w:val="008604D4"/>
    <w:rsid w:val="00860E5E"/>
    <w:rsid w:val="008622E5"/>
    <w:rsid w:val="008629E5"/>
    <w:rsid w:val="00862C76"/>
    <w:rsid w:val="008634CE"/>
    <w:rsid w:val="008663E2"/>
    <w:rsid w:val="00866DC7"/>
    <w:rsid w:val="00867955"/>
    <w:rsid w:val="008709DB"/>
    <w:rsid w:val="0087394C"/>
    <w:rsid w:val="008757AF"/>
    <w:rsid w:val="008777B9"/>
    <w:rsid w:val="00877D98"/>
    <w:rsid w:val="008806D0"/>
    <w:rsid w:val="008861A3"/>
    <w:rsid w:val="0088757F"/>
    <w:rsid w:val="008900A4"/>
    <w:rsid w:val="00894606"/>
    <w:rsid w:val="00894FF9"/>
    <w:rsid w:val="00896451"/>
    <w:rsid w:val="00896ACF"/>
    <w:rsid w:val="008A1F66"/>
    <w:rsid w:val="008A2F2A"/>
    <w:rsid w:val="008A4618"/>
    <w:rsid w:val="008A562C"/>
    <w:rsid w:val="008A5C00"/>
    <w:rsid w:val="008A651A"/>
    <w:rsid w:val="008B07DC"/>
    <w:rsid w:val="008B45EC"/>
    <w:rsid w:val="008B5DA5"/>
    <w:rsid w:val="008B7857"/>
    <w:rsid w:val="008D4C25"/>
    <w:rsid w:val="008D68ED"/>
    <w:rsid w:val="008D691C"/>
    <w:rsid w:val="008D6ABB"/>
    <w:rsid w:val="008D6C06"/>
    <w:rsid w:val="008D71F3"/>
    <w:rsid w:val="008D71F9"/>
    <w:rsid w:val="008E1660"/>
    <w:rsid w:val="008E1991"/>
    <w:rsid w:val="008E58D4"/>
    <w:rsid w:val="008E657D"/>
    <w:rsid w:val="008F3E51"/>
    <w:rsid w:val="008F47F1"/>
    <w:rsid w:val="008F6B1A"/>
    <w:rsid w:val="008F6D45"/>
    <w:rsid w:val="009005B2"/>
    <w:rsid w:val="00900E93"/>
    <w:rsid w:val="00900FE1"/>
    <w:rsid w:val="009014E5"/>
    <w:rsid w:val="009015B8"/>
    <w:rsid w:val="00901C6C"/>
    <w:rsid w:val="00902155"/>
    <w:rsid w:val="00902767"/>
    <w:rsid w:val="00910204"/>
    <w:rsid w:val="009105EA"/>
    <w:rsid w:val="00910AE2"/>
    <w:rsid w:val="00914A6C"/>
    <w:rsid w:val="00914CDE"/>
    <w:rsid w:val="0091609D"/>
    <w:rsid w:val="00920366"/>
    <w:rsid w:val="00920660"/>
    <w:rsid w:val="00921CF2"/>
    <w:rsid w:val="00922AE4"/>
    <w:rsid w:val="00923FF9"/>
    <w:rsid w:val="009249B7"/>
    <w:rsid w:val="009262B6"/>
    <w:rsid w:val="00926A08"/>
    <w:rsid w:val="00927CB8"/>
    <w:rsid w:val="009307D6"/>
    <w:rsid w:val="00931289"/>
    <w:rsid w:val="00932145"/>
    <w:rsid w:val="00932D33"/>
    <w:rsid w:val="009330D8"/>
    <w:rsid w:val="009332B0"/>
    <w:rsid w:val="009335DF"/>
    <w:rsid w:val="00934760"/>
    <w:rsid w:val="00936001"/>
    <w:rsid w:val="00936D45"/>
    <w:rsid w:val="009404EE"/>
    <w:rsid w:val="0094109E"/>
    <w:rsid w:val="00943EA3"/>
    <w:rsid w:val="009452EE"/>
    <w:rsid w:val="00951C12"/>
    <w:rsid w:val="00953288"/>
    <w:rsid w:val="00953FD4"/>
    <w:rsid w:val="0095447E"/>
    <w:rsid w:val="00955592"/>
    <w:rsid w:val="00960478"/>
    <w:rsid w:val="00961269"/>
    <w:rsid w:val="00962B59"/>
    <w:rsid w:val="009638D7"/>
    <w:rsid w:val="00965CC6"/>
    <w:rsid w:val="009679BF"/>
    <w:rsid w:val="00971F92"/>
    <w:rsid w:val="00972010"/>
    <w:rsid w:val="00973723"/>
    <w:rsid w:val="00973D0C"/>
    <w:rsid w:val="009771CE"/>
    <w:rsid w:val="009803F8"/>
    <w:rsid w:val="00981FEB"/>
    <w:rsid w:val="0098212B"/>
    <w:rsid w:val="0098250B"/>
    <w:rsid w:val="00982801"/>
    <w:rsid w:val="00983CBF"/>
    <w:rsid w:val="00985F20"/>
    <w:rsid w:val="009861B3"/>
    <w:rsid w:val="00986AED"/>
    <w:rsid w:val="00986C56"/>
    <w:rsid w:val="00987017"/>
    <w:rsid w:val="009872CD"/>
    <w:rsid w:val="009873F3"/>
    <w:rsid w:val="00990064"/>
    <w:rsid w:val="00990F31"/>
    <w:rsid w:val="00992BD0"/>
    <w:rsid w:val="009936AC"/>
    <w:rsid w:val="009941BF"/>
    <w:rsid w:val="009A08B7"/>
    <w:rsid w:val="009A1E42"/>
    <w:rsid w:val="009A3004"/>
    <w:rsid w:val="009A3A48"/>
    <w:rsid w:val="009A475A"/>
    <w:rsid w:val="009A6621"/>
    <w:rsid w:val="009A6E08"/>
    <w:rsid w:val="009B0BED"/>
    <w:rsid w:val="009B1875"/>
    <w:rsid w:val="009B2E18"/>
    <w:rsid w:val="009B2E39"/>
    <w:rsid w:val="009B3240"/>
    <w:rsid w:val="009B541D"/>
    <w:rsid w:val="009B6A46"/>
    <w:rsid w:val="009C0A99"/>
    <w:rsid w:val="009C1AFA"/>
    <w:rsid w:val="009C1B8E"/>
    <w:rsid w:val="009C1D9F"/>
    <w:rsid w:val="009C2F4B"/>
    <w:rsid w:val="009C4F63"/>
    <w:rsid w:val="009C6FF7"/>
    <w:rsid w:val="009D017A"/>
    <w:rsid w:val="009D1852"/>
    <w:rsid w:val="009D531F"/>
    <w:rsid w:val="009D6788"/>
    <w:rsid w:val="009D7CE3"/>
    <w:rsid w:val="009E0CA9"/>
    <w:rsid w:val="009E3927"/>
    <w:rsid w:val="009E42B3"/>
    <w:rsid w:val="009E43CC"/>
    <w:rsid w:val="009E5AA5"/>
    <w:rsid w:val="009E7279"/>
    <w:rsid w:val="009E7E7D"/>
    <w:rsid w:val="009F016D"/>
    <w:rsid w:val="009F040D"/>
    <w:rsid w:val="009F0580"/>
    <w:rsid w:val="009F1C11"/>
    <w:rsid w:val="009F61BA"/>
    <w:rsid w:val="009F73B7"/>
    <w:rsid w:val="009F7D42"/>
    <w:rsid w:val="00A033E1"/>
    <w:rsid w:val="00A03983"/>
    <w:rsid w:val="00A04245"/>
    <w:rsid w:val="00A06C05"/>
    <w:rsid w:val="00A108D4"/>
    <w:rsid w:val="00A11570"/>
    <w:rsid w:val="00A1185D"/>
    <w:rsid w:val="00A1220E"/>
    <w:rsid w:val="00A1281A"/>
    <w:rsid w:val="00A141DE"/>
    <w:rsid w:val="00A1422D"/>
    <w:rsid w:val="00A15F75"/>
    <w:rsid w:val="00A16734"/>
    <w:rsid w:val="00A16CA0"/>
    <w:rsid w:val="00A16F97"/>
    <w:rsid w:val="00A203A7"/>
    <w:rsid w:val="00A20A18"/>
    <w:rsid w:val="00A218D9"/>
    <w:rsid w:val="00A21A2C"/>
    <w:rsid w:val="00A22A39"/>
    <w:rsid w:val="00A25B88"/>
    <w:rsid w:val="00A3195D"/>
    <w:rsid w:val="00A31E02"/>
    <w:rsid w:val="00A32255"/>
    <w:rsid w:val="00A32768"/>
    <w:rsid w:val="00A330D7"/>
    <w:rsid w:val="00A3324C"/>
    <w:rsid w:val="00A33527"/>
    <w:rsid w:val="00A35EA0"/>
    <w:rsid w:val="00A3658C"/>
    <w:rsid w:val="00A41743"/>
    <w:rsid w:val="00A42230"/>
    <w:rsid w:val="00A42AA6"/>
    <w:rsid w:val="00A43FD0"/>
    <w:rsid w:val="00A450AA"/>
    <w:rsid w:val="00A456CC"/>
    <w:rsid w:val="00A464DE"/>
    <w:rsid w:val="00A46526"/>
    <w:rsid w:val="00A4717A"/>
    <w:rsid w:val="00A47A86"/>
    <w:rsid w:val="00A515F8"/>
    <w:rsid w:val="00A530EF"/>
    <w:rsid w:val="00A538D9"/>
    <w:rsid w:val="00A543DF"/>
    <w:rsid w:val="00A54A48"/>
    <w:rsid w:val="00A60485"/>
    <w:rsid w:val="00A617CB"/>
    <w:rsid w:val="00A628FF"/>
    <w:rsid w:val="00A62A7C"/>
    <w:rsid w:val="00A636B0"/>
    <w:rsid w:val="00A64EF4"/>
    <w:rsid w:val="00A660F0"/>
    <w:rsid w:val="00A66216"/>
    <w:rsid w:val="00A66DA1"/>
    <w:rsid w:val="00A66DB4"/>
    <w:rsid w:val="00A70A37"/>
    <w:rsid w:val="00A715ED"/>
    <w:rsid w:val="00A738DD"/>
    <w:rsid w:val="00A73E76"/>
    <w:rsid w:val="00A74474"/>
    <w:rsid w:val="00A75E19"/>
    <w:rsid w:val="00A76394"/>
    <w:rsid w:val="00A77FAE"/>
    <w:rsid w:val="00A80B31"/>
    <w:rsid w:val="00A81842"/>
    <w:rsid w:val="00A81A97"/>
    <w:rsid w:val="00A81E37"/>
    <w:rsid w:val="00A8209F"/>
    <w:rsid w:val="00A8434B"/>
    <w:rsid w:val="00A85110"/>
    <w:rsid w:val="00A86F49"/>
    <w:rsid w:val="00A87928"/>
    <w:rsid w:val="00A92D1E"/>
    <w:rsid w:val="00A92E05"/>
    <w:rsid w:val="00A9533C"/>
    <w:rsid w:val="00A95ADC"/>
    <w:rsid w:val="00A979C2"/>
    <w:rsid w:val="00AA1AF4"/>
    <w:rsid w:val="00AA3090"/>
    <w:rsid w:val="00AA3DC2"/>
    <w:rsid w:val="00AA3DF7"/>
    <w:rsid w:val="00AA42BA"/>
    <w:rsid w:val="00AA58EC"/>
    <w:rsid w:val="00AA5CDD"/>
    <w:rsid w:val="00AA6B41"/>
    <w:rsid w:val="00AA7307"/>
    <w:rsid w:val="00AA7D40"/>
    <w:rsid w:val="00AA7F30"/>
    <w:rsid w:val="00AB0353"/>
    <w:rsid w:val="00AB0917"/>
    <w:rsid w:val="00AB1BCA"/>
    <w:rsid w:val="00AB4799"/>
    <w:rsid w:val="00AB4A04"/>
    <w:rsid w:val="00AB4F66"/>
    <w:rsid w:val="00AB52BC"/>
    <w:rsid w:val="00AB5C76"/>
    <w:rsid w:val="00AB608E"/>
    <w:rsid w:val="00AB66C7"/>
    <w:rsid w:val="00AB6CA0"/>
    <w:rsid w:val="00AC25C6"/>
    <w:rsid w:val="00AC4A1D"/>
    <w:rsid w:val="00AC515D"/>
    <w:rsid w:val="00AD0229"/>
    <w:rsid w:val="00AD0E56"/>
    <w:rsid w:val="00AD32FD"/>
    <w:rsid w:val="00AD4407"/>
    <w:rsid w:val="00AD4526"/>
    <w:rsid w:val="00AD5002"/>
    <w:rsid w:val="00AD5142"/>
    <w:rsid w:val="00AD5667"/>
    <w:rsid w:val="00AE202A"/>
    <w:rsid w:val="00AF0153"/>
    <w:rsid w:val="00AF0999"/>
    <w:rsid w:val="00AF2F8A"/>
    <w:rsid w:val="00AF3C4B"/>
    <w:rsid w:val="00AF3E91"/>
    <w:rsid w:val="00AF4E3E"/>
    <w:rsid w:val="00AF6518"/>
    <w:rsid w:val="00AF74D6"/>
    <w:rsid w:val="00B04945"/>
    <w:rsid w:val="00B04979"/>
    <w:rsid w:val="00B04A3F"/>
    <w:rsid w:val="00B060E6"/>
    <w:rsid w:val="00B07739"/>
    <w:rsid w:val="00B07C7D"/>
    <w:rsid w:val="00B1003A"/>
    <w:rsid w:val="00B103DF"/>
    <w:rsid w:val="00B1108C"/>
    <w:rsid w:val="00B11421"/>
    <w:rsid w:val="00B115C3"/>
    <w:rsid w:val="00B1416D"/>
    <w:rsid w:val="00B15D44"/>
    <w:rsid w:val="00B218C6"/>
    <w:rsid w:val="00B22A1F"/>
    <w:rsid w:val="00B26886"/>
    <w:rsid w:val="00B300E8"/>
    <w:rsid w:val="00B3045E"/>
    <w:rsid w:val="00B30C62"/>
    <w:rsid w:val="00B33155"/>
    <w:rsid w:val="00B336A5"/>
    <w:rsid w:val="00B337C2"/>
    <w:rsid w:val="00B33D20"/>
    <w:rsid w:val="00B347F3"/>
    <w:rsid w:val="00B35B3E"/>
    <w:rsid w:val="00B36749"/>
    <w:rsid w:val="00B370A6"/>
    <w:rsid w:val="00B40A0A"/>
    <w:rsid w:val="00B40BD4"/>
    <w:rsid w:val="00B41426"/>
    <w:rsid w:val="00B419DB"/>
    <w:rsid w:val="00B4278F"/>
    <w:rsid w:val="00B435D3"/>
    <w:rsid w:val="00B43AE8"/>
    <w:rsid w:val="00B4472D"/>
    <w:rsid w:val="00B44B23"/>
    <w:rsid w:val="00B5277A"/>
    <w:rsid w:val="00B529D0"/>
    <w:rsid w:val="00B53480"/>
    <w:rsid w:val="00B5519A"/>
    <w:rsid w:val="00B57402"/>
    <w:rsid w:val="00B57837"/>
    <w:rsid w:val="00B57ECC"/>
    <w:rsid w:val="00B61DF1"/>
    <w:rsid w:val="00B62292"/>
    <w:rsid w:val="00B623AD"/>
    <w:rsid w:val="00B62E59"/>
    <w:rsid w:val="00B639F9"/>
    <w:rsid w:val="00B63A5E"/>
    <w:rsid w:val="00B63C5B"/>
    <w:rsid w:val="00B64652"/>
    <w:rsid w:val="00B67F79"/>
    <w:rsid w:val="00B7088A"/>
    <w:rsid w:val="00B73C1E"/>
    <w:rsid w:val="00B752CD"/>
    <w:rsid w:val="00B8031A"/>
    <w:rsid w:val="00B81020"/>
    <w:rsid w:val="00B81C05"/>
    <w:rsid w:val="00B825EF"/>
    <w:rsid w:val="00B84926"/>
    <w:rsid w:val="00B86F4B"/>
    <w:rsid w:val="00B9057C"/>
    <w:rsid w:val="00B91051"/>
    <w:rsid w:val="00B91213"/>
    <w:rsid w:val="00B9143A"/>
    <w:rsid w:val="00B95C7A"/>
    <w:rsid w:val="00B96F21"/>
    <w:rsid w:val="00B9768F"/>
    <w:rsid w:val="00B97C0E"/>
    <w:rsid w:val="00B97D2A"/>
    <w:rsid w:val="00B97F12"/>
    <w:rsid w:val="00BA0E69"/>
    <w:rsid w:val="00BA34C1"/>
    <w:rsid w:val="00BA35DC"/>
    <w:rsid w:val="00BA46FF"/>
    <w:rsid w:val="00BA64BF"/>
    <w:rsid w:val="00BA746C"/>
    <w:rsid w:val="00BA7E32"/>
    <w:rsid w:val="00BB1618"/>
    <w:rsid w:val="00BB1D02"/>
    <w:rsid w:val="00BB27CE"/>
    <w:rsid w:val="00BB31E2"/>
    <w:rsid w:val="00BB399F"/>
    <w:rsid w:val="00BB65A0"/>
    <w:rsid w:val="00BB68AE"/>
    <w:rsid w:val="00BB6F59"/>
    <w:rsid w:val="00BC0859"/>
    <w:rsid w:val="00BC1393"/>
    <w:rsid w:val="00BC4020"/>
    <w:rsid w:val="00BC4027"/>
    <w:rsid w:val="00BC612D"/>
    <w:rsid w:val="00BC7621"/>
    <w:rsid w:val="00BC7D1B"/>
    <w:rsid w:val="00BD2CDC"/>
    <w:rsid w:val="00BD3AF1"/>
    <w:rsid w:val="00BD471D"/>
    <w:rsid w:val="00BD48A7"/>
    <w:rsid w:val="00BD6545"/>
    <w:rsid w:val="00BD70E0"/>
    <w:rsid w:val="00BE0A56"/>
    <w:rsid w:val="00BE12D7"/>
    <w:rsid w:val="00BE28C4"/>
    <w:rsid w:val="00BE355B"/>
    <w:rsid w:val="00BE6F7F"/>
    <w:rsid w:val="00BF1DE6"/>
    <w:rsid w:val="00BF29FA"/>
    <w:rsid w:val="00BF6EFF"/>
    <w:rsid w:val="00C01520"/>
    <w:rsid w:val="00C0157E"/>
    <w:rsid w:val="00C015C1"/>
    <w:rsid w:val="00C03244"/>
    <w:rsid w:val="00C03379"/>
    <w:rsid w:val="00C05074"/>
    <w:rsid w:val="00C05A82"/>
    <w:rsid w:val="00C06421"/>
    <w:rsid w:val="00C116DF"/>
    <w:rsid w:val="00C11890"/>
    <w:rsid w:val="00C11EB2"/>
    <w:rsid w:val="00C13094"/>
    <w:rsid w:val="00C144A8"/>
    <w:rsid w:val="00C1466D"/>
    <w:rsid w:val="00C14676"/>
    <w:rsid w:val="00C1702F"/>
    <w:rsid w:val="00C178EC"/>
    <w:rsid w:val="00C215F8"/>
    <w:rsid w:val="00C23B34"/>
    <w:rsid w:val="00C25864"/>
    <w:rsid w:val="00C3166F"/>
    <w:rsid w:val="00C31782"/>
    <w:rsid w:val="00C31B03"/>
    <w:rsid w:val="00C342CA"/>
    <w:rsid w:val="00C34E97"/>
    <w:rsid w:val="00C363F4"/>
    <w:rsid w:val="00C37213"/>
    <w:rsid w:val="00C379AD"/>
    <w:rsid w:val="00C37E6D"/>
    <w:rsid w:val="00C37FE9"/>
    <w:rsid w:val="00C41775"/>
    <w:rsid w:val="00C41858"/>
    <w:rsid w:val="00C46E1B"/>
    <w:rsid w:val="00C50A55"/>
    <w:rsid w:val="00C51EDB"/>
    <w:rsid w:val="00C5251B"/>
    <w:rsid w:val="00C527A1"/>
    <w:rsid w:val="00C52C4B"/>
    <w:rsid w:val="00C53199"/>
    <w:rsid w:val="00C544F9"/>
    <w:rsid w:val="00C54811"/>
    <w:rsid w:val="00C57C23"/>
    <w:rsid w:val="00C612A9"/>
    <w:rsid w:val="00C63581"/>
    <w:rsid w:val="00C635C8"/>
    <w:rsid w:val="00C64439"/>
    <w:rsid w:val="00C6502C"/>
    <w:rsid w:val="00C66839"/>
    <w:rsid w:val="00C675E1"/>
    <w:rsid w:val="00C67EF2"/>
    <w:rsid w:val="00C70A70"/>
    <w:rsid w:val="00C715E4"/>
    <w:rsid w:val="00C71812"/>
    <w:rsid w:val="00C71EF4"/>
    <w:rsid w:val="00C7246B"/>
    <w:rsid w:val="00C746EC"/>
    <w:rsid w:val="00C75A95"/>
    <w:rsid w:val="00C76DD0"/>
    <w:rsid w:val="00C778B8"/>
    <w:rsid w:val="00C77AC3"/>
    <w:rsid w:val="00C77E19"/>
    <w:rsid w:val="00C8233E"/>
    <w:rsid w:val="00C859AB"/>
    <w:rsid w:val="00C859D9"/>
    <w:rsid w:val="00C86C76"/>
    <w:rsid w:val="00C87D7A"/>
    <w:rsid w:val="00C87E94"/>
    <w:rsid w:val="00C90B71"/>
    <w:rsid w:val="00C928B0"/>
    <w:rsid w:val="00C93544"/>
    <w:rsid w:val="00C938A7"/>
    <w:rsid w:val="00C944D5"/>
    <w:rsid w:val="00C95F7B"/>
    <w:rsid w:val="00C966FB"/>
    <w:rsid w:val="00CA1821"/>
    <w:rsid w:val="00CA6860"/>
    <w:rsid w:val="00CB0AA3"/>
    <w:rsid w:val="00CB0D8E"/>
    <w:rsid w:val="00CB208C"/>
    <w:rsid w:val="00CB2C0F"/>
    <w:rsid w:val="00CB2FBD"/>
    <w:rsid w:val="00CB3C89"/>
    <w:rsid w:val="00CB3E9F"/>
    <w:rsid w:val="00CB47F9"/>
    <w:rsid w:val="00CB49B7"/>
    <w:rsid w:val="00CB553C"/>
    <w:rsid w:val="00CC1BF4"/>
    <w:rsid w:val="00CC3E6F"/>
    <w:rsid w:val="00CC4E59"/>
    <w:rsid w:val="00CC6F80"/>
    <w:rsid w:val="00CC73FC"/>
    <w:rsid w:val="00CC78FF"/>
    <w:rsid w:val="00CC7CBC"/>
    <w:rsid w:val="00CD099B"/>
    <w:rsid w:val="00CD1D01"/>
    <w:rsid w:val="00CD2B74"/>
    <w:rsid w:val="00CD2C85"/>
    <w:rsid w:val="00CD523A"/>
    <w:rsid w:val="00CD6324"/>
    <w:rsid w:val="00CE1F57"/>
    <w:rsid w:val="00CE245F"/>
    <w:rsid w:val="00CE66BE"/>
    <w:rsid w:val="00CE7D40"/>
    <w:rsid w:val="00CF10FD"/>
    <w:rsid w:val="00CF1246"/>
    <w:rsid w:val="00CF1D0B"/>
    <w:rsid w:val="00CF230F"/>
    <w:rsid w:val="00CF2AD0"/>
    <w:rsid w:val="00CF3012"/>
    <w:rsid w:val="00CF3F40"/>
    <w:rsid w:val="00CF471C"/>
    <w:rsid w:val="00CF49FB"/>
    <w:rsid w:val="00CF525F"/>
    <w:rsid w:val="00CF7D86"/>
    <w:rsid w:val="00D00355"/>
    <w:rsid w:val="00D00A85"/>
    <w:rsid w:val="00D01931"/>
    <w:rsid w:val="00D02312"/>
    <w:rsid w:val="00D03B3F"/>
    <w:rsid w:val="00D050FA"/>
    <w:rsid w:val="00D0570B"/>
    <w:rsid w:val="00D057A4"/>
    <w:rsid w:val="00D059CF"/>
    <w:rsid w:val="00D07500"/>
    <w:rsid w:val="00D15377"/>
    <w:rsid w:val="00D15699"/>
    <w:rsid w:val="00D2063C"/>
    <w:rsid w:val="00D207C9"/>
    <w:rsid w:val="00D21A05"/>
    <w:rsid w:val="00D22C54"/>
    <w:rsid w:val="00D24919"/>
    <w:rsid w:val="00D255E5"/>
    <w:rsid w:val="00D25A55"/>
    <w:rsid w:val="00D26E55"/>
    <w:rsid w:val="00D27852"/>
    <w:rsid w:val="00D27B64"/>
    <w:rsid w:val="00D3226C"/>
    <w:rsid w:val="00D3295F"/>
    <w:rsid w:val="00D336DF"/>
    <w:rsid w:val="00D350D1"/>
    <w:rsid w:val="00D36907"/>
    <w:rsid w:val="00D40246"/>
    <w:rsid w:val="00D40E57"/>
    <w:rsid w:val="00D41714"/>
    <w:rsid w:val="00D42B63"/>
    <w:rsid w:val="00D435B8"/>
    <w:rsid w:val="00D46888"/>
    <w:rsid w:val="00D47265"/>
    <w:rsid w:val="00D47FEB"/>
    <w:rsid w:val="00D50609"/>
    <w:rsid w:val="00D5130F"/>
    <w:rsid w:val="00D51463"/>
    <w:rsid w:val="00D51C0C"/>
    <w:rsid w:val="00D5355D"/>
    <w:rsid w:val="00D549F9"/>
    <w:rsid w:val="00D55ECC"/>
    <w:rsid w:val="00D56BC9"/>
    <w:rsid w:val="00D61816"/>
    <w:rsid w:val="00D62501"/>
    <w:rsid w:val="00D636C5"/>
    <w:rsid w:val="00D6486C"/>
    <w:rsid w:val="00D64CD2"/>
    <w:rsid w:val="00D65370"/>
    <w:rsid w:val="00D675BC"/>
    <w:rsid w:val="00D70960"/>
    <w:rsid w:val="00D718D2"/>
    <w:rsid w:val="00D71B12"/>
    <w:rsid w:val="00D72E9A"/>
    <w:rsid w:val="00D72F4F"/>
    <w:rsid w:val="00D74636"/>
    <w:rsid w:val="00D76D62"/>
    <w:rsid w:val="00D773C1"/>
    <w:rsid w:val="00D81E41"/>
    <w:rsid w:val="00D81F0D"/>
    <w:rsid w:val="00D82569"/>
    <w:rsid w:val="00D82BF6"/>
    <w:rsid w:val="00D85BEB"/>
    <w:rsid w:val="00D85E60"/>
    <w:rsid w:val="00D921A7"/>
    <w:rsid w:val="00D92385"/>
    <w:rsid w:val="00D937A3"/>
    <w:rsid w:val="00D94FAC"/>
    <w:rsid w:val="00D96979"/>
    <w:rsid w:val="00DA1DD4"/>
    <w:rsid w:val="00DA1E85"/>
    <w:rsid w:val="00DA2CD3"/>
    <w:rsid w:val="00DA3F21"/>
    <w:rsid w:val="00DA3FF1"/>
    <w:rsid w:val="00DA6970"/>
    <w:rsid w:val="00DA799C"/>
    <w:rsid w:val="00DB0790"/>
    <w:rsid w:val="00DB1E25"/>
    <w:rsid w:val="00DB1F48"/>
    <w:rsid w:val="00DB2ECD"/>
    <w:rsid w:val="00DB334E"/>
    <w:rsid w:val="00DB4B3E"/>
    <w:rsid w:val="00DB7C9D"/>
    <w:rsid w:val="00DC1D03"/>
    <w:rsid w:val="00DC2885"/>
    <w:rsid w:val="00DC2F7B"/>
    <w:rsid w:val="00DC3156"/>
    <w:rsid w:val="00DC5B0E"/>
    <w:rsid w:val="00DC64CE"/>
    <w:rsid w:val="00DC6D20"/>
    <w:rsid w:val="00DC6E85"/>
    <w:rsid w:val="00DC74C5"/>
    <w:rsid w:val="00DD058E"/>
    <w:rsid w:val="00DD6045"/>
    <w:rsid w:val="00DD7386"/>
    <w:rsid w:val="00DE0A7B"/>
    <w:rsid w:val="00DE16B8"/>
    <w:rsid w:val="00DE3F21"/>
    <w:rsid w:val="00DE4549"/>
    <w:rsid w:val="00DE5B5B"/>
    <w:rsid w:val="00DE5E4F"/>
    <w:rsid w:val="00DF073F"/>
    <w:rsid w:val="00DF164A"/>
    <w:rsid w:val="00DF1A9A"/>
    <w:rsid w:val="00DF335F"/>
    <w:rsid w:val="00DF440E"/>
    <w:rsid w:val="00DF54DE"/>
    <w:rsid w:val="00DF55E1"/>
    <w:rsid w:val="00DF5EEC"/>
    <w:rsid w:val="00E00720"/>
    <w:rsid w:val="00E008E3"/>
    <w:rsid w:val="00E0573B"/>
    <w:rsid w:val="00E057FE"/>
    <w:rsid w:val="00E10CE4"/>
    <w:rsid w:val="00E10D1E"/>
    <w:rsid w:val="00E10FEA"/>
    <w:rsid w:val="00E11905"/>
    <w:rsid w:val="00E13782"/>
    <w:rsid w:val="00E1409D"/>
    <w:rsid w:val="00E14C6A"/>
    <w:rsid w:val="00E1533A"/>
    <w:rsid w:val="00E15705"/>
    <w:rsid w:val="00E167DC"/>
    <w:rsid w:val="00E17088"/>
    <w:rsid w:val="00E212BB"/>
    <w:rsid w:val="00E22340"/>
    <w:rsid w:val="00E225C8"/>
    <w:rsid w:val="00E22BC9"/>
    <w:rsid w:val="00E24C1D"/>
    <w:rsid w:val="00E260F9"/>
    <w:rsid w:val="00E26181"/>
    <w:rsid w:val="00E27344"/>
    <w:rsid w:val="00E277BB"/>
    <w:rsid w:val="00E3041F"/>
    <w:rsid w:val="00E315B5"/>
    <w:rsid w:val="00E33614"/>
    <w:rsid w:val="00E33BC2"/>
    <w:rsid w:val="00E33CB8"/>
    <w:rsid w:val="00E36AB5"/>
    <w:rsid w:val="00E37C27"/>
    <w:rsid w:val="00E40C4A"/>
    <w:rsid w:val="00E41160"/>
    <w:rsid w:val="00E413F1"/>
    <w:rsid w:val="00E42BED"/>
    <w:rsid w:val="00E43218"/>
    <w:rsid w:val="00E46B02"/>
    <w:rsid w:val="00E51020"/>
    <w:rsid w:val="00E5189A"/>
    <w:rsid w:val="00E5212B"/>
    <w:rsid w:val="00E5286D"/>
    <w:rsid w:val="00E54EAC"/>
    <w:rsid w:val="00E55852"/>
    <w:rsid w:val="00E55E06"/>
    <w:rsid w:val="00E571AA"/>
    <w:rsid w:val="00E57D5C"/>
    <w:rsid w:val="00E60030"/>
    <w:rsid w:val="00E619A1"/>
    <w:rsid w:val="00E64222"/>
    <w:rsid w:val="00E65C6F"/>
    <w:rsid w:val="00E660A4"/>
    <w:rsid w:val="00E66D9B"/>
    <w:rsid w:val="00E66E33"/>
    <w:rsid w:val="00E70258"/>
    <w:rsid w:val="00E704DB"/>
    <w:rsid w:val="00E723F7"/>
    <w:rsid w:val="00E72588"/>
    <w:rsid w:val="00E7309D"/>
    <w:rsid w:val="00E74414"/>
    <w:rsid w:val="00E74CB3"/>
    <w:rsid w:val="00E81036"/>
    <w:rsid w:val="00E83B67"/>
    <w:rsid w:val="00E85D3F"/>
    <w:rsid w:val="00E9097B"/>
    <w:rsid w:val="00E92FB8"/>
    <w:rsid w:val="00E93AA2"/>
    <w:rsid w:val="00E96F67"/>
    <w:rsid w:val="00E97C23"/>
    <w:rsid w:val="00E97C53"/>
    <w:rsid w:val="00EA0179"/>
    <w:rsid w:val="00EA0E68"/>
    <w:rsid w:val="00EA2991"/>
    <w:rsid w:val="00EA4A81"/>
    <w:rsid w:val="00EA5A05"/>
    <w:rsid w:val="00EA70C4"/>
    <w:rsid w:val="00EA7289"/>
    <w:rsid w:val="00EB0685"/>
    <w:rsid w:val="00EB3E5D"/>
    <w:rsid w:val="00EB4FB0"/>
    <w:rsid w:val="00EB7B90"/>
    <w:rsid w:val="00EC0FF0"/>
    <w:rsid w:val="00EC2538"/>
    <w:rsid w:val="00EC2D8D"/>
    <w:rsid w:val="00EC42E1"/>
    <w:rsid w:val="00EC4EFA"/>
    <w:rsid w:val="00EC707D"/>
    <w:rsid w:val="00ED0401"/>
    <w:rsid w:val="00ED1B16"/>
    <w:rsid w:val="00ED2769"/>
    <w:rsid w:val="00ED2ABB"/>
    <w:rsid w:val="00ED5A3D"/>
    <w:rsid w:val="00ED5B82"/>
    <w:rsid w:val="00ED64FC"/>
    <w:rsid w:val="00EE15B4"/>
    <w:rsid w:val="00EE4089"/>
    <w:rsid w:val="00EE4939"/>
    <w:rsid w:val="00EE5AC2"/>
    <w:rsid w:val="00EE5FA7"/>
    <w:rsid w:val="00EF0BC9"/>
    <w:rsid w:val="00EF0E0F"/>
    <w:rsid w:val="00EF1C44"/>
    <w:rsid w:val="00EF3240"/>
    <w:rsid w:val="00EF3C2C"/>
    <w:rsid w:val="00EF3C98"/>
    <w:rsid w:val="00EF4A4A"/>
    <w:rsid w:val="00EF4C14"/>
    <w:rsid w:val="00EF529D"/>
    <w:rsid w:val="00EF6E1A"/>
    <w:rsid w:val="00EF7258"/>
    <w:rsid w:val="00F00588"/>
    <w:rsid w:val="00F00C9C"/>
    <w:rsid w:val="00F0332C"/>
    <w:rsid w:val="00F0372D"/>
    <w:rsid w:val="00F0389E"/>
    <w:rsid w:val="00F05FAE"/>
    <w:rsid w:val="00F07BE2"/>
    <w:rsid w:val="00F12904"/>
    <w:rsid w:val="00F137FF"/>
    <w:rsid w:val="00F13EC7"/>
    <w:rsid w:val="00F14731"/>
    <w:rsid w:val="00F14C86"/>
    <w:rsid w:val="00F172E8"/>
    <w:rsid w:val="00F17746"/>
    <w:rsid w:val="00F20C9D"/>
    <w:rsid w:val="00F21119"/>
    <w:rsid w:val="00F2162E"/>
    <w:rsid w:val="00F22C55"/>
    <w:rsid w:val="00F22FC4"/>
    <w:rsid w:val="00F24846"/>
    <w:rsid w:val="00F2712E"/>
    <w:rsid w:val="00F272BB"/>
    <w:rsid w:val="00F27D1E"/>
    <w:rsid w:val="00F3083B"/>
    <w:rsid w:val="00F31ED2"/>
    <w:rsid w:val="00F32A0C"/>
    <w:rsid w:val="00F349CC"/>
    <w:rsid w:val="00F3567B"/>
    <w:rsid w:val="00F35C3A"/>
    <w:rsid w:val="00F3663B"/>
    <w:rsid w:val="00F36C3F"/>
    <w:rsid w:val="00F409F5"/>
    <w:rsid w:val="00F43F50"/>
    <w:rsid w:val="00F45207"/>
    <w:rsid w:val="00F4569A"/>
    <w:rsid w:val="00F47704"/>
    <w:rsid w:val="00F4777A"/>
    <w:rsid w:val="00F51A61"/>
    <w:rsid w:val="00F527F4"/>
    <w:rsid w:val="00F53723"/>
    <w:rsid w:val="00F53D97"/>
    <w:rsid w:val="00F55ED8"/>
    <w:rsid w:val="00F57E79"/>
    <w:rsid w:val="00F61502"/>
    <w:rsid w:val="00F6556D"/>
    <w:rsid w:val="00F65987"/>
    <w:rsid w:val="00F67326"/>
    <w:rsid w:val="00F7201A"/>
    <w:rsid w:val="00F72F22"/>
    <w:rsid w:val="00F742CD"/>
    <w:rsid w:val="00F746F5"/>
    <w:rsid w:val="00F772F3"/>
    <w:rsid w:val="00F778D1"/>
    <w:rsid w:val="00F81C6C"/>
    <w:rsid w:val="00F81E89"/>
    <w:rsid w:val="00F821B4"/>
    <w:rsid w:val="00F829AE"/>
    <w:rsid w:val="00F83410"/>
    <w:rsid w:val="00F83B6B"/>
    <w:rsid w:val="00F858FB"/>
    <w:rsid w:val="00F86310"/>
    <w:rsid w:val="00F87C31"/>
    <w:rsid w:val="00F9059C"/>
    <w:rsid w:val="00F910AF"/>
    <w:rsid w:val="00F94CA3"/>
    <w:rsid w:val="00F958DF"/>
    <w:rsid w:val="00F9598B"/>
    <w:rsid w:val="00F9682B"/>
    <w:rsid w:val="00F9752E"/>
    <w:rsid w:val="00F97BDD"/>
    <w:rsid w:val="00F97CC5"/>
    <w:rsid w:val="00FA13B4"/>
    <w:rsid w:val="00FA486D"/>
    <w:rsid w:val="00FB1660"/>
    <w:rsid w:val="00FB1B2D"/>
    <w:rsid w:val="00FB28F9"/>
    <w:rsid w:val="00FB3D9A"/>
    <w:rsid w:val="00FB4A9C"/>
    <w:rsid w:val="00FB51AE"/>
    <w:rsid w:val="00FB6F2D"/>
    <w:rsid w:val="00FB7418"/>
    <w:rsid w:val="00FC13FA"/>
    <w:rsid w:val="00FC177E"/>
    <w:rsid w:val="00FC2208"/>
    <w:rsid w:val="00FC2DDA"/>
    <w:rsid w:val="00FC3EB9"/>
    <w:rsid w:val="00FC4460"/>
    <w:rsid w:val="00FC4E6E"/>
    <w:rsid w:val="00FC55DB"/>
    <w:rsid w:val="00FC5A26"/>
    <w:rsid w:val="00FC5A57"/>
    <w:rsid w:val="00FC7634"/>
    <w:rsid w:val="00FC7F0E"/>
    <w:rsid w:val="00FD26CC"/>
    <w:rsid w:val="00FD2E1A"/>
    <w:rsid w:val="00FD4176"/>
    <w:rsid w:val="00FD47CA"/>
    <w:rsid w:val="00FD4906"/>
    <w:rsid w:val="00FD7956"/>
    <w:rsid w:val="00FD7F5D"/>
    <w:rsid w:val="00FD7FA3"/>
    <w:rsid w:val="00FE21B3"/>
    <w:rsid w:val="00FE2C74"/>
    <w:rsid w:val="00FE3FD2"/>
    <w:rsid w:val="00FE43C7"/>
    <w:rsid w:val="00FE4427"/>
    <w:rsid w:val="00FE4CDF"/>
    <w:rsid w:val="00FE4F91"/>
    <w:rsid w:val="00FE501C"/>
    <w:rsid w:val="00FE6CCA"/>
    <w:rsid w:val="00FE6F96"/>
    <w:rsid w:val="00FE76FB"/>
    <w:rsid w:val="00FF19BD"/>
    <w:rsid w:val="00FF2F35"/>
    <w:rsid w:val="00FF3267"/>
    <w:rsid w:val="00FF3B14"/>
    <w:rsid w:val="00FF446E"/>
    <w:rsid w:val="00FF585D"/>
    <w:rsid w:val="00FF6E67"/>
    <w:rsid w:val="00FF79FA"/>
    <w:rsid w:val="00FF7AB9"/>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DBD2D6F"/>
    <w:rsid w:val="60373727"/>
    <w:rsid w:val="610A6640"/>
    <w:rsid w:val="63617521"/>
    <w:rsid w:val="67806CC6"/>
    <w:rsid w:val="6B4707BD"/>
    <w:rsid w:val="6CA11577"/>
    <w:rsid w:val="6DC84BB7"/>
    <w:rsid w:val="6E64167E"/>
    <w:rsid w:val="6E9A13B9"/>
    <w:rsid w:val="6E9E2E34"/>
    <w:rsid w:val="6FA612B7"/>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BAB46CA"/>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nhideWhenUsed="0" w:uiPriority="99"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ocked="1"/>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99"/>
    <w:pPr>
      <w:keepNext/>
      <w:keepLines/>
      <w:spacing w:beforeLines="50" w:line="560" w:lineRule="exact"/>
      <w:jc w:val="left"/>
      <w:outlineLvl w:val="0"/>
    </w:pPr>
    <w:rPr>
      <w:rFonts w:ascii="仿宋" w:hAnsi="宋体" w:eastAsia="仿宋"/>
      <w:b/>
      <w:bCs/>
      <w:kern w:val="44"/>
      <w:sz w:val="36"/>
      <w:szCs w:val="44"/>
    </w:rPr>
  </w:style>
  <w:style w:type="paragraph" w:styleId="3">
    <w:name w:val="heading 3"/>
    <w:basedOn w:val="4"/>
    <w:next w:val="1"/>
    <w:link w:val="23"/>
    <w:qFormat/>
    <w:uiPriority w:val="99"/>
    <w:pPr>
      <w:spacing w:before="260" w:after="260" w:line="416" w:lineRule="auto"/>
      <w:outlineLvl w:val="2"/>
    </w:pPr>
    <w:rPr>
      <w:b/>
      <w:sz w:val="32"/>
      <w:szCs w:val="32"/>
    </w:rPr>
  </w:style>
  <w:style w:type="paragraph" w:styleId="4">
    <w:name w:val="heading 4"/>
    <w:basedOn w:val="1"/>
    <w:next w:val="1"/>
    <w:unhideWhenUsed/>
    <w:qFormat/>
    <w:locked/>
    <w:uiPriority w:val="9"/>
    <w:pPr>
      <w:keepNext/>
      <w:keepLines/>
      <w:spacing w:beforeLines="100" w:line="377" w:lineRule="auto"/>
      <w:outlineLvl w:val="3"/>
    </w:pPr>
    <w:rPr>
      <w:rFonts w:ascii="Cambria" w:hAnsi="Cambria" w:eastAsia="黑体"/>
      <w:bCs/>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09"/>
    <w:qFormat/>
    <w:uiPriority w:val="0"/>
    <w:pPr>
      <w:spacing w:line="360" w:lineRule="auto"/>
      <w:ind w:firstLine="420"/>
    </w:pPr>
    <w:rPr>
      <w:sz w:val="24"/>
      <w:szCs w:val="20"/>
    </w:rPr>
  </w:style>
  <w:style w:type="paragraph" w:styleId="6">
    <w:name w:val="List Bullet 3"/>
    <w:basedOn w:val="1"/>
    <w:qFormat/>
    <w:uiPriority w:val="0"/>
    <w:pPr>
      <w:tabs>
        <w:tab w:val="left" w:pos="1200"/>
      </w:tabs>
      <w:adjustRightInd w:val="0"/>
      <w:snapToGrid w:val="0"/>
      <w:spacing w:line="360" w:lineRule="exact"/>
      <w:ind w:left="1200" w:hanging="360" w:firstLineChars="200"/>
      <w:jc w:val="left"/>
      <w:textAlignment w:val="baseline"/>
    </w:pPr>
    <w:rPr>
      <w:rFonts w:eastAsia="仿宋_GB2312"/>
      <w:snapToGrid w:val="0"/>
      <w:kern w:val="24"/>
      <w:sz w:val="24"/>
      <w:szCs w:val="20"/>
    </w:rPr>
  </w:style>
  <w:style w:type="paragraph" w:styleId="7">
    <w:name w:val="Body Text"/>
    <w:basedOn w:val="1"/>
    <w:link w:val="31"/>
    <w:qFormat/>
    <w:uiPriority w:val="0"/>
    <w:pPr>
      <w:spacing w:after="120"/>
    </w:pPr>
    <w:rPr>
      <w:sz w:val="24"/>
      <w:szCs w:val="20"/>
    </w:rPr>
  </w:style>
  <w:style w:type="paragraph" w:styleId="8">
    <w:name w:val="Body Text Indent"/>
    <w:basedOn w:val="1"/>
    <w:link w:val="37"/>
    <w:qFormat/>
    <w:uiPriority w:val="99"/>
    <w:pPr>
      <w:ind w:firstLine="645"/>
    </w:pPr>
    <w:rPr>
      <w:rFonts w:ascii="华文仿宋" w:hAnsi="华文仿宋" w:eastAsia="华文仿宋"/>
      <w:sz w:val="32"/>
    </w:rPr>
  </w:style>
  <w:style w:type="paragraph" w:styleId="9">
    <w:name w:val="Date"/>
    <w:basedOn w:val="1"/>
    <w:next w:val="1"/>
    <w:link w:val="35"/>
    <w:qFormat/>
    <w:uiPriority w:val="99"/>
    <w:pPr>
      <w:ind w:left="100" w:leftChars="2500"/>
    </w:pPr>
  </w:style>
  <w:style w:type="paragraph" w:styleId="10">
    <w:name w:val="Body Text Indent 2"/>
    <w:basedOn w:val="1"/>
    <w:link w:val="33"/>
    <w:qFormat/>
    <w:uiPriority w:val="99"/>
    <w:pPr>
      <w:spacing w:after="120" w:line="480" w:lineRule="auto"/>
      <w:ind w:left="420" w:leftChars="200"/>
    </w:pPr>
  </w:style>
  <w:style w:type="paragraph" w:styleId="11">
    <w:name w:val="Balloon Text"/>
    <w:basedOn w:val="1"/>
    <w:link w:val="36"/>
    <w:semiHidden/>
    <w:qFormat/>
    <w:uiPriority w:val="99"/>
    <w:rPr>
      <w:sz w:val="18"/>
      <w:szCs w:val="18"/>
    </w:rPr>
  </w:style>
  <w:style w:type="paragraph" w:styleId="12">
    <w:name w:val="footer"/>
    <w:basedOn w:val="1"/>
    <w:link w:val="34"/>
    <w:qFormat/>
    <w:uiPriority w:val="0"/>
    <w:pPr>
      <w:tabs>
        <w:tab w:val="center" w:pos="4153"/>
        <w:tab w:val="right" w:pos="8306"/>
      </w:tabs>
      <w:snapToGrid w:val="0"/>
      <w:jc w:val="left"/>
    </w:pPr>
    <w:rPr>
      <w:sz w:val="18"/>
      <w:szCs w:val="20"/>
    </w:rPr>
  </w:style>
  <w:style w:type="paragraph" w:styleId="13">
    <w:name w:val="header"/>
    <w:basedOn w:val="1"/>
    <w:link w:val="32"/>
    <w:qFormat/>
    <w:uiPriority w:val="99"/>
    <w:pPr>
      <w:pBdr>
        <w:bottom w:val="single" w:color="auto" w:sz="6" w:space="1"/>
      </w:pBdr>
      <w:tabs>
        <w:tab w:val="center" w:pos="4153"/>
        <w:tab w:val="right" w:pos="8306"/>
      </w:tabs>
      <w:snapToGrid w:val="0"/>
      <w:jc w:val="center"/>
    </w:pPr>
    <w:rPr>
      <w:sz w:val="18"/>
      <w:szCs w:val="20"/>
    </w:rPr>
  </w:style>
  <w:style w:type="paragraph" w:styleId="14">
    <w:name w:val="Subtitle"/>
    <w:basedOn w:val="1"/>
    <w:next w:val="1"/>
    <w:link w:val="113"/>
    <w:qFormat/>
    <w:locked/>
    <w:uiPriority w:val="0"/>
    <w:pPr>
      <w:ind w:firstLine="567"/>
      <w:jc w:val="left"/>
      <w:outlineLvl w:val="1"/>
    </w:pPr>
    <w:rPr>
      <w:rFonts w:ascii="Cambria" w:hAnsi="Cambria" w:eastAsia="仿宋_GB2312"/>
      <w:b/>
      <w:bCs/>
      <w:color w:val="000000"/>
      <w:kern w:val="28"/>
      <w:sz w:val="28"/>
      <w:szCs w:val="32"/>
    </w:rPr>
  </w:style>
  <w:style w:type="paragraph" w:styleId="15">
    <w:name w:val="Body Text Indent 3"/>
    <w:basedOn w:val="1"/>
    <w:link w:val="38"/>
    <w:qFormat/>
    <w:uiPriority w:val="99"/>
    <w:pPr>
      <w:spacing w:after="120"/>
      <w:ind w:left="420" w:leftChars="200"/>
    </w:pPr>
    <w:rPr>
      <w:sz w:val="16"/>
      <w:szCs w:val="16"/>
    </w:rPr>
  </w:style>
  <w:style w:type="paragraph" w:styleId="16">
    <w:name w:val="Title"/>
    <w:basedOn w:val="1"/>
    <w:next w:val="1"/>
    <w:link w:val="63"/>
    <w:qFormat/>
    <w:uiPriority w:val="99"/>
    <w:pPr>
      <w:widowControl/>
      <w:spacing w:line="520" w:lineRule="exact"/>
      <w:jc w:val="left"/>
    </w:pPr>
    <w:rPr>
      <w:rFonts w:eastAsia="仿宋"/>
      <w:b/>
      <w:bCs/>
      <w:kern w:val="44"/>
      <w:sz w:val="32"/>
      <w:szCs w:val="32"/>
    </w:rPr>
  </w:style>
  <w:style w:type="paragraph" w:styleId="17">
    <w:name w:val="Body Text First Indent"/>
    <w:basedOn w:val="7"/>
    <w:link w:val="65"/>
    <w:qFormat/>
    <w:uiPriority w:val="99"/>
    <w:pPr>
      <w:widowControl/>
      <w:spacing w:line="520" w:lineRule="exact"/>
      <w:ind w:firstLine="420" w:firstLineChars="100"/>
      <w:jc w:val="left"/>
    </w:pPr>
    <w:rPr>
      <w:rFonts w:eastAsia="仿宋_GB2312"/>
      <w:kern w:val="0"/>
    </w:rPr>
  </w:style>
  <w:style w:type="table" w:styleId="19">
    <w:name w:val="Table Grid"/>
    <w:basedOn w:val="18"/>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99"/>
    <w:rPr>
      <w:rFonts w:cs="Times New Roman"/>
    </w:rPr>
  </w:style>
  <w:style w:type="character" w:customStyle="1" w:styleId="22">
    <w:name w:val="标题 1 Char"/>
    <w:basedOn w:val="20"/>
    <w:link w:val="2"/>
    <w:qFormat/>
    <w:locked/>
    <w:uiPriority w:val="99"/>
    <w:rPr>
      <w:rFonts w:ascii="仿宋" w:hAnsi="宋体" w:eastAsia="仿宋" w:cs="Times New Roman"/>
      <w:b/>
      <w:bCs/>
      <w:kern w:val="44"/>
      <w:sz w:val="44"/>
      <w:szCs w:val="44"/>
    </w:rPr>
  </w:style>
  <w:style w:type="character" w:customStyle="1" w:styleId="23">
    <w:name w:val="标题 3 Char"/>
    <w:basedOn w:val="20"/>
    <w:link w:val="3"/>
    <w:qFormat/>
    <w:locked/>
    <w:uiPriority w:val="99"/>
    <w:rPr>
      <w:rFonts w:cs="Times New Roman"/>
      <w:b/>
      <w:bCs/>
      <w:kern w:val="2"/>
      <w:sz w:val="32"/>
      <w:szCs w:val="32"/>
    </w:rPr>
  </w:style>
  <w:style w:type="character" w:customStyle="1" w:styleId="24">
    <w:name w:val="Header Char"/>
    <w:qFormat/>
    <w:locked/>
    <w:uiPriority w:val="99"/>
    <w:rPr>
      <w:kern w:val="2"/>
      <w:sz w:val="18"/>
    </w:rPr>
  </w:style>
  <w:style w:type="character" w:customStyle="1" w:styleId="25">
    <w:name w:val="Footer Char"/>
    <w:qFormat/>
    <w:locked/>
    <w:uiPriority w:val="99"/>
    <w:rPr>
      <w:kern w:val="2"/>
      <w:sz w:val="18"/>
    </w:rPr>
  </w:style>
  <w:style w:type="character" w:customStyle="1" w:styleId="26">
    <w:name w:val="正文文字110 Char Char"/>
    <w:link w:val="27"/>
    <w:qFormat/>
    <w:locked/>
    <w:uiPriority w:val="99"/>
    <w:rPr>
      <w:kern w:val="2"/>
      <w:sz w:val="24"/>
    </w:rPr>
  </w:style>
  <w:style w:type="paragraph" w:customStyle="1" w:styleId="27">
    <w:name w:val="正文文字110"/>
    <w:basedOn w:val="1"/>
    <w:link w:val="26"/>
    <w:qFormat/>
    <w:uiPriority w:val="99"/>
    <w:pPr>
      <w:spacing w:line="460" w:lineRule="exact"/>
      <w:ind w:firstLine="200" w:firstLineChars="200"/>
    </w:pPr>
    <w:rPr>
      <w:sz w:val="24"/>
      <w:szCs w:val="20"/>
    </w:rPr>
  </w:style>
  <w:style w:type="character" w:customStyle="1" w:styleId="28">
    <w:name w:val="样式 样式 报告书正文 + 首行缩进:  2 字符 + 蓝色 Char"/>
    <w:link w:val="29"/>
    <w:qFormat/>
    <w:locked/>
    <w:uiPriority w:val="99"/>
    <w:rPr>
      <w:color w:val="0000FF"/>
      <w:kern w:val="2"/>
      <w:sz w:val="24"/>
    </w:rPr>
  </w:style>
  <w:style w:type="paragraph" w:customStyle="1" w:styleId="29">
    <w:name w:val="样式 样式 报告书正文 + 首行缩进:  2 字符 + 蓝色"/>
    <w:basedOn w:val="1"/>
    <w:link w:val="28"/>
    <w:qFormat/>
    <w:uiPriority w:val="99"/>
    <w:pPr>
      <w:widowControl/>
      <w:adjustRightInd w:val="0"/>
      <w:jc w:val="left"/>
      <w:textAlignment w:val="baseline"/>
    </w:pPr>
    <w:rPr>
      <w:color w:val="0000FF"/>
      <w:sz w:val="24"/>
      <w:szCs w:val="20"/>
    </w:rPr>
  </w:style>
  <w:style w:type="character" w:customStyle="1" w:styleId="30">
    <w:name w:val="Body Text Char"/>
    <w:qFormat/>
    <w:locked/>
    <w:uiPriority w:val="99"/>
    <w:rPr>
      <w:kern w:val="2"/>
      <w:sz w:val="24"/>
    </w:rPr>
  </w:style>
  <w:style w:type="character" w:customStyle="1" w:styleId="31">
    <w:name w:val="正文文本 Char"/>
    <w:basedOn w:val="20"/>
    <w:link w:val="7"/>
    <w:semiHidden/>
    <w:qFormat/>
    <w:locked/>
    <w:uiPriority w:val="99"/>
    <w:rPr>
      <w:rFonts w:cs="Times New Roman"/>
      <w:sz w:val="24"/>
      <w:szCs w:val="24"/>
    </w:rPr>
  </w:style>
  <w:style w:type="character" w:customStyle="1" w:styleId="32">
    <w:name w:val="页眉 Char"/>
    <w:basedOn w:val="20"/>
    <w:link w:val="13"/>
    <w:semiHidden/>
    <w:qFormat/>
    <w:locked/>
    <w:uiPriority w:val="99"/>
    <w:rPr>
      <w:rFonts w:cs="Times New Roman"/>
      <w:sz w:val="18"/>
      <w:szCs w:val="18"/>
    </w:rPr>
  </w:style>
  <w:style w:type="character" w:customStyle="1" w:styleId="33">
    <w:name w:val="正文文本缩进 2 Char"/>
    <w:basedOn w:val="20"/>
    <w:link w:val="10"/>
    <w:semiHidden/>
    <w:qFormat/>
    <w:locked/>
    <w:uiPriority w:val="99"/>
    <w:rPr>
      <w:rFonts w:cs="Times New Roman"/>
      <w:sz w:val="24"/>
      <w:szCs w:val="24"/>
    </w:rPr>
  </w:style>
  <w:style w:type="character" w:customStyle="1" w:styleId="34">
    <w:name w:val="页脚 Char"/>
    <w:basedOn w:val="20"/>
    <w:link w:val="12"/>
    <w:qFormat/>
    <w:locked/>
    <w:uiPriority w:val="0"/>
    <w:rPr>
      <w:rFonts w:cs="Times New Roman"/>
      <w:sz w:val="18"/>
      <w:szCs w:val="18"/>
    </w:rPr>
  </w:style>
  <w:style w:type="character" w:customStyle="1" w:styleId="35">
    <w:name w:val="日期 Char"/>
    <w:basedOn w:val="20"/>
    <w:link w:val="9"/>
    <w:semiHidden/>
    <w:qFormat/>
    <w:locked/>
    <w:uiPriority w:val="99"/>
    <w:rPr>
      <w:rFonts w:cs="Times New Roman"/>
      <w:sz w:val="24"/>
      <w:szCs w:val="24"/>
    </w:rPr>
  </w:style>
  <w:style w:type="character" w:customStyle="1" w:styleId="36">
    <w:name w:val="批注框文本 Char"/>
    <w:basedOn w:val="20"/>
    <w:link w:val="11"/>
    <w:semiHidden/>
    <w:qFormat/>
    <w:locked/>
    <w:uiPriority w:val="99"/>
    <w:rPr>
      <w:rFonts w:cs="Times New Roman"/>
      <w:sz w:val="2"/>
    </w:rPr>
  </w:style>
  <w:style w:type="character" w:customStyle="1" w:styleId="37">
    <w:name w:val="正文文本缩进 Char"/>
    <w:basedOn w:val="20"/>
    <w:link w:val="8"/>
    <w:semiHidden/>
    <w:qFormat/>
    <w:locked/>
    <w:uiPriority w:val="99"/>
    <w:rPr>
      <w:rFonts w:cs="Times New Roman"/>
      <w:sz w:val="24"/>
      <w:szCs w:val="24"/>
    </w:rPr>
  </w:style>
  <w:style w:type="character" w:customStyle="1" w:styleId="38">
    <w:name w:val="正文文本缩进 3 Char"/>
    <w:basedOn w:val="20"/>
    <w:link w:val="15"/>
    <w:semiHidden/>
    <w:qFormat/>
    <w:locked/>
    <w:uiPriority w:val="99"/>
    <w:rPr>
      <w:rFonts w:cs="Times New Roman"/>
      <w:sz w:val="16"/>
      <w:szCs w:val="16"/>
    </w:rPr>
  </w:style>
  <w:style w:type="paragraph" w:customStyle="1" w:styleId="39">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40">
    <w:name w:val="gg_body"/>
    <w:basedOn w:val="1"/>
    <w:qFormat/>
    <w:uiPriority w:val="99"/>
    <w:pPr>
      <w:spacing w:line="460" w:lineRule="exact"/>
      <w:ind w:firstLine="200" w:firstLineChars="200"/>
    </w:pPr>
    <w:rPr>
      <w:rFonts w:ascii="宋体" w:hAnsi="宋体"/>
      <w:sz w:val="24"/>
      <w:u w:color="000000"/>
    </w:rPr>
  </w:style>
  <w:style w:type="paragraph" w:customStyle="1" w:styleId="41">
    <w:name w:val="表格1"/>
    <w:basedOn w:val="1"/>
    <w:qFormat/>
    <w:uiPriority w:val="99"/>
    <w:pPr>
      <w:adjustRightInd w:val="0"/>
      <w:spacing w:line="20" w:lineRule="atLeast"/>
      <w:jc w:val="center"/>
    </w:pPr>
    <w:rPr>
      <w:rFonts w:ascii="宋体"/>
      <w:kern w:val="0"/>
      <w:szCs w:val="21"/>
    </w:rPr>
  </w:style>
  <w:style w:type="paragraph" w:customStyle="1" w:styleId="42">
    <w:name w:val="Char"/>
    <w:basedOn w:val="1"/>
    <w:qFormat/>
    <w:uiPriority w:val="99"/>
  </w:style>
  <w:style w:type="paragraph" w:customStyle="1" w:styleId="43">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44">
    <w:name w:val="font21"/>
    <w:basedOn w:val="20"/>
    <w:qFormat/>
    <w:uiPriority w:val="99"/>
    <w:rPr>
      <w:rFonts w:ascii="宋体" w:hAnsi="宋体" w:eastAsia="宋体" w:cs="宋体"/>
      <w:color w:val="000000"/>
      <w:sz w:val="21"/>
      <w:szCs w:val="21"/>
      <w:u w:val="none"/>
    </w:rPr>
  </w:style>
  <w:style w:type="character" w:customStyle="1" w:styleId="45">
    <w:name w:val="font31"/>
    <w:basedOn w:val="20"/>
    <w:qFormat/>
    <w:uiPriority w:val="99"/>
    <w:rPr>
      <w:rFonts w:ascii="Times New Roman" w:hAnsi="Times New Roman" w:cs="Times New Roman"/>
      <w:color w:val="000000"/>
      <w:sz w:val="21"/>
      <w:szCs w:val="21"/>
      <w:u w:val="none"/>
    </w:rPr>
  </w:style>
  <w:style w:type="character" w:customStyle="1" w:styleId="46">
    <w:name w:val="font11"/>
    <w:basedOn w:val="20"/>
    <w:qFormat/>
    <w:uiPriority w:val="99"/>
    <w:rPr>
      <w:rFonts w:ascii="Times New Roman" w:hAnsi="Times New Roman" w:cs="Times New Roman"/>
      <w:color w:val="000000"/>
      <w:sz w:val="21"/>
      <w:szCs w:val="21"/>
      <w:u w:val="none"/>
      <w:vertAlign w:val="superscript"/>
    </w:rPr>
  </w:style>
  <w:style w:type="character" w:customStyle="1" w:styleId="47">
    <w:name w:val="表标题样式 Char"/>
    <w:link w:val="48"/>
    <w:qFormat/>
    <w:locked/>
    <w:uiPriority w:val="99"/>
    <w:rPr>
      <w:rFonts w:ascii="宋体"/>
      <w:b/>
      <w:kern w:val="2"/>
      <w:sz w:val="22"/>
    </w:rPr>
  </w:style>
  <w:style w:type="paragraph" w:customStyle="1" w:styleId="48">
    <w:name w:val="表标题样式"/>
    <w:basedOn w:val="1"/>
    <w:link w:val="47"/>
    <w:qFormat/>
    <w:uiPriority w:val="99"/>
    <w:pPr>
      <w:spacing w:line="520" w:lineRule="exact"/>
    </w:pPr>
    <w:rPr>
      <w:rFonts w:ascii="宋体"/>
      <w:b/>
      <w:sz w:val="22"/>
      <w:szCs w:val="20"/>
    </w:rPr>
  </w:style>
  <w:style w:type="character" w:customStyle="1" w:styleId="49">
    <w:name w:val="表格 Char"/>
    <w:link w:val="50"/>
    <w:qFormat/>
    <w:locked/>
    <w:uiPriority w:val="0"/>
    <w:rPr>
      <w:kern w:val="2"/>
      <w:sz w:val="21"/>
    </w:rPr>
  </w:style>
  <w:style w:type="paragraph" w:customStyle="1" w:styleId="50">
    <w:name w:val="表格"/>
    <w:basedOn w:val="1"/>
    <w:link w:val="49"/>
    <w:qFormat/>
    <w:uiPriority w:val="0"/>
    <w:pPr>
      <w:framePr w:wrap="around" w:vAnchor="text" w:hAnchor="text" w:y="1"/>
      <w:spacing w:line="240" w:lineRule="atLeast"/>
      <w:jc w:val="center"/>
    </w:pPr>
    <w:rPr>
      <w:szCs w:val="20"/>
    </w:rPr>
  </w:style>
  <w:style w:type="paragraph" w:customStyle="1" w:styleId="51">
    <w:name w:val="表格文本"/>
    <w:next w:val="1"/>
    <w:link w:val="86"/>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customStyle="1" w:styleId="52">
    <w:name w:val="图表名称"/>
    <w:basedOn w:val="16"/>
    <w:link w:val="85"/>
    <w:qFormat/>
    <w:uiPriority w:val="0"/>
    <w:pPr>
      <w:jc w:val="center"/>
    </w:pPr>
    <w:rPr>
      <w:rFonts w:eastAsia="黑体"/>
      <w:sz w:val="24"/>
    </w:rPr>
  </w:style>
  <w:style w:type="character" w:customStyle="1" w:styleId="53">
    <w:name w:val="正文首行缩进2 Char Char"/>
    <w:basedOn w:val="20"/>
    <w:link w:val="54"/>
    <w:qFormat/>
    <w:locked/>
    <w:uiPriority w:val="0"/>
    <w:rPr>
      <w:rFonts w:ascii="宋体" w:eastAsia="宋体" w:cs="Times New Roman"/>
      <w:spacing w:val="6"/>
      <w:sz w:val="24"/>
      <w:szCs w:val="24"/>
    </w:rPr>
  </w:style>
  <w:style w:type="paragraph" w:customStyle="1" w:styleId="54">
    <w:name w:val="正文首行缩进2"/>
    <w:basedOn w:val="1"/>
    <w:next w:val="1"/>
    <w:link w:val="53"/>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55">
    <w:name w:val="Title Char"/>
    <w:qFormat/>
    <w:locked/>
    <w:uiPriority w:val="99"/>
    <w:rPr>
      <w:rFonts w:eastAsia="仿宋"/>
      <w:b/>
      <w:kern w:val="44"/>
      <w:sz w:val="32"/>
    </w:rPr>
  </w:style>
  <w:style w:type="character" w:customStyle="1" w:styleId="56">
    <w:name w:val="表格标题 Char"/>
    <w:basedOn w:val="20"/>
    <w:link w:val="57"/>
    <w:qFormat/>
    <w:locked/>
    <w:uiPriority w:val="0"/>
    <w:rPr>
      <w:rFonts w:eastAsia="仿宋_GB2312" w:cs="Times New Roman"/>
      <w:sz w:val="24"/>
      <w:szCs w:val="24"/>
      <w:lang w:val="en-US" w:eastAsia="zh-CN" w:bidi="ar-SA"/>
    </w:rPr>
  </w:style>
  <w:style w:type="paragraph" w:customStyle="1" w:styleId="57">
    <w:name w:val="表格标题"/>
    <w:link w:val="56"/>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58">
    <w:name w:val="Body Text First Indent Char"/>
    <w:qFormat/>
    <w:locked/>
    <w:uiPriority w:val="99"/>
    <w:rPr>
      <w:rFonts w:eastAsia="仿宋_GB2312"/>
      <w:sz w:val="24"/>
    </w:rPr>
  </w:style>
  <w:style w:type="character" w:customStyle="1" w:styleId="59">
    <w:name w:val="表中文字 Char Char"/>
    <w:qFormat/>
    <w:uiPriority w:val="0"/>
    <w:rPr>
      <w:rFonts w:ascii="楷体_GB2312" w:eastAsia="楷体_GB2312"/>
      <w:sz w:val="24"/>
      <w:lang w:val="en-US" w:eastAsia="zh-CN"/>
    </w:rPr>
  </w:style>
  <w:style w:type="character" w:customStyle="1" w:styleId="60">
    <w:name w:val="标题3 Char Char"/>
    <w:basedOn w:val="20"/>
    <w:link w:val="61"/>
    <w:qFormat/>
    <w:locked/>
    <w:uiPriority w:val="99"/>
    <w:rPr>
      <w:rFonts w:ascii="宋体" w:eastAsia="宋体" w:cs="Times New Roman"/>
      <w:bCs/>
      <w:spacing w:val="8"/>
      <w:kern w:val="2"/>
      <w:sz w:val="24"/>
      <w:szCs w:val="24"/>
    </w:rPr>
  </w:style>
  <w:style w:type="paragraph" w:customStyle="1" w:styleId="61">
    <w:name w:val="标题3"/>
    <w:basedOn w:val="3"/>
    <w:link w:val="60"/>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62">
    <w:name w:val="Title Char1"/>
    <w:basedOn w:val="20"/>
    <w:link w:val="16"/>
    <w:qFormat/>
    <w:locked/>
    <w:uiPriority w:val="99"/>
    <w:rPr>
      <w:rFonts w:ascii="Cambria" w:hAnsi="Cambria" w:cs="Times New Roman"/>
      <w:b/>
      <w:bCs/>
      <w:sz w:val="32"/>
      <w:szCs w:val="32"/>
    </w:rPr>
  </w:style>
  <w:style w:type="character" w:customStyle="1" w:styleId="63">
    <w:name w:val="标题 Char"/>
    <w:basedOn w:val="20"/>
    <w:link w:val="16"/>
    <w:qFormat/>
    <w:locked/>
    <w:uiPriority w:val="99"/>
    <w:rPr>
      <w:rFonts w:ascii="Cambria" w:hAnsi="Cambria" w:cs="Times New Roman"/>
      <w:b/>
      <w:bCs/>
      <w:kern w:val="2"/>
      <w:sz w:val="32"/>
      <w:szCs w:val="32"/>
    </w:rPr>
  </w:style>
  <w:style w:type="character" w:customStyle="1" w:styleId="64">
    <w:name w:val="Body Text First Indent Char1"/>
    <w:basedOn w:val="30"/>
    <w:link w:val="17"/>
    <w:semiHidden/>
    <w:qFormat/>
    <w:locked/>
    <w:uiPriority w:val="99"/>
    <w:rPr>
      <w:rFonts w:cs="Times New Roman"/>
      <w:szCs w:val="24"/>
    </w:rPr>
  </w:style>
  <w:style w:type="character" w:customStyle="1" w:styleId="65">
    <w:name w:val="正文首行缩进 Char"/>
    <w:basedOn w:val="30"/>
    <w:link w:val="17"/>
    <w:qFormat/>
    <w:locked/>
    <w:uiPriority w:val="99"/>
    <w:rPr>
      <w:rFonts w:cs="Times New Roman"/>
      <w:szCs w:val="24"/>
    </w:rPr>
  </w:style>
  <w:style w:type="paragraph" w:customStyle="1" w:styleId="66">
    <w:name w:val="默认段落字体 Para Char Char Char Char Char Char Char Char Char Char"/>
    <w:basedOn w:val="1"/>
    <w:qFormat/>
    <w:uiPriority w:val="99"/>
    <w:rPr>
      <w:rFonts w:ascii="Arial" w:hAnsi="Arial" w:cs="Arial"/>
      <w:sz w:val="20"/>
      <w:szCs w:val="20"/>
    </w:rPr>
  </w:style>
  <w:style w:type="paragraph" w:customStyle="1" w:styleId="67">
    <w:name w:val="表头编号"/>
    <w:basedOn w:val="52"/>
    <w:next w:val="51"/>
    <w:qFormat/>
    <w:uiPriority w:val="99"/>
    <w:pPr>
      <w:adjustRightInd w:val="0"/>
      <w:snapToGrid w:val="0"/>
      <w:ind w:firstLine="482"/>
      <w:jc w:val="left"/>
    </w:pPr>
  </w:style>
  <w:style w:type="paragraph" w:customStyle="1" w:styleId="68">
    <w:name w:val="List Paragraph1"/>
    <w:basedOn w:val="1"/>
    <w:qFormat/>
    <w:uiPriority w:val="99"/>
    <w:pPr>
      <w:ind w:firstLine="420" w:firstLineChars="200"/>
    </w:pPr>
    <w:rPr>
      <w:rFonts w:ascii="Calibri" w:hAnsi="Calibri"/>
      <w:szCs w:val="22"/>
    </w:rPr>
  </w:style>
  <w:style w:type="paragraph" w:customStyle="1" w:styleId="69">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70">
    <w:name w:val="样式 样式 (符号) 宋体 四号 + 首行缩进:  2 字符"/>
    <w:basedOn w:val="1"/>
    <w:qFormat/>
    <w:uiPriority w:val="99"/>
    <w:pPr>
      <w:ind w:firstLine="480"/>
    </w:pPr>
    <w:rPr>
      <w:rFonts w:hAnsi="仿宋_GB2312" w:cs="仿宋_GB2312"/>
      <w:sz w:val="24"/>
      <w:szCs w:val="20"/>
    </w:rPr>
  </w:style>
  <w:style w:type="paragraph" w:customStyle="1" w:styleId="71">
    <w:name w:val="表头样式"/>
    <w:basedOn w:val="52"/>
    <w:qFormat/>
    <w:uiPriority w:val="99"/>
    <w:pPr>
      <w:jc w:val="left"/>
    </w:pPr>
    <w:rPr>
      <w:rFonts w:eastAsia="宋体"/>
      <w:szCs w:val="21"/>
    </w:rPr>
  </w:style>
  <w:style w:type="paragraph" w:customStyle="1" w:styleId="72">
    <w:name w:val="报告文本"/>
    <w:basedOn w:val="1"/>
    <w:qFormat/>
    <w:uiPriority w:val="99"/>
    <w:pPr>
      <w:spacing w:line="440" w:lineRule="exact"/>
    </w:pPr>
    <w:rPr>
      <w:szCs w:val="22"/>
    </w:rPr>
  </w:style>
  <w:style w:type="paragraph" w:customStyle="1" w:styleId="73">
    <w:name w:val="！！正文"/>
    <w:basedOn w:val="74"/>
    <w:qFormat/>
    <w:uiPriority w:val="0"/>
    <w:pPr>
      <w:autoSpaceDE w:val="0"/>
      <w:spacing w:line="480" w:lineRule="exact"/>
      <w:ind w:firstLine="200" w:firstLineChars="200"/>
      <w:jc w:val="both"/>
      <w:textAlignment w:val="center"/>
    </w:pPr>
  </w:style>
  <w:style w:type="paragraph" w:styleId="74">
    <w:name w:val="No Spacing"/>
    <w:qFormat/>
    <w:uiPriority w:val="1"/>
    <w:rPr>
      <w:rFonts w:ascii="Times New Roman" w:hAnsi="Times New Roman" w:eastAsia="宋体" w:cs="Times New Roman"/>
      <w:sz w:val="24"/>
      <w:szCs w:val="22"/>
      <w:lang w:val="en-US" w:eastAsia="zh-CN" w:bidi="ar-SA"/>
    </w:rPr>
  </w:style>
  <w:style w:type="paragraph" w:customStyle="1" w:styleId="75">
    <w:name w:val="B二级标题"/>
    <w:basedOn w:val="74"/>
    <w:qFormat/>
    <w:uiPriority w:val="0"/>
    <w:pPr>
      <w:spacing w:line="480" w:lineRule="exact"/>
      <w:outlineLvl w:val="1"/>
    </w:pPr>
    <w:rPr>
      <w:b/>
      <w:sz w:val="30"/>
    </w:rPr>
  </w:style>
  <w:style w:type="paragraph" w:customStyle="1" w:styleId="76">
    <w:name w:val="C三级标题"/>
    <w:basedOn w:val="74"/>
    <w:qFormat/>
    <w:uiPriority w:val="0"/>
    <w:pPr>
      <w:spacing w:line="520" w:lineRule="exact"/>
      <w:outlineLvl w:val="2"/>
    </w:pPr>
    <w:rPr>
      <w:b/>
      <w:sz w:val="28"/>
    </w:rPr>
  </w:style>
  <w:style w:type="paragraph" w:customStyle="1" w:styleId="77">
    <w:name w:val="！四级标题"/>
    <w:basedOn w:val="74"/>
    <w:qFormat/>
    <w:uiPriority w:val="0"/>
    <w:pPr>
      <w:spacing w:line="520" w:lineRule="exact"/>
      <w:outlineLvl w:val="3"/>
    </w:pPr>
    <w:rPr>
      <w:b/>
    </w:rPr>
  </w:style>
  <w:style w:type="paragraph" w:customStyle="1" w:styleId="78">
    <w:name w:val="！表头"/>
    <w:basedOn w:val="74"/>
    <w:qFormat/>
    <w:uiPriority w:val="0"/>
    <w:pPr>
      <w:jc w:val="center"/>
    </w:pPr>
    <w:rPr>
      <w:b/>
    </w:rPr>
  </w:style>
  <w:style w:type="paragraph" w:customStyle="1" w:styleId="79">
    <w:name w:val="！表格字体"/>
    <w:basedOn w:val="74"/>
    <w:qFormat/>
    <w:uiPriority w:val="0"/>
    <w:pPr>
      <w:snapToGrid w:val="0"/>
      <w:spacing w:line="240" w:lineRule="atLeast"/>
    </w:pPr>
    <w:rPr>
      <w:sz w:val="21"/>
    </w:rPr>
  </w:style>
  <w:style w:type="paragraph" w:customStyle="1" w:styleId="80">
    <w:name w:val="！三级标题"/>
    <w:basedOn w:val="74"/>
    <w:qFormat/>
    <w:uiPriority w:val="0"/>
    <w:pPr>
      <w:spacing w:line="415" w:lineRule="auto"/>
      <w:outlineLvl w:val="2"/>
    </w:pPr>
    <w:rPr>
      <w:b/>
      <w:sz w:val="28"/>
    </w:rPr>
  </w:style>
  <w:style w:type="character" w:customStyle="1" w:styleId="81">
    <w:name w:val="表格标题-w Char"/>
    <w:link w:val="82"/>
    <w:qFormat/>
    <w:uiPriority w:val="0"/>
    <w:rPr>
      <w:b/>
      <w:kern w:val="2"/>
      <w:sz w:val="24"/>
    </w:rPr>
  </w:style>
  <w:style w:type="paragraph" w:customStyle="1" w:styleId="82">
    <w:name w:val="表格标题-w"/>
    <w:basedOn w:val="1"/>
    <w:next w:val="1"/>
    <w:link w:val="81"/>
    <w:qFormat/>
    <w:uiPriority w:val="0"/>
    <w:pPr>
      <w:spacing w:line="480" w:lineRule="exact"/>
    </w:pPr>
    <w:rPr>
      <w:b/>
      <w:sz w:val="24"/>
      <w:szCs w:val="20"/>
    </w:rPr>
  </w:style>
  <w:style w:type="character" w:customStyle="1" w:styleId="83">
    <w:name w:val="表格内文字-w Char"/>
    <w:link w:val="84"/>
    <w:qFormat/>
    <w:uiPriority w:val="0"/>
    <w:rPr>
      <w:kern w:val="2"/>
      <w:sz w:val="21"/>
    </w:rPr>
  </w:style>
  <w:style w:type="paragraph" w:customStyle="1" w:styleId="84">
    <w:name w:val="表格内文字-w"/>
    <w:basedOn w:val="1"/>
    <w:link w:val="83"/>
    <w:qFormat/>
    <w:uiPriority w:val="0"/>
    <w:pPr>
      <w:spacing w:line="240" w:lineRule="atLeast"/>
      <w:jc w:val="center"/>
    </w:pPr>
    <w:rPr>
      <w:szCs w:val="20"/>
    </w:rPr>
  </w:style>
  <w:style w:type="character" w:customStyle="1" w:styleId="85">
    <w:name w:val="图表名称 Char"/>
    <w:basedOn w:val="63"/>
    <w:link w:val="52"/>
    <w:qFormat/>
    <w:uiPriority w:val="0"/>
    <w:rPr>
      <w:rFonts w:eastAsia="黑体"/>
      <w:kern w:val="44"/>
      <w:sz w:val="24"/>
    </w:rPr>
  </w:style>
  <w:style w:type="character" w:customStyle="1" w:styleId="86">
    <w:name w:val="表格文本 Char"/>
    <w:link w:val="51"/>
    <w:qFormat/>
    <w:uiPriority w:val="0"/>
    <w:rPr>
      <w:rFonts w:eastAsia="仿宋"/>
      <w:color w:val="000000"/>
      <w:kern w:val="21"/>
      <w:sz w:val="24"/>
      <w:szCs w:val="21"/>
    </w:rPr>
  </w:style>
  <w:style w:type="character" w:customStyle="1" w:styleId="87">
    <w:name w:val="表格文字 Char"/>
    <w:link w:val="88"/>
    <w:qFormat/>
    <w:uiPriority w:val="0"/>
    <w:rPr>
      <w:rFonts w:ascii="宋体"/>
      <w:kern w:val="21"/>
      <w:sz w:val="21"/>
    </w:rPr>
  </w:style>
  <w:style w:type="paragraph" w:customStyle="1" w:styleId="88">
    <w:name w:val="表格文字"/>
    <w:basedOn w:val="1"/>
    <w:link w:val="87"/>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89">
    <w:name w:val="表头 Char1"/>
    <w:basedOn w:val="20"/>
    <w:qFormat/>
    <w:uiPriority w:val="99"/>
    <w:rPr>
      <w:rFonts w:ascii="仿宋_GB2312" w:hAnsi="宋体" w:eastAsia="宋体" w:cs="仿宋_GB2312"/>
      <w:b/>
      <w:bCs/>
      <w:spacing w:val="-12"/>
      <w:position w:val="-18"/>
      <w:sz w:val="21"/>
      <w:szCs w:val="21"/>
      <w:lang w:val="en-US" w:eastAsia="zh-CN"/>
    </w:rPr>
  </w:style>
  <w:style w:type="paragraph" w:styleId="90">
    <w:name w:val="List Paragraph"/>
    <w:basedOn w:val="1"/>
    <w:unhideWhenUsed/>
    <w:qFormat/>
    <w:uiPriority w:val="34"/>
    <w:pPr>
      <w:ind w:firstLine="420" w:firstLineChars="200"/>
    </w:pPr>
  </w:style>
  <w:style w:type="character" w:customStyle="1" w:styleId="91">
    <w:name w:val="Char Char Char Char Char1"/>
    <w:link w:val="92"/>
    <w:qFormat/>
    <w:uiPriority w:val="0"/>
    <w:rPr>
      <w:rFonts w:ascii="宋体" w:hAnsi="宋体" w:cs="宋体"/>
      <w:kern w:val="2"/>
      <w:sz w:val="24"/>
      <w:szCs w:val="24"/>
    </w:rPr>
  </w:style>
  <w:style w:type="paragraph" w:customStyle="1" w:styleId="92">
    <w:name w:val="Char Char Char Char"/>
    <w:basedOn w:val="1"/>
    <w:link w:val="91"/>
    <w:qFormat/>
    <w:uiPriority w:val="0"/>
    <w:pPr>
      <w:spacing w:line="360" w:lineRule="auto"/>
      <w:ind w:firstLine="200" w:firstLineChars="200"/>
    </w:pPr>
    <w:rPr>
      <w:rFonts w:ascii="宋体" w:hAnsi="宋体" w:cs="宋体"/>
      <w:sz w:val="24"/>
    </w:rPr>
  </w:style>
  <w:style w:type="character" w:customStyle="1" w:styleId="93">
    <w:name w:val="表头文字小 Char"/>
    <w:link w:val="94"/>
    <w:qFormat/>
    <w:uiPriority w:val="0"/>
    <w:rPr>
      <w:rFonts w:ascii="宋体" w:hAnsi="宋体"/>
      <w:color w:val="000000"/>
      <w:spacing w:val="6"/>
      <w:kern w:val="2"/>
      <w:sz w:val="18"/>
      <w:szCs w:val="21"/>
    </w:rPr>
  </w:style>
  <w:style w:type="paragraph" w:customStyle="1" w:styleId="94">
    <w:name w:val="表头文字小"/>
    <w:basedOn w:val="1"/>
    <w:link w:val="93"/>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95">
    <w:name w:val="样式 xns表格 + 行距: 最小值 0 磅"/>
    <w:basedOn w:val="1"/>
    <w:qFormat/>
    <w:uiPriority w:val="0"/>
    <w:pPr>
      <w:spacing w:line="0" w:lineRule="atLeast"/>
      <w:jc w:val="center"/>
    </w:pPr>
    <w:rPr>
      <w:rFonts w:ascii="宋体" w:eastAsia="仿宋_GB2312" w:cs="宋体"/>
      <w:color w:val="FF00FF"/>
      <w:szCs w:val="20"/>
    </w:rPr>
  </w:style>
  <w:style w:type="paragraph" w:customStyle="1" w:styleId="96">
    <w:name w:val="样式 样式 正文首行缩进 + 首行缩进:  1 字符 + 宋体"/>
    <w:basedOn w:val="1"/>
    <w:qFormat/>
    <w:uiPriority w:val="0"/>
    <w:pPr>
      <w:ind w:firstLine="480" w:firstLineChars="200"/>
      <w:jc w:val="left"/>
    </w:pPr>
    <w:rPr>
      <w:rFonts w:ascii="宋体"/>
      <w:color w:val="0000FF"/>
    </w:rPr>
  </w:style>
  <w:style w:type="paragraph" w:customStyle="1" w:styleId="97">
    <w:name w:val="08表格-20"/>
    <w:basedOn w:val="1"/>
    <w:next w:val="1"/>
    <w:qFormat/>
    <w:uiPriority w:val="8"/>
    <w:pPr>
      <w:spacing w:line="240" w:lineRule="exact"/>
      <w:jc w:val="center"/>
    </w:pPr>
    <w:rPr>
      <w:rFonts w:ascii="宋体" w:hAnsi="宋体"/>
      <w:szCs w:val="20"/>
    </w:rPr>
  </w:style>
  <w:style w:type="character" w:customStyle="1" w:styleId="98">
    <w:name w:val="JJ表内 字符"/>
    <w:link w:val="99"/>
    <w:qFormat/>
    <w:uiPriority w:val="0"/>
    <w:rPr>
      <w:rFonts w:eastAsia="仿宋_GB2312"/>
      <w:kern w:val="2"/>
      <w:sz w:val="21"/>
      <w:szCs w:val="22"/>
    </w:rPr>
  </w:style>
  <w:style w:type="paragraph" w:customStyle="1" w:styleId="99">
    <w:name w:val="JJ表内"/>
    <w:basedOn w:val="1"/>
    <w:link w:val="98"/>
    <w:qFormat/>
    <w:uiPriority w:val="0"/>
    <w:pPr>
      <w:spacing w:line="0" w:lineRule="atLeast"/>
      <w:jc w:val="center"/>
    </w:pPr>
    <w:rPr>
      <w:rFonts w:eastAsia="仿宋_GB2312"/>
      <w:szCs w:val="22"/>
    </w:rPr>
  </w:style>
  <w:style w:type="paragraph" w:customStyle="1" w:styleId="100">
    <w:name w:val="样式2"/>
    <w:basedOn w:val="1"/>
    <w:qFormat/>
    <w:uiPriority w:val="0"/>
    <w:pPr>
      <w:autoSpaceDE w:val="0"/>
      <w:autoSpaceDN w:val="0"/>
      <w:adjustRightInd w:val="0"/>
      <w:spacing w:afterLines="50"/>
      <w:jc w:val="center"/>
    </w:pPr>
    <w:rPr>
      <w:rFonts w:ascii="宋体"/>
      <w:kern w:val="0"/>
      <w:sz w:val="24"/>
    </w:rPr>
  </w:style>
  <w:style w:type="character" w:customStyle="1" w:styleId="101">
    <w:name w:val="标准样式 Char1"/>
    <w:link w:val="102"/>
    <w:qFormat/>
    <w:uiPriority w:val="0"/>
    <w:rPr>
      <w:rFonts w:ascii="Calibri" w:hAnsi="Calibri"/>
      <w:kern w:val="2"/>
      <w:sz w:val="28"/>
    </w:rPr>
  </w:style>
  <w:style w:type="paragraph" w:customStyle="1" w:styleId="102">
    <w:name w:val="标准样式"/>
    <w:basedOn w:val="1"/>
    <w:link w:val="101"/>
    <w:qFormat/>
    <w:uiPriority w:val="0"/>
    <w:pPr>
      <w:spacing w:line="600" w:lineRule="exact"/>
      <w:ind w:firstLine="567"/>
    </w:pPr>
    <w:rPr>
      <w:rFonts w:ascii="Calibri" w:hAnsi="Calibri"/>
      <w:sz w:val="28"/>
      <w:szCs w:val="20"/>
    </w:rPr>
  </w:style>
  <w:style w:type="paragraph" w:customStyle="1" w:styleId="103">
    <w:name w:val="表名"/>
    <w:basedOn w:val="1"/>
    <w:qFormat/>
    <w:uiPriority w:val="0"/>
    <w:pPr>
      <w:jc w:val="center"/>
    </w:pPr>
    <w:rPr>
      <w:rFonts w:eastAsia="黑体"/>
      <w:szCs w:val="20"/>
    </w:rPr>
  </w:style>
  <w:style w:type="paragraph" w:customStyle="1" w:styleId="104">
    <w:name w:val="样式 表格文字 + 宋体"/>
    <w:basedOn w:val="88"/>
    <w:qFormat/>
    <w:uiPriority w:val="0"/>
    <w:pPr>
      <w:widowControl/>
      <w:tabs>
        <w:tab w:val="left" w:pos="-24"/>
      </w:tabs>
      <w:adjustRightInd/>
      <w:spacing w:before="0" w:line="0" w:lineRule="atLeast"/>
      <w:ind w:firstLine="0" w:firstLineChars="0"/>
      <w:jc w:val="center"/>
    </w:pPr>
    <w:rPr>
      <w:rFonts w:hAnsi="宋体"/>
      <w:color w:val="000000"/>
      <w:kern w:val="0"/>
      <w:u w:color="000000"/>
    </w:rPr>
  </w:style>
  <w:style w:type="character" w:customStyle="1" w:styleId="105">
    <w:name w:val="公正文 Char"/>
    <w:link w:val="106"/>
    <w:qFormat/>
    <w:uiPriority w:val="0"/>
    <w:rPr>
      <w:rFonts w:ascii="宋体" w:hAnsi="宋体" w:eastAsia="仿宋_GB2312"/>
      <w:kern w:val="2"/>
      <w:sz w:val="28"/>
      <w:szCs w:val="21"/>
    </w:rPr>
  </w:style>
  <w:style w:type="paragraph" w:customStyle="1" w:styleId="106">
    <w:name w:val="公正文"/>
    <w:basedOn w:val="1"/>
    <w:link w:val="105"/>
    <w:qFormat/>
    <w:uiPriority w:val="0"/>
    <w:pPr>
      <w:adjustRightInd w:val="0"/>
      <w:snapToGrid w:val="0"/>
      <w:spacing w:line="353" w:lineRule="auto"/>
      <w:ind w:firstLine="200" w:firstLineChars="200"/>
    </w:pPr>
    <w:rPr>
      <w:rFonts w:ascii="宋体" w:hAnsi="宋体" w:eastAsia="仿宋_GB2312"/>
      <w:sz w:val="28"/>
      <w:szCs w:val="21"/>
    </w:rPr>
  </w:style>
  <w:style w:type="character" w:customStyle="1" w:styleId="107">
    <w:name w:val="表格标题11 Char"/>
    <w:link w:val="108"/>
    <w:qFormat/>
    <w:uiPriority w:val="0"/>
    <w:rPr>
      <w:rFonts w:eastAsia="仿宋"/>
      <w:b/>
      <w:sz w:val="24"/>
      <w:szCs w:val="24"/>
    </w:rPr>
  </w:style>
  <w:style w:type="paragraph" w:customStyle="1" w:styleId="108">
    <w:name w:val="表格标题11"/>
    <w:basedOn w:val="1"/>
    <w:link w:val="107"/>
    <w:qFormat/>
    <w:uiPriority w:val="0"/>
    <w:pPr>
      <w:jc w:val="center"/>
    </w:pPr>
    <w:rPr>
      <w:rFonts w:eastAsia="仿宋"/>
      <w:b/>
      <w:kern w:val="0"/>
      <w:sz w:val="24"/>
    </w:rPr>
  </w:style>
  <w:style w:type="character" w:customStyle="1" w:styleId="109">
    <w:name w:val="正文缩进 Char"/>
    <w:link w:val="5"/>
    <w:qFormat/>
    <w:uiPriority w:val="0"/>
    <w:rPr>
      <w:kern w:val="2"/>
      <w:sz w:val="24"/>
    </w:rPr>
  </w:style>
  <w:style w:type="paragraph" w:customStyle="1" w:styleId="110">
    <w:name w:val="表头文字标题"/>
    <w:basedOn w:val="1"/>
    <w:next w:val="1"/>
    <w:qFormat/>
    <w:uiPriority w:val="0"/>
    <w:pPr>
      <w:jc w:val="center"/>
    </w:pPr>
    <w:rPr>
      <w:rFonts w:ascii="黑体" w:hAnsi="Calibri" w:eastAsia="黑体"/>
      <w:sz w:val="32"/>
      <w:szCs w:val="20"/>
    </w:rPr>
  </w:style>
  <w:style w:type="paragraph" w:customStyle="1" w:styleId="111">
    <w:name w:val="X正文"/>
    <w:basedOn w:val="1"/>
    <w:qFormat/>
    <w:uiPriority w:val="0"/>
    <w:pPr>
      <w:spacing w:line="520" w:lineRule="exact"/>
      <w:ind w:firstLine="480"/>
    </w:pPr>
    <w:rPr>
      <w:rFonts w:ascii="宋体" w:hAnsi="宋体"/>
      <w:kern w:val="0"/>
      <w:sz w:val="24"/>
      <w:lang w:val="zh-CN"/>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13">
    <w:name w:val="副标题 Char"/>
    <w:basedOn w:val="20"/>
    <w:link w:val="14"/>
    <w:qFormat/>
    <w:uiPriority w:val="0"/>
    <w:rPr>
      <w:rFonts w:ascii="Cambria" w:hAnsi="Cambria" w:eastAsia="仿宋_GB2312"/>
      <w:b/>
      <w:bCs/>
      <w:color w:val="000000"/>
      <w:kern w:val="28"/>
      <w:sz w:val="28"/>
      <w:szCs w:val="32"/>
    </w:rPr>
  </w:style>
  <w:style w:type="character" w:customStyle="1" w:styleId="114">
    <w:name w:val="KM正文 字符"/>
    <w:link w:val="115"/>
    <w:qFormat/>
    <w:locked/>
    <w:uiPriority w:val="0"/>
    <w:rPr>
      <w:rFonts w:ascii="宋体" w:hAnsi="宋体" w:cs="宋体"/>
      <w:sz w:val="24"/>
    </w:rPr>
  </w:style>
  <w:style w:type="paragraph" w:customStyle="1" w:styleId="115">
    <w:name w:val="KM正文"/>
    <w:basedOn w:val="1"/>
    <w:link w:val="114"/>
    <w:qFormat/>
    <w:uiPriority w:val="0"/>
    <w:pPr>
      <w:adjustRightInd w:val="0"/>
      <w:snapToGrid w:val="0"/>
      <w:spacing w:line="360" w:lineRule="auto"/>
      <w:ind w:firstLine="480" w:firstLineChars="200"/>
    </w:pPr>
    <w:rPr>
      <w:rFonts w:ascii="宋体" w:hAnsi="宋体" w:cs="宋体"/>
      <w:kern w:val="0"/>
      <w:sz w:val="24"/>
      <w:szCs w:val="20"/>
    </w:rPr>
  </w:style>
  <w:style w:type="paragraph" w:customStyle="1" w:styleId="116">
    <w:name w:val="表头"/>
    <w:next w:val="1"/>
    <w:qFormat/>
    <w:uiPriority w:val="0"/>
    <w:pPr>
      <w:widowControl w:val="0"/>
      <w:spacing w:line="600" w:lineRule="exact"/>
      <w:jc w:val="center"/>
    </w:pPr>
    <w:rPr>
      <w:rFonts w:ascii="Times New Roman" w:hAnsi="宋体" w:eastAsia="宋体" w:cs="Times New Roman"/>
      <w:b/>
      <w:bCs/>
      <w:kern w:val="2"/>
      <w:sz w:val="28"/>
      <w:szCs w:val="28"/>
      <w:lang w:val="en-US" w:eastAsia="zh-CN" w:bidi="ar-SA"/>
    </w:rPr>
  </w:style>
  <w:style w:type="character" w:customStyle="1" w:styleId="117">
    <w:name w:val="val"/>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11</Pages>
  <Words>2527</Words>
  <Characters>3083</Characters>
  <Lines>26</Lines>
  <Paragraphs>7</Paragraphs>
  <TotalTime>18</TotalTime>
  <ScaleCrop>false</ScaleCrop>
  <LinksUpToDate>false</LinksUpToDate>
  <CharactersWithSpaces>3164</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2021-02-09T16:10:00Z</dcterms:created>
  <dc:creator>陈*何*马</dc:creator>
  <cp:lastModifiedBy>user</cp:lastModifiedBy>
  <cp:lastPrinted>2019-12-31T17:16:00Z</cp:lastPrinted>
  <dcterms:modified xsi:type="dcterms:W3CDTF">2026-02-06T15:35:43Z</dcterms:modified>
  <dc:title>石柱土家族自治县水利局</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KSOTemplateDocerSaveRecord">
    <vt:lpwstr>eyJoZGlkIjoiNTRkNTYxODE2NmE3YTY5MDlhNjI1NzNkZmIxOTJjMzgiLCJ1c2VySWQiOiI3MTM5MjU1MjkifQ==</vt:lpwstr>
  </property>
  <property fmtid="{D5CDD505-2E9C-101B-9397-08002B2CF9AE}" pid="4" name="ICV">
    <vt:lpwstr>02F7630DB1B24D7598808400FDD2F42A_12</vt:lpwstr>
  </property>
</Properties>
</file>