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014C4">
      <w:pPr>
        <w:spacing w:line="580" w:lineRule="exact"/>
        <w:rPr>
          <w:rFonts w:ascii="方正仿宋_GBK" w:eastAsia="方正仿宋_GBK"/>
          <w:color w:val="FF0000"/>
          <w:sz w:val="32"/>
          <w:szCs w:val="32"/>
        </w:rPr>
      </w:pPr>
    </w:p>
    <w:p w14:paraId="00851FA4">
      <w:pPr>
        <w:spacing w:line="580" w:lineRule="exact"/>
        <w:rPr>
          <w:rFonts w:ascii="方正仿宋_GBK" w:eastAsia="方正仿宋_GBK"/>
          <w:color w:val="FF0000"/>
          <w:sz w:val="32"/>
          <w:szCs w:val="32"/>
        </w:rPr>
      </w:pPr>
    </w:p>
    <w:p w14:paraId="0E2E84F9">
      <w:pPr>
        <w:spacing w:line="580" w:lineRule="exact"/>
        <w:rPr>
          <w:rFonts w:ascii="方正仿宋_GBK" w:eastAsia="方正仿宋_GBK"/>
          <w:color w:val="FF0000"/>
          <w:sz w:val="32"/>
          <w:szCs w:val="32"/>
        </w:rPr>
      </w:pPr>
    </w:p>
    <w:p w14:paraId="3E5B932E">
      <w:pPr>
        <w:ind w:firstLine="358" w:firstLineChars="112"/>
        <w:rPr>
          <w:rFonts w:ascii="方正仿宋_GBK" w:eastAsia="方正仿宋_GBK"/>
          <w:color w:val="FF0000"/>
          <w:sz w:val="32"/>
          <w:szCs w:val="32"/>
        </w:rPr>
      </w:pPr>
    </w:p>
    <w:p w14:paraId="609E46B2">
      <w:pPr>
        <w:spacing w:line="560" w:lineRule="exact"/>
        <w:rPr>
          <w:rFonts w:ascii="方正仿宋_GBK" w:eastAsia="方正仿宋_GBK"/>
          <w:color w:val="FF0000"/>
          <w:sz w:val="32"/>
          <w:szCs w:val="32"/>
        </w:rPr>
      </w:pPr>
    </w:p>
    <w:p w14:paraId="57DAEEC1">
      <w:pPr>
        <w:spacing w:line="560" w:lineRule="exact"/>
        <w:rPr>
          <w:rFonts w:ascii="方正仿宋_GBK" w:eastAsia="方正仿宋_GBK"/>
          <w:sz w:val="32"/>
          <w:szCs w:val="32"/>
        </w:rPr>
      </w:pPr>
    </w:p>
    <w:p w14:paraId="2585F6F4">
      <w:pPr>
        <w:spacing w:line="560" w:lineRule="exact"/>
        <w:ind w:firstLine="480" w:firstLineChars="150"/>
        <w:jc w:val="center"/>
        <w:rPr>
          <w:rFonts w:ascii="方正仿宋_GBK" w:eastAsia="方正仿宋_GBK"/>
          <w:sz w:val="32"/>
          <w:szCs w:val="32"/>
        </w:rPr>
      </w:pPr>
    </w:p>
    <w:p w14:paraId="74F60B8E">
      <w:pPr>
        <w:spacing w:line="560" w:lineRule="exact"/>
        <w:ind w:firstLine="480" w:firstLineChars="150"/>
        <w:jc w:val="center"/>
        <w:rPr>
          <w:rFonts w:hint="eastAsia" w:ascii="方正仿宋_GBK" w:eastAsia="方正仿宋_GBK"/>
          <w:sz w:val="32"/>
          <w:szCs w:val="32"/>
        </w:rPr>
      </w:pPr>
    </w:p>
    <w:p w14:paraId="6BE3FB8B">
      <w:pPr>
        <w:spacing w:line="500" w:lineRule="exact"/>
        <w:ind w:firstLine="480" w:firstLineChars="150"/>
        <w:jc w:val="center"/>
        <w:rPr>
          <w:rFonts w:ascii="方正仿宋_GBK" w:eastAsia="方正仿宋_GBK"/>
          <w:sz w:val="30"/>
          <w:szCs w:val="30"/>
        </w:rPr>
      </w:pPr>
      <w:r>
        <w:rPr>
          <w:rFonts w:hint="eastAsia" w:ascii="方正仿宋_GBK" w:eastAsia="方正仿宋_GBK"/>
          <w:sz w:val="32"/>
          <w:szCs w:val="32"/>
        </w:rPr>
        <w:t>石柱水利许可〔2022〕26号</w:t>
      </w:r>
    </w:p>
    <w:p w14:paraId="1C67C7B7">
      <w:pPr>
        <w:rPr>
          <w:sz w:val="32"/>
          <w:szCs w:val="32"/>
        </w:rPr>
      </w:pPr>
    </w:p>
    <w:p w14:paraId="472784F9">
      <w:pPr>
        <w:rPr>
          <w:sz w:val="32"/>
          <w:szCs w:val="32"/>
        </w:rPr>
      </w:pPr>
    </w:p>
    <w:p w14:paraId="61AF3ACE">
      <w:pPr>
        <w:spacing w:line="640" w:lineRule="exact"/>
        <w:jc w:val="center"/>
        <w:rPr>
          <w:rFonts w:ascii="方正小标宋_GBK" w:eastAsia="方正小标宋_GBK"/>
          <w:sz w:val="44"/>
          <w:szCs w:val="44"/>
        </w:rPr>
      </w:pPr>
      <w:r>
        <w:rPr>
          <w:rFonts w:hint="eastAsia" w:ascii="方正小标宋_GBK" w:eastAsia="方正小标宋_GBK"/>
          <w:sz w:val="44"/>
          <w:szCs w:val="44"/>
        </w:rPr>
        <w:t>石柱土家族自治县水利局</w:t>
      </w:r>
    </w:p>
    <w:p w14:paraId="58D0086A">
      <w:pPr>
        <w:spacing w:line="640" w:lineRule="exact"/>
        <w:jc w:val="center"/>
        <w:rPr>
          <w:rFonts w:ascii="方正小标宋_GBK" w:eastAsia="方正小标宋_GBK"/>
          <w:sz w:val="44"/>
          <w:szCs w:val="44"/>
        </w:rPr>
      </w:pPr>
      <w:r>
        <w:rPr>
          <w:rFonts w:hint="eastAsia" w:ascii="方正小标宋_GBK" w:eastAsia="方正小标宋_GBK"/>
          <w:sz w:val="44"/>
          <w:szCs w:val="44"/>
        </w:rPr>
        <w:t>关于石柱县人民法院审判法庭项目水土保持</w:t>
      </w:r>
    </w:p>
    <w:p w14:paraId="04E3FAE8">
      <w:pPr>
        <w:spacing w:line="640" w:lineRule="exact"/>
        <w:jc w:val="center"/>
        <w:rPr>
          <w:rFonts w:ascii="方正小标宋_GBK" w:eastAsia="方正小标宋_GBK"/>
          <w:sz w:val="44"/>
          <w:szCs w:val="44"/>
        </w:rPr>
      </w:pPr>
      <w:r>
        <w:rPr>
          <w:rFonts w:hint="eastAsia" w:ascii="方正小标宋_GBK" w:eastAsia="方正小标宋_GBK"/>
          <w:sz w:val="44"/>
          <w:szCs w:val="44"/>
        </w:rPr>
        <w:t>方案报告书准予行政许可的决定</w:t>
      </w:r>
    </w:p>
    <w:p w14:paraId="346CFB78">
      <w:pPr>
        <w:spacing w:line="520" w:lineRule="exact"/>
        <w:rPr>
          <w:rFonts w:ascii="方正仿宋_GBK" w:hAnsi="方正仿宋_GBK" w:eastAsia="方正仿宋_GBK" w:cs="方正仿宋_GBK"/>
          <w:kern w:val="0"/>
          <w:sz w:val="44"/>
          <w:szCs w:val="44"/>
        </w:rPr>
      </w:pPr>
    </w:p>
    <w:p w14:paraId="33E03C36">
      <w:pPr>
        <w:spacing w:line="520" w:lineRule="exact"/>
        <w:rPr>
          <w:rFonts w:ascii="方正仿宋_GBK" w:hAnsi="方正仿宋_GBK" w:eastAsia="方正仿宋_GBK" w:cs="方正仿宋_GBK"/>
          <w:kern w:val="0"/>
          <w:sz w:val="32"/>
          <w:szCs w:val="32"/>
        </w:rPr>
      </w:pPr>
    </w:p>
    <w:p w14:paraId="50F1ACC3">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石柱土家族自治县人民法院：</w:t>
      </w:r>
    </w:p>
    <w:p w14:paraId="280A6996">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你院报来</w:t>
      </w:r>
      <w:r>
        <w:rPr>
          <w:rFonts w:hint="eastAsia" w:ascii="方正仿宋_GBK" w:hAnsi="仿宋" w:eastAsia="方正仿宋_GBK" w:cs="仿宋"/>
          <w:sz w:val="32"/>
          <w:szCs w:val="32"/>
        </w:rPr>
        <w:t>《</w:t>
      </w:r>
      <w:r>
        <w:rPr>
          <w:rFonts w:hint="eastAsia" w:ascii="方正仿宋_GBK" w:hAnsi="方正仿宋_GBK" w:eastAsia="方正仿宋_GBK" w:cs="方正仿宋_GBK"/>
          <w:kern w:val="0"/>
          <w:sz w:val="32"/>
          <w:szCs w:val="32"/>
        </w:rPr>
        <w:t>石柱县人民法院审判法庭项目水土保持方案报告书》（以下简称《报告书》）的送审稿及相关材料已收悉。2022年1月27日，我局组织专家对《报告书》（送审稿）进行了技术审查，根据专家组提出的修改意见进行修改完善，经专家组复核后形成《报告书》（报批稿）报送我局。经审查，该申请符合法定条件</w:t>
      </w:r>
      <w:r>
        <w:rPr>
          <w:rFonts w:hint="eastAsia" w:ascii="方正仿宋_GBK" w:eastAsia="方正仿宋_GBK"/>
          <w:snapToGrid w:val="0"/>
          <w:color w:val="000000"/>
          <w:sz w:val="32"/>
          <w:szCs w:val="32"/>
        </w:rPr>
        <w:t>，</w:t>
      </w:r>
      <w:r>
        <w:rPr>
          <w:rFonts w:hint="eastAsia" w:ascii="方正仿宋_GBK" w:hAnsi="方正仿宋_GBK" w:eastAsia="方正仿宋_GBK" w:cs="方正仿宋_GBK"/>
          <w:kern w:val="0"/>
          <w:sz w:val="32"/>
          <w:szCs w:val="32"/>
        </w:rPr>
        <w:t>根据《中华人民共和国行政许可法》第三十八条、《水行政许可实施办法》第三十二条第一项规定，结合专家组的评审意见(见附件2）决定准予行政许可。</w:t>
      </w:r>
    </w:p>
    <w:p w14:paraId="30D9CC98">
      <w:pPr>
        <w:pStyle w:val="92"/>
        <w:numPr>
          <w:ilvl w:val="0"/>
          <w:numId w:val="1"/>
        </w:numPr>
        <w:spacing w:line="560" w:lineRule="exact"/>
        <w:ind w:firstLineChars="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项目概况</w:t>
      </w:r>
    </w:p>
    <w:p w14:paraId="3A97F16B">
      <w:pPr>
        <w:kinsoku w:val="0"/>
        <w:overflowPunct w:val="0"/>
        <w:autoSpaceDE w:val="0"/>
        <w:autoSpaceDN w:val="0"/>
        <w:spacing w:line="560" w:lineRule="exact"/>
        <w:ind w:right="369" w:firstLine="640" w:firstLineChars="200"/>
        <w:rPr>
          <w:rFonts w:ascii="方正仿宋_GBK" w:eastAsia="方正仿宋_GBK"/>
          <w:sz w:val="32"/>
          <w:szCs w:val="32"/>
          <w:vertAlign w:val="superscript"/>
        </w:rPr>
      </w:pPr>
      <w:bookmarkStart w:id="0" w:name="_Hlk90636542"/>
      <w:r>
        <w:rPr>
          <w:rFonts w:hint="eastAsia" w:ascii="方正仿宋_GBK" w:eastAsia="方正仿宋_GBK"/>
          <w:sz w:val="32"/>
          <w:szCs w:val="32"/>
        </w:rPr>
        <w:t>项目占地面积共计26230.9m</w:t>
      </w:r>
      <w:r>
        <w:rPr>
          <w:rFonts w:hint="eastAsia" w:ascii="方正仿宋_GBK" w:eastAsia="方正仿宋_GBK"/>
          <w:sz w:val="32"/>
          <w:szCs w:val="32"/>
          <w:vertAlign w:val="superscript"/>
        </w:rPr>
        <w:t>2</w:t>
      </w:r>
      <w:r>
        <w:rPr>
          <w:rFonts w:hint="eastAsia" w:ascii="方正仿宋_GBK" w:eastAsia="方正仿宋_GBK"/>
          <w:sz w:val="32"/>
          <w:szCs w:val="32"/>
        </w:rPr>
        <w:t>；总建筑面积19971.15 m</w:t>
      </w:r>
      <w:r>
        <w:rPr>
          <w:rFonts w:hint="eastAsia" w:ascii="方正仿宋_GBK" w:eastAsia="方正仿宋_GBK"/>
          <w:sz w:val="32"/>
          <w:szCs w:val="32"/>
          <w:vertAlign w:val="superscript"/>
        </w:rPr>
        <w:t>2</w:t>
      </w:r>
      <w:r>
        <w:rPr>
          <w:rFonts w:hint="eastAsia" w:ascii="方正仿宋_GBK" w:eastAsia="方正仿宋_GBK"/>
          <w:sz w:val="32"/>
          <w:szCs w:val="32"/>
        </w:rPr>
        <w:t>，其中审判法庭综合楼13411.99hm</w:t>
      </w:r>
      <w:r>
        <w:rPr>
          <w:rFonts w:hint="eastAsia" w:ascii="方正仿宋_GBK" w:eastAsia="方正仿宋_GBK"/>
          <w:sz w:val="32"/>
          <w:szCs w:val="32"/>
          <w:vertAlign w:val="superscript"/>
        </w:rPr>
        <w:t>2</w:t>
      </w:r>
      <w:r>
        <w:rPr>
          <w:rFonts w:hint="eastAsia" w:ascii="方正仿宋_GBK" w:eastAsia="方正仿宋_GBK"/>
          <w:sz w:val="32"/>
          <w:szCs w:val="32"/>
        </w:rPr>
        <w:t>，值班室建筑面积86.6 m</w:t>
      </w:r>
      <w:r>
        <w:rPr>
          <w:rFonts w:hint="eastAsia" w:ascii="方正仿宋_GBK" w:eastAsia="方正仿宋_GBK"/>
          <w:sz w:val="32"/>
          <w:szCs w:val="32"/>
          <w:vertAlign w:val="superscript"/>
        </w:rPr>
        <w:t>2</w:t>
      </w:r>
      <w:r>
        <w:rPr>
          <w:rFonts w:hint="eastAsia" w:ascii="方正仿宋_GBK" w:eastAsia="方正仿宋_GBK"/>
          <w:sz w:val="32"/>
          <w:szCs w:val="32"/>
        </w:rPr>
        <w:t>，安检门卫室建筑面积61 m</w:t>
      </w:r>
      <w:r>
        <w:rPr>
          <w:rFonts w:hint="eastAsia" w:ascii="方正仿宋_GBK" w:eastAsia="方正仿宋_GBK"/>
          <w:sz w:val="32"/>
          <w:szCs w:val="32"/>
          <w:vertAlign w:val="superscript"/>
        </w:rPr>
        <w:t>2</w:t>
      </w:r>
      <w:r>
        <w:rPr>
          <w:rFonts w:hint="eastAsia" w:ascii="方正仿宋_GBK" w:eastAsia="方正仿宋_GBK"/>
          <w:sz w:val="32"/>
          <w:szCs w:val="32"/>
        </w:rPr>
        <w:t>，地下停车库6387.22 m</w:t>
      </w:r>
      <w:r>
        <w:rPr>
          <w:rFonts w:hint="eastAsia" w:ascii="方正仿宋_GBK" w:eastAsia="方正仿宋_GBK"/>
          <w:sz w:val="32"/>
          <w:szCs w:val="32"/>
          <w:vertAlign w:val="superscript"/>
        </w:rPr>
        <w:t xml:space="preserve">2  </w:t>
      </w:r>
      <w:r>
        <w:rPr>
          <w:rFonts w:hint="eastAsia" w:ascii="方正仿宋_GBK" w:eastAsia="方正仿宋_GBK"/>
          <w:sz w:val="32"/>
          <w:szCs w:val="32"/>
        </w:rPr>
        <w:t>。</w:t>
      </w:r>
      <w:r>
        <w:rPr>
          <w:rFonts w:hint="eastAsia" w:ascii="方正仿宋_GBK" w:eastAsia="方正仿宋_GBK"/>
          <w:sz w:val="32"/>
          <w:szCs w:val="32"/>
          <w:vertAlign w:val="superscript"/>
        </w:rPr>
        <w:t xml:space="preserve"> </w:t>
      </w:r>
      <w:r>
        <w:rPr>
          <w:rFonts w:hint="eastAsia" w:ascii="方正仿宋_GBK" w:eastAsia="方正仿宋_GBK"/>
          <w:sz w:val="32"/>
          <w:szCs w:val="32"/>
        </w:rPr>
        <w:t>项目挖方量为18.42万m³（含表土剥离量0.40万m</w:t>
      </w:r>
      <w:r>
        <w:rPr>
          <w:rFonts w:hint="eastAsia" w:ascii="方正仿宋_GBK" w:eastAsia="方正仿宋_GBK"/>
          <w:sz w:val="32"/>
          <w:szCs w:val="32"/>
          <w:vertAlign w:val="superscript"/>
        </w:rPr>
        <w:t>3</w:t>
      </w:r>
      <w:r>
        <w:rPr>
          <w:rFonts w:hint="eastAsia" w:ascii="方正仿宋_GBK" w:eastAsia="方正仿宋_GBK"/>
          <w:sz w:val="32"/>
          <w:szCs w:val="32"/>
        </w:rPr>
        <w:t>），填方量为3.3万（含表土回填0.40万m</w:t>
      </w:r>
      <w:r>
        <w:rPr>
          <w:rFonts w:hint="eastAsia" w:ascii="方正仿宋_GBK" w:eastAsia="方正仿宋_GBK"/>
          <w:sz w:val="32"/>
          <w:szCs w:val="32"/>
          <w:vertAlign w:val="superscript"/>
        </w:rPr>
        <w:t>3</w:t>
      </w:r>
      <w:r>
        <w:rPr>
          <w:rFonts w:hint="eastAsia" w:ascii="方正仿宋_GBK" w:eastAsia="方正仿宋_GBK"/>
          <w:sz w:val="32"/>
          <w:szCs w:val="32"/>
        </w:rPr>
        <w:t>），余方量15.12万m</w:t>
      </w:r>
      <w:r>
        <w:rPr>
          <w:rFonts w:hint="eastAsia" w:ascii="方正仿宋_GBK" w:eastAsia="方正仿宋_GBK"/>
          <w:sz w:val="32"/>
          <w:szCs w:val="32"/>
          <w:vertAlign w:val="superscript"/>
        </w:rPr>
        <w:t>3</w:t>
      </w:r>
      <w:r>
        <w:rPr>
          <w:rFonts w:hint="eastAsia" w:ascii="方正仿宋_GBK" w:eastAsia="方正仿宋_GBK"/>
          <w:sz w:val="32"/>
          <w:szCs w:val="32"/>
        </w:rPr>
        <w:t>。将生产的余方运至丰石高速公路石柱西互通至南宾工业园区B区连接道路工程弃土回填。余方处置过程中防治责任主体为石柱县人民法院。</w:t>
      </w:r>
    </w:p>
    <w:p w14:paraId="09B54C8E">
      <w:pPr>
        <w:kinsoku w:val="0"/>
        <w:overflowPunct w:val="0"/>
        <w:autoSpaceDE w:val="0"/>
        <w:autoSpaceDN w:val="0"/>
        <w:spacing w:line="560" w:lineRule="exact"/>
        <w:ind w:right="369" w:firstLine="640" w:firstLineChars="200"/>
        <w:rPr>
          <w:rFonts w:ascii="方正仿宋_GBK" w:eastAsia="方正仿宋_GBK"/>
          <w:sz w:val="32"/>
          <w:szCs w:val="32"/>
        </w:rPr>
      </w:pPr>
      <w:r>
        <w:rPr>
          <w:rFonts w:hint="eastAsia" w:ascii="方正仿宋_GBK" w:eastAsia="方正仿宋_GBK"/>
          <w:sz w:val="32"/>
          <w:szCs w:val="32"/>
        </w:rPr>
        <w:t>项目总工期为24个月，计划建设工期为2021年11月至2023年10月。</w:t>
      </w:r>
    </w:p>
    <w:bookmarkEnd w:id="0"/>
    <w:p w14:paraId="0FB9F4FC">
      <w:pPr>
        <w:spacing w:line="560" w:lineRule="exact"/>
        <w:ind w:right="369"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二、水土保持方案总体意见</w:t>
      </w:r>
    </w:p>
    <w:p w14:paraId="638ACFE6">
      <w:pPr>
        <w:autoSpaceDE w:val="0"/>
        <w:autoSpaceDN w:val="0"/>
        <w:spacing w:line="560" w:lineRule="exact"/>
        <w:ind w:firstLine="640" w:firstLineChars="200"/>
        <w:rPr>
          <w:rFonts w:ascii="方正仿宋_GBK" w:hAnsi="宋体" w:eastAsia="方正仿宋_GBK" w:cs="宋体"/>
          <w:kern w:val="0"/>
          <w:sz w:val="32"/>
          <w:szCs w:val="32"/>
        </w:rPr>
      </w:pPr>
      <w:r>
        <w:rPr>
          <w:rFonts w:hint="eastAsia" w:ascii="方正仿宋_GBK" w:hAnsi="方正仿宋_GBK" w:eastAsia="方正仿宋_GBK" w:cs="方正仿宋_GBK"/>
          <w:kern w:val="0"/>
          <w:sz w:val="32"/>
          <w:szCs w:val="32"/>
        </w:rPr>
        <w:t>（一）</w:t>
      </w:r>
      <w:r>
        <w:rPr>
          <w:rFonts w:hint="eastAsia" w:ascii="方正仿宋_GBK" w:hAnsi="宋体" w:eastAsia="方正仿宋_GBK" w:cs="宋体"/>
          <w:kern w:val="0"/>
          <w:sz w:val="32"/>
          <w:szCs w:val="32"/>
        </w:rPr>
        <w:t>基本同意工程建设生产期水土流失防治责任范围为2.62h</w:t>
      </w:r>
      <w:r>
        <w:rPr>
          <w:rFonts w:ascii="方正仿宋_GBK" w:hAnsi="宋体" w:eastAsia="方正仿宋_GBK" w:cs="宋体"/>
          <w:kern w:val="0"/>
          <w:sz w:val="32"/>
          <w:szCs w:val="32"/>
        </w:rPr>
        <w:t>m</w:t>
      </w:r>
      <w:r>
        <w:rPr>
          <w:rFonts w:ascii="方正仿宋_GBK" w:hAnsi="宋体" w:eastAsia="方正仿宋_GBK" w:cs="宋体"/>
          <w:kern w:val="0"/>
          <w:sz w:val="32"/>
          <w:szCs w:val="32"/>
          <w:vertAlign w:val="superscript"/>
        </w:rPr>
        <w:t>2</w:t>
      </w:r>
      <w:r>
        <w:rPr>
          <w:rFonts w:hint="eastAsia" w:ascii="方正仿宋_GBK" w:hAnsi="方正仿宋_GBK" w:eastAsia="方正仿宋_GBK" w:cs="方正仿宋_GBK"/>
          <w:kern w:val="0"/>
          <w:sz w:val="32"/>
          <w:szCs w:val="32"/>
        </w:rPr>
        <w:t>。</w:t>
      </w:r>
    </w:p>
    <w:p w14:paraId="7BFA05AF">
      <w:pPr>
        <w:autoSpaceDE w:val="0"/>
        <w:autoSpaceDN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（二）同意水土流失防治执行西南紫色土区建设类项目一级标准。</w:t>
      </w:r>
    </w:p>
    <w:p w14:paraId="3861362C">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（三）基本同意水土流失防治指标为：水土流失防治指标为水土流失治理度97%，渣土挡护率92%，土壤流失控制比1.0，林草植被恢复率97%，林草覆盖率25%，表土保护率92%。</w:t>
      </w:r>
    </w:p>
    <w:p w14:paraId="574E098E">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（四）基本同意水土流失防治分区和分区防治措施布设。</w:t>
      </w:r>
    </w:p>
    <w:p w14:paraId="7DD95C24">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（五）基本同意土石方调配方案。</w:t>
      </w:r>
    </w:p>
    <w:p w14:paraId="3CEE955C">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（六）基本同意水土保持方案实施进度安排。</w:t>
      </w:r>
    </w:p>
    <w:p w14:paraId="3303EAB9">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（七）基本同意水土保持监测时段、内容和方法。</w:t>
      </w:r>
    </w:p>
    <w:p w14:paraId="4312FB49">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w:t>
      </w:r>
      <w:r>
        <w:rPr>
          <w:rFonts w:ascii="方正仿宋_GBK" w:hAnsi="方正仿宋_GBK" w:eastAsia="方正仿宋_GBK" w:cs="方正仿宋_GBK"/>
          <w:kern w:val="0"/>
          <w:sz w:val="32"/>
          <w:szCs w:val="32"/>
        </w:rPr>
        <w:t>基本同意方案设计水平年为 202</w:t>
      </w:r>
      <w:r>
        <w:rPr>
          <w:rFonts w:hint="eastAsia" w:ascii="方正仿宋_GBK" w:hAnsi="方正仿宋_GBK" w:eastAsia="方正仿宋_GBK" w:cs="方正仿宋_GBK"/>
          <w:kern w:val="0"/>
          <w:sz w:val="32"/>
          <w:szCs w:val="32"/>
        </w:rPr>
        <w:t>4</w:t>
      </w:r>
      <w:r>
        <w:rPr>
          <w:rFonts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rPr>
        <w:t>。</w:t>
      </w:r>
    </w:p>
    <w:p w14:paraId="7CF91890">
      <w:pPr>
        <w:spacing w:line="560" w:lineRule="exact"/>
        <w:ind w:firstLine="640" w:firstLineChars="200"/>
        <w:outlineLvl w:val="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三、水土保持方案投资</w:t>
      </w:r>
    </w:p>
    <w:p w14:paraId="1BC1072E">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水土保持总投资为100.55万元，其中主体设计已列水土保持投资50.99万元，主体设计投资中：工程措施费32.50万元，植物措施17.51万元，方案新增水土保持投资49.56万元，新增投资中：监测措施20.45万元，临时措施费15.08万元，独立费用7.76万元，水土保持补偿费36723元。</w:t>
      </w:r>
    </w:p>
    <w:p w14:paraId="64D36996">
      <w:pPr>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四、建设单位在项目建设中应全面落实《中华人民共和国水土保持法》《重庆市实施&lt;中华人民共和国水土保持法&gt;办法》的各项要求，并重点做好以下工作：</w:t>
      </w:r>
    </w:p>
    <w:p w14:paraId="72D00D01">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（一）按照批复的水土保持方案，加强施工组织和管理工作，切实落实水土保持“三同时”制度。</w:t>
      </w:r>
    </w:p>
    <w:p w14:paraId="7970F1E9">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（二）严格按方案落实各项水土保持措施。</w:t>
      </w:r>
    </w:p>
    <w:p w14:paraId="08E79E89">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（三）切实做好水土保持监测工作，加强水土流失动态监控，并按规定向我局提交监测实施方案、季度报告及总结报告。</w:t>
      </w:r>
    </w:p>
    <w:p w14:paraId="34946A2D">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（四）落实好水土保持监理工作，确保水土保持工程建设进度和质量。</w:t>
      </w:r>
    </w:p>
    <w:p w14:paraId="0D501403">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（五）本工程的地点、规模如发生重大变化，应及时补充或修改水土保持方案报我局审批。方案实施过程中，水土保持措施如需作出重大变更的，也必须报我局批准。</w:t>
      </w:r>
    </w:p>
    <w:p w14:paraId="40579D37">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（六）项目动工前和生产期应及时申请缴纳水土保持补偿费。在工程建设过程中，严格按照批准的水土保持方案，完成各项水土保持措施，并接受我局监督检查。</w:t>
      </w:r>
    </w:p>
    <w:p w14:paraId="2D7B1896">
      <w:pPr>
        <w:autoSpaceDE w:val="0"/>
        <w:autoSpaceDN w:val="0"/>
        <w:spacing w:line="560" w:lineRule="exact"/>
        <w:ind w:firstLine="63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五、</w:t>
      </w:r>
      <w:r>
        <w:rPr>
          <w:rFonts w:hint="eastAsia" w:ascii="方正仿宋_GBK" w:hAnsi="方正仿宋_GBK" w:eastAsia="方正仿宋_GBK" w:cs="方正仿宋_GBK"/>
          <w:b/>
          <w:kern w:val="0"/>
          <w:sz w:val="32"/>
          <w:szCs w:val="32"/>
        </w:rPr>
        <w:t>该许可文件只作为该项目水土保持方案许可。</w:t>
      </w:r>
    </w:p>
    <w:p w14:paraId="0644B4F2">
      <w:pPr>
        <w:autoSpaceDE w:val="0"/>
        <w:autoSpaceDN w:val="0"/>
        <w:spacing w:line="560" w:lineRule="exact"/>
        <w:ind w:firstLine="63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六、</w:t>
      </w:r>
      <w:r>
        <w:rPr>
          <w:rFonts w:hint="eastAsia" w:ascii="方正仿宋_GBK" w:hAnsi="宋体" w:eastAsia="方正仿宋_GBK"/>
          <w:b/>
          <w:kern w:val="0"/>
          <w:sz w:val="32"/>
          <w:szCs w:val="32"/>
        </w:rPr>
        <w:t>本行政许可决定有效期为3年，自签发之日起计算，期满后若该工程未开工建设，本行政许可决定自行失效,确需延期的,项目业主应在有效期届满前30日内提出延期申请。</w:t>
      </w:r>
    </w:p>
    <w:p w14:paraId="02E48799">
      <w:pPr>
        <w:autoSpaceDE w:val="0"/>
        <w:autoSpaceDN w:val="0"/>
        <w:spacing w:line="560" w:lineRule="exact"/>
        <w:ind w:firstLine="630"/>
        <w:rPr>
          <w:rFonts w:ascii="方正黑体_GBK" w:hAnsi="方正黑体_GBK" w:eastAsia="方正黑体_GBK" w:cs="方正黑体_GBK"/>
          <w:b/>
          <w:kern w:val="0"/>
          <w:sz w:val="32"/>
          <w:szCs w:val="32"/>
        </w:rPr>
      </w:pPr>
    </w:p>
    <w:p w14:paraId="36DFAA98">
      <w:pPr>
        <w:autoSpaceDE w:val="0"/>
        <w:autoSpaceDN w:val="0"/>
        <w:spacing w:line="560" w:lineRule="exact"/>
        <w:ind w:left="1065" w:leftChars="50" w:hanging="960" w:hangingChars="300"/>
        <w:jc w:val="left"/>
        <w:textAlignment w:val="baseline"/>
        <w:rPr>
          <w:b/>
          <w:sz w:val="24"/>
          <w:szCs w:val="20"/>
        </w:rPr>
      </w:pPr>
      <w:r>
        <w:rPr>
          <w:rFonts w:hint="eastAsia" w:ascii="方正仿宋_GBK" w:hAnsi="方正仿宋_GBK" w:eastAsia="方正仿宋_GBK" w:cs="方正仿宋_GBK"/>
          <w:kern w:val="0"/>
          <w:sz w:val="32"/>
          <w:szCs w:val="32"/>
        </w:rPr>
        <w:t>附件：1. 石柱县人民法院审判法庭项目</w:t>
      </w:r>
      <w:r>
        <w:rPr>
          <w:rFonts w:ascii="方正仿宋_GBK" w:hAnsi="方正仿宋_GBK" w:eastAsia="方正仿宋_GBK" w:cs="方正仿宋_GBK"/>
          <w:kern w:val="0"/>
          <w:sz w:val="32"/>
          <w:szCs w:val="32"/>
        </w:rPr>
        <w:t>水土保持方案特性表</w:t>
      </w:r>
    </w:p>
    <w:p w14:paraId="01E99F7D">
      <w:pPr>
        <w:autoSpaceDE w:val="0"/>
        <w:autoSpaceDN w:val="0"/>
        <w:spacing w:line="560" w:lineRule="exact"/>
        <w:ind w:left="945" w:leftChars="450" w:firstLine="160" w:firstLineChars="50"/>
        <w:jc w:val="left"/>
        <w:textAlignment w:val="baseline"/>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 石柱县人民法院审判法庭项目水土保持方案报告书审查意见</w:t>
      </w:r>
    </w:p>
    <w:p w14:paraId="360C7DCB">
      <w:pPr>
        <w:spacing w:line="560" w:lineRule="exact"/>
        <w:ind w:firstLine="4800" w:firstLineChars="1500"/>
        <w:rPr>
          <w:rFonts w:ascii="方正仿宋_GBK" w:hAnsi="方正仿宋_GBK" w:eastAsia="方正仿宋_GBK" w:cs="方正仿宋_GBK"/>
          <w:kern w:val="0"/>
          <w:sz w:val="32"/>
          <w:szCs w:val="32"/>
        </w:rPr>
      </w:pPr>
    </w:p>
    <w:p w14:paraId="0DD2064E">
      <w:pPr>
        <w:spacing w:line="560" w:lineRule="exact"/>
        <w:ind w:firstLine="4800" w:firstLineChars="1500"/>
        <w:rPr>
          <w:rFonts w:ascii="方正仿宋_GBK" w:hAnsi="方正仿宋_GBK" w:eastAsia="方正仿宋_GBK" w:cs="方正仿宋_GBK"/>
          <w:kern w:val="0"/>
          <w:sz w:val="32"/>
          <w:szCs w:val="32"/>
        </w:rPr>
      </w:pPr>
    </w:p>
    <w:p w14:paraId="34710A10">
      <w:pPr>
        <w:spacing w:line="560" w:lineRule="exact"/>
        <w:ind w:firstLine="4800" w:firstLineChars="1500"/>
        <w:rPr>
          <w:rFonts w:ascii="方正仿宋_GBK" w:hAnsi="方正仿宋_GBK" w:eastAsia="方正仿宋_GBK" w:cs="方正仿宋_GBK"/>
          <w:kern w:val="0"/>
          <w:sz w:val="32"/>
          <w:szCs w:val="32"/>
        </w:rPr>
      </w:pPr>
    </w:p>
    <w:p w14:paraId="7AC0E283">
      <w:pPr>
        <w:spacing w:line="560" w:lineRule="exact"/>
        <w:ind w:firstLine="4800" w:firstLineChars="1500"/>
        <w:rPr>
          <w:rFonts w:ascii="方正仿宋_GBK" w:hAnsi="方正仿宋_GBK" w:eastAsia="方正仿宋_GBK" w:cs="方正仿宋_GBK"/>
          <w:kern w:val="0"/>
          <w:sz w:val="32"/>
          <w:szCs w:val="32"/>
        </w:rPr>
      </w:pPr>
    </w:p>
    <w:p w14:paraId="689A8A9D">
      <w:pPr>
        <w:spacing w:line="560" w:lineRule="exact"/>
        <w:ind w:firstLine="4800" w:firstLineChars="15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石柱土家族自治县水利局</w:t>
      </w:r>
    </w:p>
    <w:p w14:paraId="77A37DF2">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2022年6月30日</w:t>
      </w:r>
    </w:p>
    <w:p w14:paraId="0C1A7B40">
      <w:pPr>
        <w:spacing w:line="560" w:lineRule="exact"/>
        <w:rPr>
          <w:rFonts w:ascii="方正仿宋_GBK" w:hAnsi="方正仿宋_GBK" w:eastAsia="方正仿宋_GBK" w:cs="方正仿宋_GBK"/>
          <w:kern w:val="0"/>
          <w:sz w:val="32"/>
          <w:szCs w:val="32"/>
        </w:rPr>
      </w:pPr>
    </w:p>
    <w:p w14:paraId="774E18AD">
      <w:pPr>
        <w:spacing w:line="560" w:lineRule="exact"/>
        <w:rPr>
          <w:rFonts w:ascii="方正仿宋_GBK" w:hAnsi="方正仿宋_GBK" w:eastAsia="方正仿宋_GBK" w:cs="方正仿宋_GBK"/>
          <w:kern w:val="0"/>
          <w:sz w:val="32"/>
          <w:szCs w:val="32"/>
        </w:rPr>
      </w:pPr>
    </w:p>
    <w:p w14:paraId="1355DA39">
      <w:pPr>
        <w:spacing w:line="560" w:lineRule="exact"/>
        <w:rPr>
          <w:rFonts w:hint="eastAsia" w:ascii="方正仿宋_GBK" w:hAnsi="方正仿宋_GBK" w:eastAsia="方正仿宋_GBK" w:cs="方正仿宋_GBK"/>
          <w:kern w:val="0"/>
          <w:sz w:val="32"/>
          <w:szCs w:val="32"/>
        </w:rPr>
      </w:pPr>
    </w:p>
    <w:p w14:paraId="00E6232B">
      <w:pPr>
        <w:spacing w:line="560" w:lineRule="exact"/>
        <w:rPr>
          <w:rFonts w:ascii="方正仿宋_GBK" w:hAnsi="方正仿宋_GBK" w:eastAsia="方正仿宋_GBK" w:cs="方正仿宋_GBK"/>
          <w:kern w:val="0"/>
          <w:sz w:val="32"/>
          <w:szCs w:val="32"/>
        </w:rPr>
      </w:pPr>
    </w:p>
    <w:p w14:paraId="4F22E27F">
      <w:pPr>
        <w:spacing w:line="560" w:lineRule="exact"/>
        <w:rPr>
          <w:rFonts w:ascii="方正仿宋_GBK" w:hAnsi="方正仿宋_GBK" w:eastAsia="方正仿宋_GBK" w:cs="方正仿宋_GBK"/>
          <w:kern w:val="0"/>
          <w:sz w:val="32"/>
          <w:szCs w:val="32"/>
        </w:rPr>
      </w:pPr>
    </w:p>
    <w:p w14:paraId="7E9E001C">
      <w:pPr>
        <w:spacing w:line="560" w:lineRule="exact"/>
        <w:ind w:firstLine="240" w:firstLineChars="100"/>
        <w:rPr>
          <w:rFonts w:ascii="方正仿宋_GBK" w:eastAsia="方正仿宋_GBK"/>
          <w:spacing w:val="-20"/>
          <w:sz w:val="28"/>
          <w:szCs w:val="28"/>
        </w:rPr>
      </w:pPr>
      <w:r>
        <w:rPr>
          <w:rFonts w:ascii="方正仿宋_GBK" w:hAnsi="宋体" w:eastAsia="方正仿宋_GBK" w:cs="宋体"/>
          <w:spacing w:val="-20"/>
          <w:kern w:val="0"/>
          <w:sz w:val="28"/>
          <w:szCs w:val="28"/>
        </w:rPr>
        <w:pict>
          <v:line id="直线 39" o:spid="_x0000_s1031" o:spt="20" style="position:absolute;left:0pt;margin-left:0pt;margin-top:3pt;height:0pt;width:450pt;z-index:251659264;mso-width-relative:page;mso-height-relative:page;" coordsize="21600,21600">
            <v:path arrowok="t"/>
            <v:fill focussize="0,0"/>
            <v:stroke/>
            <v:imagedata o:title=""/>
            <o:lock v:ext="edit"/>
          </v:line>
        </w:pict>
      </w:r>
      <w:r>
        <w:rPr>
          <w:rFonts w:hint="eastAsia" w:ascii="方正仿宋_GBK" w:eastAsia="方正仿宋_GBK"/>
          <w:spacing w:val="-20"/>
          <w:sz w:val="28"/>
          <w:szCs w:val="28"/>
        </w:rPr>
        <w:t>抄送：</w:t>
      </w:r>
      <w:r>
        <w:rPr>
          <w:rFonts w:hint="eastAsia" w:ascii="方正仿宋_GBK" w:eastAsia="方正仿宋_GBK"/>
          <w:sz w:val="28"/>
          <w:szCs w:val="28"/>
        </w:rPr>
        <w:t>刘学彬局长，  李光荣副局长，县水保站，</w:t>
      </w:r>
      <w:bookmarkStart w:id="4" w:name="_GoBack"/>
      <w:bookmarkEnd w:id="4"/>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2111D822">
      <w:pPr>
        <w:spacing w:line="520" w:lineRule="exact"/>
        <w:ind w:left="2590" w:leftChars="100" w:hanging="2380" w:hangingChars="850"/>
        <w:rPr>
          <w:sz w:val="11"/>
          <w:szCs w:val="11"/>
        </w:rPr>
      </w:pPr>
      <w:r>
        <w:rPr>
          <w:rFonts w:ascii="方正仿宋_GBK" w:eastAsia="方正仿宋_GBK"/>
          <w:sz w:val="28"/>
          <w:szCs w:val="28"/>
        </w:rPr>
        <w:pict>
          <v:line id="直线 32" o:spid="_x0000_s1032" o:spt="20" style="position:absolute;left:0pt;margin-left:0pt;margin-top:25.75pt;height:0pt;width:450pt;z-index:251660288;mso-width-relative:page;mso-height-relative:page;" coordsize="21600,21600">
            <v:path arrowok="t"/>
            <v:fill focussize="0,0"/>
            <v:stroke/>
            <v:imagedata o:title=""/>
            <o:lock v:ext="edit"/>
          </v:line>
        </w:pict>
      </w:r>
      <w:r>
        <w:rPr>
          <w:rFonts w:ascii="方正仿宋_GBK" w:eastAsia="方正仿宋_GBK"/>
          <w:sz w:val="28"/>
          <w:szCs w:val="28"/>
        </w:rPr>
        <w:pict>
          <v:line id="直线 31" o:spid="_x0000_s1033" o:spt="20" style="position:absolute;left:0pt;margin-left:0pt;margin-top:0.5pt;height:0pt;width:450pt;z-index:251661312;mso-width-relative:page;mso-height-relative:page;" coordsize="21600,21600">
            <v:path arrowok="t"/>
            <v:fill focussize="0,0"/>
            <v:stroke/>
            <v:imagedata o:title=""/>
            <o:lock v:ext="edit"/>
          </v:line>
        </w:pict>
      </w:r>
      <w:r>
        <w:rPr>
          <w:rFonts w:hint="eastAsia" w:ascii="方正仿宋_GBK" w:eastAsia="方正仿宋_GBK"/>
          <w:sz w:val="28"/>
          <w:szCs w:val="28"/>
        </w:rPr>
        <w:t>石柱土家族自治县水利局办公室              2022年6月30日印</w:t>
      </w:r>
    </w:p>
    <w:p w14:paraId="48CE4FD5">
      <w:pPr>
        <w:topLinePunct/>
        <w:snapToGrid w:val="0"/>
        <w:rPr>
          <w:rFonts w:ascii="方正仿宋_GBK" w:hAnsi="仿宋" w:eastAsia="方正仿宋_GBK"/>
          <w:sz w:val="24"/>
        </w:rPr>
      </w:pPr>
      <w:r>
        <w:rPr>
          <w:rFonts w:hint="eastAsia" w:ascii="方正仿宋_GBK" w:hAnsi="仿宋" w:eastAsia="方正仿宋_GBK"/>
          <w:sz w:val="24"/>
        </w:rPr>
        <w:t>附件1           石柱县人民法院审判法庭项目特性表</w:t>
      </w:r>
    </w:p>
    <w:p w14:paraId="3EDD6837">
      <w:pPr>
        <w:jc w:val="left"/>
        <w:rPr>
          <w:rFonts w:ascii="宋体" w:hAnsi="宋体" w:cs="宋体"/>
          <w:kern w:val="0"/>
          <w:szCs w:val="21"/>
        </w:rPr>
      </w:pP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1"/>
        <w:gridCol w:w="549"/>
        <w:gridCol w:w="457"/>
        <w:gridCol w:w="750"/>
        <w:gridCol w:w="696"/>
        <w:gridCol w:w="618"/>
        <w:gridCol w:w="955"/>
        <w:gridCol w:w="323"/>
        <w:gridCol w:w="391"/>
        <w:gridCol w:w="993"/>
        <w:gridCol w:w="1044"/>
        <w:gridCol w:w="420"/>
        <w:gridCol w:w="1413"/>
      </w:tblGrid>
      <w:tr w14:paraId="0594E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04" w:type="pct"/>
            <w:gridSpan w:val="3"/>
            <w:vAlign w:val="center"/>
          </w:tcPr>
          <w:p w14:paraId="528B1F5A">
            <w:pPr>
              <w:widowControl/>
              <w:adjustRightInd w:val="0"/>
              <w:snapToGrid w:val="0"/>
              <w:jc w:val="center"/>
              <w:rPr>
                <w:rFonts w:eastAsia="仿宋"/>
                <w:sz w:val="18"/>
                <w:szCs w:val="18"/>
              </w:rPr>
            </w:pPr>
            <w:r>
              <w:rPr>
                <w:rFonts w:eastAsia="仿宋"/>
                <w:sz w:val="18"/>
                <w:szCs w:val="18"/>
              </w:rPr>
              <w:t>项目名称</w:t>
            </w:r>
          </w:p>
        </w:tc>
        <w:tc>
          <w:tcPr>
            <w:tcW w:w="2608" w:type="pct"/>
            <w:gridSpan w:val="7"/>
            <w:vAlign w:val="center"/>
          </w:tcPr>
          <w:p w14:paraId="56CCB4D2">
            <w:pPr>
              <w:widowControl/>
              <w:adjustRightInd w:val="0"/>
              <w:snapToGrid w:val="0"/>
              <w:jc w:val="center"/>
              <w:rPr>
                <w:rFonts w:eastAsia="仿宋"/>
                <w:sz w:val="18"/>
                <w:szCs w:val="18"/>
              </w:rPr>
            </w:pPr>
            <w:r>
              <w:rPr>
                <w:rFonts w:hint="eastAsia" w:eastAsia="仿宋"/>
                <w:sz w:val="18"/>
                <w:szCs w:val="18"/>
              </w:rPr>
              <w:t>石柱县人民法院审判法庭</w:t>
            </w:r>
            <w:r>
              <w:rPr>
                <w:rFonts w:eastAsia="仿宋"/>
                <w:sz w:val="18"/>
                <w:szCs w:val="18"/>
              </w:rPr>
              <w:t>项目</w:t>
            </w:r>
          </w:p>
        </w:tc>
        <w:tc>
          <w:tcPr>
            <w:tcW w:w="808" w:type="pct"/>
            <w:gridSpan w:val="2"/>
            <w:vAlign w:val="center"/>
          </w:tcPr>
          <w:p w14:paraId="3498736D">
            <w:pPr>
              <w:widowControl/>
              <w:adjustRightInd w:val="0"/>
              <w:snapToGrid w:val="0"/>
              <w:jc w:val="center"/>
              <w:rPr>
                <w:rFonts w:eastAsia="仿宋"/>
                <w:sz w:val="18"/>
                <w:szCs w:val="18"/>
              </w:rPr>
            </w:pPr>
            <w:r>
              <w:rPr>
                <w:rFonts w:eastAsia="仿宋"/>
                <w:sz w:val="18"/>
                <w:szCs w:val="18"/>
              </w:rPr>
              <w:t>流域管理机构</w:t>
            </w:r>
          </w:p>
        </w:tc>
        <w:tc>
          <w:tcPr>
            <w:tcW w:w="779" w:type="pct"/>
            <w:vAlign w:val="center"/>
          </w:tcPr>
          <w:p w14:paraId="31D1955C">
            <w:pPr>
              <w:widowControl/>
              <w:adjustRightInd w:val="0"/>
              <w:snapToGrid w:val="0"/>
              <w:jc w:val="center"/>
              <w:rPr>
                <w:rFonts w:eastAsia="仿宋"/>
                <w:sz w:val="18"/>
                <w:szCs w:val="18"/>
              </w:rPr>
            </w:pPr>
            <w:r>
              <w:rPr>
                <w:rFonts w:eastAsia="仿宋"/>
                <w:sz w:val="18"/>
                <w:szCs w:val="18"/>
              </w:rPr>
              <w:t>水利部长江水利委员会</w:t>
            </w:r>
          </w:p>
        </w:tc>
      </w:tr>
      <w:tr w14:paraId="6D6EF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804" w:type="pct"/>
            <w:gridSpan w:val="3"/>
            <w:vAlign w:val="center"/>
          </w:tcPr>
          <w:p w14:paraId="60C8A8E4">
            <w:pPr>
              <w:widowControl/>
              <w:adjustRightInd w:val="0"/>
              <w:snapToGrid w:val="0"/>
              <w:jc w:val="center"/>
              <w:rPr>
                <w:rFonts w:eastAsia="仿宋"/>
                <w:sz w:val="18"/>
                <w:szCs w:val="18"/>
              </w:rPr>
            </w:pPr>
            <w:r>
              <w:rPr>
                <w:rFonts w:eastAsia="仿宋"/>
                <w:sz w:val="18"/>
                <w:szCs w:val="18"/>
              </w:rPr>
              <w:t>涉及省区</w:t>
            </w:r>
          </w:p>
        </w:tc>
        <w:tc>
          <w:tcPr>
            <w:tcW w:w="1139" w:type="pct"/>
            <w:gridSpan w:val="3"/>
            <w:vAlign w:val="center"/>
          </w:tcPr>
          <w:p w14:paraId="4036FB9D">
            <w:pPr>
              <w:widowControl/>
              <w:adjustRightInd w:val="0"/>
              <w:snapToGrid w:val="0"/>
              <w:jc w:val="center"/>
              <w:rPr>
                <w:rFonts w:eastAsia="仿宋"/>
                <w:sz w:val="18"/>
                <w:szCs w:val="18"/>
              </w:rPr>
            </w:pPr>
            <w:r>
              <w:rPr>
                <w:rFonts w:eastAsia="仿宋"/>
                <w:sz w:val="18"/>
                <w:szCs w:val="18"/>
              </w:rPr>
              <w:t>重庆</w:t>
            </w:r>
          </w:p>
        </w:tc>
        <w:tc>
          <w:tcPr>
            <w:tcW w:w="921" w:type="pct"/>
            <w:gridSpan w:val="3"/>
            <w:vAlign w:val="center"/>
          </w:tcPr>
          <w:p w14:paraId="7F1F3EC5">
            <w:pPr>
              <w:widowControl/>
              <w:adjustRightInd w:val="0"/>
              <w:snapToGrid w:val="0"/>
              <w:jc w:val="center"/>
              <w:rPr>
                <w:rFonts w:eastAsia="仿宋"/>
                <w:sz w:val="18"/>
                <w:szCs w:val="18"/>
              </w:rPr>
            </w:pPr>
            <w:r>
              <w:rPr>
                <w:rFonts w:eastAsia="仿宋"/>
                <w:sz w:val="18"/>
                <w:szCs w:val="18"/>
              </w:rPr>
              <w:t>涉及地市或个数</w:t>
            </w:r>
          </w:p>
        </w:tc>
        <w:tc>
          <w:tcPr>
            <w:tcW w:w="548" w:type="pct"/>
            <w:vAlign w:val="center"/>
          </w:tcPr>
          <w:p w14:paraId="43EC9724">
            <w:pPr>
              <w:widowControl/>
              <w:adjustRightInd w:val="0"/>
              <w:snapToGrid w:val="0"/>
              <w:jc w:val="center"/>
              <w:rPr>
                <w:rFonts w:eastAsia="仿宋"/>
                <w:sz w:val="18"/>
                <w:szCs w:val="18"/>
              </w:rPr>
            </w:pPr>
            <w:r>
              <w:rPr>
                <w:rFonts w:eastAsia="仿宋"/>
                <w:sz w:val="18"/>
                <w:szCs w:val="18"/>
              </w:rPr>
              <w:t>/</w:t>
            </w:r>
          </w:p>
        </w:tc>
        <w:tc>
          <w:tcPr>
            <w:tcW w:w="808" w:type="pct"/>
            <w:gridSpan w:val="2"/>
            <w:vAlign w:val="center"/>
          </w:tcPr>
          <w:p w14:paraId="4C8FDD5A">
            <w:pPr>
              <w:widowControl/>
              <w:adjustRightInd w:val="0"/>
              <w:snapToGrid w:val="0"/>
              <w:jc w:val="center"/>
              <w:rPr>
                <w:rFonts w:eastAsia="仿宋"/>
                <w:sz w:val="18"/>
                <w:szCs w:val="18"/>
              </w:rPr>
            </w:pPr>
            <w:r>
              <w:rPr>
                <w:rFonts w:eastAsia="仿宋"/>
                <w:sz w:val="18"/>
                <w:szCs w:val="18"/>
              </w:rPr>
              <w:t>涉及区/县</w:t>
            </w:r>
          </w:p>
        </w:tc>
        <w:tc>
          <w:tcPr>
            <w:tcW w:w="779" w:type="pct"/>
            <w:vAlign w:val="center"/>
          </w:tcPr>
          <w:p w14:paraId="38424537">
            <w:pPr>
              <w:widowControl/>
              <w:tabs>
                <w:tab w:val="left" w:pos="309"/>
                <w:tab w:val="center" w:pos="660"/>
              </w:tabs>
              <w:adjustRightInd w:val="0"/>
              <w:snapToGrid w:val="0"/>
              <w:jc w:val="left"/>
              <w:rPr>
                <w:rFonts w:eastAsia="仿宋"/>
                <w:sz w:val="18"/>
                <w:szCs w:val="18"/>
              </w:rPr>
            </w:pPr>
            <w:r>
              <w:rPr>
                <w:rFonts w:eastAsia="仿宋"/>
                <w:sz w:val="18"/>
                <w:szCs w:val="18"/>
              </w:rPr>
              <w:tab/>
            </w:r>
            <w:r>
              <w:rPr>
                <w:rFonts w:eastAsia="仿宋"/>
                <w:sz w:val="18"/>
                <w:szCs w:val="18"/>
              </w:rPr>
              <w:t>石柱县</w:t>
            </w:r>
          </w:p>
        </w:tc>
      </w:tr>
      <w:tr w14:paraId="4EB68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04" w:type="pct"/>
            <w:gridSpan w:val="3"/>
            <w:vAlign w:val="center"/>
          </w:tcPr>
          <w:p w14:paraId="2081AA34">
            <w:pPr>
              <w:widowControl/>
              <w:adjustRightInd w:val="0"/>
              <w:snapToGrid w:val="0"/>
              <w:jc w:val="center"/>
              <w:rPr>
                <w:rFonts w:eastAsia="仿宋"/>
                <w:sz w:val="18"/>
                <w:szCs w:val="18"/>
              </w:rPr>
            </w:pPr>
            <w:r>
              <w:rPr>
                <w:rFonts w:eastAsia="仿宋"/>
                <w:sz w:val="18"/>
                <w:szCs w:val="18"/>
              </w:rPr>
              <w:t>项目规模</w:t>
            </w:r>
          </w:p>
        </w:tc>
        <w:tc>
          <w:tcPr>
            <w:tcW w:w="1139" w:type="pct"/>
            <w:gridSpan w:val="3"/>
            <w:vAlign w:val="center"/>
          </w:tcPr>
          <w:p w14:paraId="150B5CEE">
            <w:pPr>
              <w:widowControl/>
              <w:adjustRightInd w:val="0"/>
              <w:snapToGrid w:val="0"/>
              <w:jc w:val="center"/>
              <w:rPr>
                <w:rFonts w:eastAsia="仿宋"/>
                <w:sz w:val="18"/>
                <w:szCs w:val="18"/>
              </w:rPr>
            </w:pPr>
            <w:r>
              <w:rPr>
                <w:rFonts w:eastAsia="仿宋"/>
                <w:sz w:val="18"/>
                <w:szCs w:val="18"/>
              </w:rPr>
              <w:t>建设</w:t>
            </w:r>
            <w:r>
              <w:rPr>
                <w:rFonts w:hint="eastAsia" w:eastAsia="仿宋"/>
                <w:sz w:val="18"/>
                <w:szCs w:val="18"/>
              </w:rPr>
              <w:t>内容</w:t>
            </w:r>
            <w:r>
              <w:rPr>
                <w:rFonts w:eastAsia="仿宋"/>
                <w:sz w:val="18"/>
                <w:szCs w:val="18"/>
              </w:rPr>
              <w:t>包括1栋综合楼，1座地下停车库，景观绿化及若干车位等</w:t>
            </w:r>
            <w:r>
              <w:rPr>
                <w:rFonts w:hint="eastAsia" w:eastAsia="仿宋"/>
                <w:sz w:val="18"/>
                <w:szCs w:val="18"/>
              </w:rPr>
              <w:t>其中</w:t>
            </w:r>
            <w:r>
              <w:rPr>
                <w:rFonts w:eastAsia="仿宋"/>
                <w:sz w:val="18"/>
                <w:szCs w:val="18"/>
              </w:rPr>
              <w:t>审判法庭综合楼13436.33m</w:t>
            </w:r>
            <w:r>
              <w:rPr>
                <w:rFonts w:eastAsia="仿宋"/>
                <w:sz w:val="18"/>
                <w:szCs w:val="18"/>
                <w:vertAlign w:val="superscript"/>
              </w:rPr>
              <w:t>2</w:t>
            </w:r>
            <w:r>
              <w:rPr>
                <w:rFonts w:eastAsia="仿宋"/>
                <w:sz w:val="18"/>
                <w:szCs w:val="18"/>
              </w:rPr>
              <w:t>，值班室建筑面积86.6m</w:t>
            </w:r>
            <w:r>
              <w:rPr>
                <w:rFonts w:eastAsia="仿宋"/>
                <w:sz w:val="18"/>
                <w:szCs w:val="18"/>
                <w:vertAlign w:val="superscript"/>
              </w:rPr>
              <w:t>2</w:t>
            </w:r>
            <w:r>
              <w:rPr>
                <w:rFonts w:eastAsia="仿宋"/>
                <w:sz w:val="18"/>
                <w:szCs w:val="18"/>
              </w:rPr>
              <w:t>，安检门卫室建筑面积61m</w:t>
            </w:r>
            <w:r>
              <w:rPr>
                <w:rFonts w:eastAsia="仿宋"/>
                <w:sz w:val="18"/>
                <w:szCs w:val="18"/>
                <w:vertAlign w:val="superscript"/>
              </w:rPr>
              <w:t>2</w:t>
            </w:r>
            <w:r>
              <w:rPr>
                <w:rFonts w:eastAsia="仿宋"/>
                <w:sz w:val="18"/>
                <w:szCs w:val="18"/>
              </w:rPr>
              <w:t>，地下停车库6387.22m</w:t>
            </w:r>
            <w:r>
              <w:rPr>
                <w:rFonts w:eastAsia="仿宋"/>
                <w:sz w:val="18"/>
                <w:szCs w:val="18"/>
                <w:vertAlign w:val="superscript"/>
              </w:rPr>
              <w:t>2</w:t>
            </w:r>
            <w:r>
              <w:rPr>
                <w:rFonts w:hint="eastAsia" w:eastAsia="仿宋"/>
                <w:sz w:val="18"/>
                <w:szCs w:val="18"/>
              </w:rPr>
              <w:t>。</w:t>
            </w:r>
          </w:p>
        </w:tc>
        <w:tc>
          <w:tcPr>
            <w:tcW w:w="921" w:type="pct"/>
            <w:gridSpan w:val="3"/>
            <w:vAlign w:val="center"/>
          </w:tcPr>
          <w:p w14:paraId="1294F595">
            <w:pPr>
              <w:widowControl/>
              <w:adjustRightInd w:val="0"/>
              <w:snapToGrid w:val="0"/>
              <w:jc w:val="center"/>
              <w:rPr>
                <w:rFonts w:eastAsia="仿宋"/>
                <w:sz w:val="18"/>
                <w:szCs w:val="18"/>
              </w:rPr>
            </w:pPr>
            <w:r>
              <w:rPr>
                <w:rFonts w:eastAsia="仿宋"/>
                <w:sz w:val="18"/>
                <w:szCs w:val="18"/>
              </w:rPr>
              <w:t>总投资</w:t>
            </w:r>
          </w:p>
        </w:tc>
        <w:tc>
          <w:tcPr>
            <w:tcW w:w="548" w:type="pct"/>
            <w:vAlign w:val="center"/>
          </w:tcPr>
          <w:p w14:paraId="4D1A2F21">
            <w:pPr>
              <w:widowControl/>
              <w:adjustRightInd w:val="0"/>
              <w:snapToGrid w:val="0"/>
              <w:jc w:val="center"/>
              <w:rPr>
                <w:rFonts w:eastAsia="仿宋"/>
                <w:sz w:val="18"/>
                <w:szCs w:val="18"/>
              </w:rPr>
            </w:pPr>
            <w:r>
              <w:rPr>
                <w:rFonts w:hint="eastAsia" w:eastAsia="仿宋"/>
                <w:sz w:val="18"/>
                <w:szCs w:val="18"/>
              </w:rPr>
              <w:t>10739</w:t>
            </w:r>
            <w:r>
              <w:rPr>
                <w:rFonts w:eastAsia="仿宋"/>
                <w:sz w:val="18"/>
                <w:szCs w:val="18"/>
              </w:rPr>
              <w:t xml:space="preserve">万元 </w:t>
            </w:r>
          </w:p>
        </w:tc>
        <w:tc>
          <w:tcPr>
            <w:tcW w:w="808" w:type="pct"/>
            <w:gridSpan w:val="2"/>
            <w:vAlign w:val="center"/>
          </w:tcPr>
          <w:p w14:paraId="3C9F606F">
            <w:pPr>
              <w:widowControl/>
              <w:adjustRightInd w:val="0"/>
              <w:snapToGrid w:val="0"/>
              <w:jc w:val="center"/>
              <w:rPr>
                <w:rFonts w:eastAsia="仿宋"/>
                <w:sz w:val="18"/>
                <w:szCs w:val="18"/>
              </w:rPr>
            </w:pPr>
            <w:r>
              <w:rPr>
                <w:rFonts w:eastAsia="仿宋"/>
                <w:sz w:val="18"/>
                <w:szCs w:val="18"/>
              </w:rPr>
              <w:t>土建投资</w:t>
            </w:r>
          </w:p>
        </w:tc>
        <w:tc>
          <w:tcPr>
            <w:tcW w:w="779" w:type="pct"/>
            <w:vAlign w:val="center"/>
          </w:tcPr>
          <w:p w14:paraId="4C706E2B">
            <w:pPr>
              <w:widowControl/>
              <w:adjustRightInd w:val="0"/>
              <w:snapToGrid w:val="0"/>
              <w:jc w:val="center"/>
              <w:rPr>
                <w:rFonts w:eastAsia="仿宋"/>
                <w:sz w:val="18"/>
                <w:szCs w:val="18"/>
              </w:rPr>
            </w:pPr>
            <w:r>
              <w:rPr>
                <w:rFonts w:hint="eastAsia" w:eastAsia="仿宋"/>
                <w:sz w:val="18"/>
                <w:szCs w:val="18"/>
              </w:rPr>
              <w:t>7831</w:t>
            </w:r>
            <w:r>
              <w:rPr>
                <w:rFonts w:eastAsia="仿宋"/>
                <w:sz w:val="18"/>
                <w:szCs w:val="18"/>
              </w:rPr>
              <w:t>万元</w:t>
            </w:r>
          </w:p>
        </w:tc>
      </w:tr>
      <w:tr w14:paraId="62886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804" w:type="pct"/>
            <w:gridSpan w:val="3"/>
            <w:vAlign w:val="center"/>
          </w:tcPr>
          <w:p w14:paraId="65EF289F">
            <w:pPr>
              <w:widowControl/>
              <w:adjustRightInd w:val="0"/>
              <w:snapToGrid w:val="0"/>
              <w:jc w:val="center"/>
              <w:rPr>
                <w:rFonts w:eastAsia="仿宋"/>
                <w:sz w:val="18"/>
                <w:szCs w:val="18"/>
              </w:rPr>
            </w:pPr>
            <w:r>
              <w:rPr>
                <w:rFonts w:eastAsia="仿宋"/>
                <w:sz w:val="18"/>
                <w:szCs w:val="18"/>
              </w:rPr>
              <w:t>动工时间</w:t>
            </w:r>
          </w:p>
        </w:tc>
        <w:tc>
          <w:tcPr>
            <w:tcW w:w="1139" w:type="pct"/>
            <w:gridSpan w:val="3"/>
            <w:vAlign w:val="center"/>
          </w:tcPr>
          <w:p w14:paraId="2523B06D">
            <w:pPr>
              <w:widowControl/>
              <w:adjustRightInd w:val="0"/>
              <w:snapToGrid w:val="0"/>
              <w:jc w:val="center"/>
              <w:rPr>
                <w:rFonts w:eastAsia="仿宋"/>
                <w:sz w:val="18"/>
                <w:szCs w:val="18"/>
              </w:rPr>
            </w:pPr>
            <w:r>
              <w:rPr>
                <w:rFonts w:eastAsia="仿宋"/>
                <w:sz w:val="18"/>
                <w:szCs w:val="18"/>
              </w:rPr>
              <w:t>2021年</w:t>
            </w:r>
            <w:r>
              <w:rPr>
                <w:rFonts w:hint="eastAsia" w:eastAsia="仿宋"/>
                <w:sz w:val="18"/>
                <w:szCs w:val="18"/>
              </w:rPr>
              <w:t>11</w:t>
            </w:r>
            <w:r>
              <w:rPr>
                <w:rFonts w:eastAsia="仿宋"/>
                <w:sz w:val="18"/>
                <w:szCs w:val="18"/>
              </w:rPr>
              <w:t>月</w:t>
            </w:r>
          </w:p>
        </w:tc>
        <w:tc>
          <w:tcPr>
            <w:tcW w:w="705" w:type="pct"/>
            <w:gridSpan w:val="2"/>
            <w:vAlign w:val="center"/>
          </w:tcPr>
          <w:p w14:paraId="323C3F62">
            <w:pPr>
              <w:widowControl/>
              <w:adjustRightInd w:val="0"/>
              <w:snapToGrid w:val="0"/>
              <w:jc w:val="center"/>
              <w:rPr>
                <w:rFonts w:eastAsia="仿宋"/>
                <w:sz w:val="18"/>
                <w:szCs w:val="18"/>
              </w:rPr>
            </w:pPr>
            <w:r>
              <w:rPr>
                <w:rFonts w:eastAsia="仿宋"/>
                <w:sz w:val="18"/>
                <w:szCs w:val="18"/>
              </w:rPr>
              <w:t>完工时间</w:t>
            </w:r>
          </w:p>
        </w:tc>
        <w:tc>
          <w:tcPr>
            <w:tcW w:w="764" w:type="pct"/>
            <w:gridSpan w:val="2"/>
            <w:vAlign w:val="center"/>
          </w:tcPr>
          <w:p w14:paraId="568FF976">
            <w:pPr>
              <w:widowControl/>
              <w:adjustRightInd w:val="0"/>
              <w:snapToGrid w:val="0"/>
              <w:jc w:val="center"/>
              <w:rPr>
                <w:rFonts w:eastAsia="仿宋"/>
                <w:sz w:val="18"/>
                <w:szCs w:val="18"/>
              </w:rPr>
            </w:pPr>
            <w:r>
              <w:rPr>
                <w:rFonts w:eastAsia="仿宋"/>
                <w:sz w:val="18"/>
                <w:szCs w:val="18"/>
              </w:rPr>
              <w:t>202</w:t>
            </w:r>
            <w:r>
              <w:rPr>
                <w:rFonts w:hint="eastAsia" w:eastAsia="仿宋"/>
                <w:sz w:val="18"/>
                <w:szCs w:val="18"/>
              </w:rPr>
              <w:t>3</w:t>
            </w:r>
            <w:r>
              <w:rPr>
                <w:rFonts w:eastAsia="仿宋"/>
                <w:sz w:val="18"/>
                <w:szCs w:val="18"/>
              </w:rPr>
              <w:t>年1</w:t>
            </w:r>
            <w:r>
              <w:rPr>
                <w:rFonts w:hint="eastAsia" w:eastAsia="仿宋"/>
                <w:sz w:val="18"/>
                <w:szCs w:val="18"/>
              </w:rPr>
              <w:t>0</w:t>
            </w:r>
            <w:r>
              <w:rPr>
                <w:rFonts w:eastAsia="仿宋"/>
                <w:sz w:val="18"/>
                <w:szCs w:val="18"/>
              </w:rPr>
              <w:t>月</w:t>
            </w:r>
          </w:p>
        </w:tc>
        <w:tc>
          <w:tcPr>
            <w:tcW w:w="808" w:type="pct"/>
            <w:gridSpan w:val="2"/>
            <w:vAlign w:val="center"/>
          </w:tcPr>
          <w:p w14:paraId="045D6CBE">
            <w:pPr>
              <w:widowControl/>
              <w:adjustRightInd w:val="0"/>
              <w:snapToGrid w:val="0"/>
              <w:jc w:val="center"/>
              <w:rPr>
                <w:rFonts w:eastAsia="仿宋"/>
                <w:sz w:val="18"/>
                <w:szCs w:val="18"/>
              </w:rPr>
            </w:pPr>
            <w:r>
              <w:rPr>
                <w:rFonts w:eastAsia="仿宋"/>
                <w:sz w:val="18"/>
                <w:szCs w:val="18"/>
              </w:rPr>
              <w:t>设计水平年</w:t>
            </w:r>
          </w:p>
        </w:tc>
        <w:tc>
          <w:tcPr>
            <w:tcW w:w="779" w:type="pct"/>
            <w:vAlign w:val="center"/>
          </w:tcPr>
          <w:p w14:paraId="317B0CFF">
            <w:pPr>
              <w:widowControl/>
              <w:adjustRightInd w:val="0"/>
              <w:snapToGrid w:val="0"/>
              <w:jc w:val="center"/>
              <w:rPr>
                <w:rFonts w:eastAsia="仿宋"/>
                <w:sz w:val="18"/>
                <w:szCs w:val="18"/>
              </w:rPr>
            </w:pPr>
            <w:r>
              <w:rPr>
                <w:rFonts w:eastAsia="仿宋"/>
                <w:sz w:val="18"/>
                <w:szCs w:val="18"/>
              </w:rPr>
              <w:t>202</w:t>
            </w:r>
            <w:r>
              <w:rPr>
                <w:rFonts w:hint="eastAsia" w:eastAsia="仿宋"/>
                <w:sz w:val="18"/>
                <w:szCs w:val="18"/>
              </w:rPr>
              <w:t>4</w:t>
            </w:r>
            <w:r>
              <w:rPr>
                <w:rFonts w:eastAsia="仿宋"/>
                <w:sz w:val="18"/>
                <w:szCs w:val="18"/>
              </w:rPr>
              <w:t>年</w:t>
            </w:r>
          </w:p>
        </w:tc>
      </w:tr>
      <w:tr w14:paraId="42F0D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804" w:type="pct"/>
            <w:gridSpan w:val="3"/>
            <w:vAlign w:val="center"/>
          </w:tcPr>
          <w:p w14:paraId="36BE68F9">
            <w:pPr>
              <w:widowControl/>
              <w:adjustRightInd w:val="0"/>
              <w:snapToGrid w:val="0"/>
              <w:jc w:val="center"/>
              <w:rPr>
                <w:rFonts w:eastAsia="仿宋"/>
                <w:sz w:val="18"/>
                <w:szCs w:val="18"/>
              </w:rPr>
            </w:pPr>
            <w:r>
              <w:rPr>
                <w:rFonts w:eastAsia="仿宋"/>
                <w:sz w:val="18"/>
                <w:szCs w:val="18"/>
              </w:rPr>
              <w:t>工程占地（hm</w:t>
            </w:r>
            <w:r>
              <w:rPr>
                <w:rFonts w:eastAsia="仿宋"/>
                <w:sz w:val="18"/>
                <w:szCs w:val="18"/>
                <w:vertAlign w:val="superscript"/>
              </w:rPr>
              <w:t>2</w:t>
            </w:r>
            <w:r>
              <w:rPr>
                <w:rFonts w:eastAsia="仿宋"/>
                <w:sz w:val="18"/>
                <w:szCs w:val="18"/>
              </w:rPr>
              <w:t>）</w:t>
            </w:r>
          </w:p>
        </w:tc>
        <w:tc>
          <w:tcPr>
            <w:tcW w:w="798" w:type="pct"/>
            <w:gridSpan w:val="2"/>
            <w:vAlign w:val="center"/>
          </w:tcPr>
          <w:p w14:paraId="489D76F3">
            <w:pPr>
              <w:widowControl/>
              <w:adjustRightInd w:val="0"/>
              <w:snapToGrid w:val="0"/>
              <w:jc w:val="center"/>
              <w:rPr>
                <w:rFonts w:eastAsia="仿宋"/>
                <w:sz w:val="18"/>
                <w:szCs w:val="18"/>
              </w:rPr>
            </w:pPr>
            <w:r>
              <w:rPr>
                <w:rFonts w:hint="eastAsia" w:eastAsia="仿宋"/>
                <w:sz w:val="18"/>
                <w:szCs w:val="18"/>
              </w:rPr>
              <w:t>2.62</w:t>
            </w:r>
          </w:p>
        </w:tc>
        <w:tc>
          <w:tcPr>
            <w:tcW w:w="1045" w:type="pct"/>
            <w:gridSpan w:val="3"/>
            <w:vAlign w:val="center"/>
          </w:tcPr>
          <w:p w14:paraId="18ECBEE2">
            <w:pPr>
              <w:widowControl/>
              <w:adjustRightInd w:val="0"/>
              <w:snapToGrid w:val="0"/>
              <w:jc w:val="center"/>
              <w:rPr>
                <w:rFonts w:eastAsia="仿宋"/>
                <w:sz w:val="18"/>
                <w:szCs w:val="18"/>
              </w:rPr>
            </w:pPr>
            <w:r>
              <w:rPr>
                <w:rFonts w:eastAsia="仿宋"/>
                <w:sz w:val="18"/>
                <w:szCs w:val="18"/>
              </w:rPr>
              <w:t>永久占地（hm</w:t>
            </w:r>
            <w:r>
              <w:rPr>
                <w:rFonts w:eastAsia="仿宋"/>
                <w:sz w:val="18"/>
                <w:szCs w:val="18"/>
                <w:vertAlign w:val="superscript"/>
              </w:rPr>
              <w:t>2</w:t>
            </w:r>
            <w:r>
              <w:rPr>
                <w:rFonts w:eastAsia="仿宋"/>
                <w:sz w:val="18"/>
                <w:szCs w:val="18"/>
              </w:rPr>
              <w:t>）</w:t>
            </w:r>
          </w:p>
        </w:tc>
        <w:tc>
          <w:tcPr>
            <w:tcW w:w="764" w:type="pct"/>
            <w:gridSpan w:val="2"/>
            <w:vAlign w:val="center"/>
          </w:tcPr>
          <w:p w14:paraId="07DD0F8C">
            <w:pPr>
              <w:widowControl/>
              <w:adjustRightInd w:val="0"/>
              <w:snapToGrid w:val="0"/>
              <w:jc w:val="center"/>
              <w:rPr>
                <w:rFonts w:eastAsia="仿宋"/>
                <w:sz w:val="18"/>
                <w:szCs w:val="18"/>
              </w:rPr>
            </w:pPr>
            <w:r>
              <w:rPr>
                <w:rFonts w:hint="eastAsia" w:eastAsia="仿宋"/>
                <w:sz w:val="18"/>
                <w:szCs w:val="18"/>
              </w:rPr>
              <w:t>2.62</w:t>
            </w:r>
          </w:p>
        </w:tc>
        <w:tc>
          <w:tcPr>
            <w:tcW w:w="808" w:type="pct"/>
            <w:gridSpan w:val="2"/>
            <w:vAlign w:val="center"/>
          </w:tcPr>
          <w:p w14:paraId="54FBC668">
            <w:pPr>
              <w:widowControl/>
              <w:adjustRightInd w:val="0"/>
              <w:snapToGrid w:val="0"/>
              <w:jc w:val="center"/>
              <w:rPr>
                <w:rFonts w:eastAsia="仿宋"/>
                <w:sz w:val="18"/>
                <w:szCs w:val="18"/>
              </w:rPr>
            </w:pPr>
            <w:r>
              <w:rPr>
                <w:rFonts w:eastAsia="仿宋"/>
                <w:sz w:val="18"/>
                <w:szCs w:val="18"/>
              </w:rPr>
              <w:t>临时占地（hm</w:t>
            </w:r>
            <w:r>
              <w:rPr>
                <w:rFonts w:eastAsia="仿宋"/>
                <w:sz w:val="18"/>
                <w:szCs w:val="18"/>
                <w:vertAlign w:val="superscript"/>
              </w:rPr>
              <w:t>2</w:t>
            </w:r>
            <w:r>
              <w:rPr>
                <w:rFonts w:eastAsia="仿宋"/>
                <w:sz w:val="18"/>
                <w:szCs w:val="18"/>
              </w:rPr>
              <w:t>）</w:t>
            </w:r>
          </w:p>
        </w:tc>
        <w:tc>
          <w:tcPr>
            <w:tcW w:w="779" w:type="pct"/>
            <w:vAlign w:val="center"/>
          </w:tcPr>
          <w:p w14:paraId="5DC4F229">
            <w:pPr>
              <w:widowControl/>
              <w:adjustRightInd w:val="0"/>
              <w:snapToGrid w:val="0"/>
              <w:jc w:val="center"/>
              <w:rPr>
                <w:rFonts w:eastAsia="仿宋"/>
                <w:sz w:val="18"/>
                <w:szCs w:val="18"/>
              </w:rPr>
            </w:pPr>
            <w:r>
              <w:rPr>
                <w:rFonts w:hint="eastAsia" w:eastAsia="仿宋"/>
                <w:sz w:val="18"/>
                <w:szCs w:val="18"/>
              </w:rPr>
              <w:t>/</w:t>
            </w:r>
          </w:p>
        </w:tc>
      </w:tr>
      <w:tr w14:paraId="47147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1943" w:type="pct"/>
            <w:gridSpan w:val="6"/>
            <w:vMerge w:val="restart"/>
            <w:vAlign w:val="center"/>
          </w:tcPr>
          <w:p w14:paraId="19228638">
            <w:pPr>
              <w:pStyle w:val="110"/>
              <w:adjustRightInd w:val="0"/>
              <w:snapToGrid w:val="0"/>
              <w:spacing w:line="240" w:lineRule="auto"/>
              <w:rPr>
                <w:rFonts w:ascii="Times New Roman" w:hAnsi="Times New Roman" w:eastAsia="仿宋"/>
                <w:color w:val="auto"/>
                <w:sz w:val="18"/>
                <w:szCs w:val="18"/>
              </w:rPr>
            </w:pPr>
            <w:r>
              <w:rPr>
                <w:rFonts w:ascii="Times New Roman" w:hAnsi="Times New Roman" w:eastAsia="仿宋"/>
                <w:color w:val="auto"/>
                <w:sz w:val="18"/>
                <w:szCs w:val="18"/>
              </w:rPr>
              <w:t>土石方量（万m</w:t>
            </w:r>
            <w:r>
              <w:rPr>
                <w:rFonts w:ascii="Times New Roman" w:hAnsi="Times New Roman" w:eastAsia="仿宋"/>
                <w:color w:val="auto"/>
                <w:sz w:val="18"/>
                <w:szCs w:val="18"/>
                <w:vertAlign w:val="superscript"/>
              </w:rPr>
              <w:t>3</w:t>
            </w:r>
            <w:r>
              <w:rPr>
                <w:rFonts w:ascii="Times New Roman" w:hAnsi="Times New Roman" w:eastAsia="仿宋"/>
                <w:color w:val="auto"/>
                <w:sz w:val="18"/>
                <w:szCs w:val="18"/>
              </w:rPr>
              <w:t>）</w:t>
            </w:r>
          </w:p>
        </w:tc>
        <w:tc>
          <w:tcPr>
            <w:tcW w:w="705" w:type="pct"/>
            <w:gridSpan w:val="2"/>
            <w:vAlign w:val="center"/>
          </w:tcPr>
          <w:p w14:paraId="29CBEBE8">
            <w:pPr>
              <w:widowControl/>
              <w:adjustRightInd w:val="0"/>
              <w:snapToGrid w:val="0"/>
              <w:jc w:val="center"/>
              <w:rPr>
                <w:rFonts w:eastAsia="仿宋"/>
                <w:sz w:val="18"/>
                <w:szCs w:val="18"/>
              </w:rPr>
            </w:pPr>
            <w:r>
              <w:rPr>
                <w:rFonts w:eastAsia="仿宋"/>
                <w:sz w:val="18"/>
                <w:szCs w:val="18"/>
              </w:rPr>
              <w:t>挖方</w:t>
            </w:r>
          </w:p>
        </w:tc>
        <w:tc>
          <w:tcPr>
            <w:tcW w:w="764" w:type="pct"/>
            <w:gridSpan w:val="2"/>
            <w:vAlign w:val="center"/>
          </w:tcPr>
          <w:p w14:paraId="0C7EE237">
            <w:pPr>
              <w:widowControl/>
              <w:adjustRightInd w:val="0"/>
              <w:snapToGrid w:val="0"/>
              <w:jc w:val="center"/>
              <w:rPr>
                <w:rFonts w:eastAsia="仿宋"/>
                <w:sz w:val="18"/>
                <w:szCs w:val="18"/>
              </w:rPr>
            </w:pPr>
            <w:r>
              <w:rPr>
                <w:rFonts w:eastAsia="仿宋"/>
                <w:sz w:val="18"/>
                <w:szCs w:val="18"/>
              </w:rPr>
              <w:t>填方</w:t>
            </w:r>
          </w:p>
        </w:tc>
        <w:tc>
          <w:tcPr>
            <w:tcW w:w="808" w:type="pct"/>
            <w:gridSpan w:val="2"/>
            <w:vAlign w:val="center"/>
          </w:tcPr>
          <w:p w14:paraId="4F8C0502">
            <w:pPr>
              <w:widowControl/>
              <w:adjustRightInd w:val="0"/>
              <w:snapToGrid w:val="0"/>
              <w:jc w:val="center"/>
              <w:rPr>
                <w:rFonts w:eastAsia="仿宋"/>
                <w:sz w:val="18"/>
                <w:szCs w:val="18"/>
              </w:rPr>
            </w:pPr>
            <w:r>
              <w:rPr>
                <w:rFonts w:hint="eastAsia" w:eastAsia="仿宋"/>
                <w:sz w:val="18"/>
                <w:szCs w:val="18"/>
              </w:rPr>
              <w:t>调出</w:t>
            </w:r>
          </w:p>
        </w:tc>
        <w:tc>
          <w:tcPr>
            <w:tcW w:w="779" w:type="pct"/>
            <w:vAlign w:val="center"/>
          </w:tcPr>
          <w:p w14:paraId="02DBEC77">
            <w:pPr>
              <w:widowControl/>
              <w:adjustRightInd w:val="0"/>
              <w:snapToGrid w:val="0"/>
              <w:jc w:val="center"/>
              <w:rPr>
                <w:rFonts w:eastAsia="仿宋"/>
                <w:sz w:val="18"/>
                <w:szCs w:val="18"/>
              </w:rPr>
            </w:pPr>
            <w:r>
              <w:rPr>
                <w:rFonts w:eastAsia="仿宋"/>
                <w:sz w:val="18"/>
                <w:szCs w:val="18"/>
              </w:rPr>
              <w:t>余方</w:t>
            </w:r>
          </w:p>
        </w:tc>
      </w:tr>
      <w:tr w14:paraId="7DC5F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 w:hRule="atLeast"/>
          <w:jc w:val="center"/>
        </w:trPr>
        <w:tc>
          <w:tcPr>
            <w:tcW w:w="1943" w:type="pct"/>
            <w:gridSpan w:val="6"/>
            <w:vMerge w:val="continue"/>
            <w:vAlign w:val="center"/>
          </w:tcPr>
          <w:p w14:paraId="19A01BF3">
            <w:pPr>
              <w:pStyle w:val="110"/>
              <w:adjustRightInd w:val="0"/>
              <w:snapToGrid w:val="0"/>
              <w:spacing w:line="240" w:lineRule="auto"/>
              <w:rPr>
                <w:rFonts w:ascii="Times New Roman" w:hAnsi="Times New Roman" w:eastAsia="仿宋"/>
                <w:color w:val="auto"/>
                <w:sz w:val="18"/>
                <w:szCs w:val="18"/>
              </w:rPr>
            </w:pPr>
          </w:p>
        </w:tc>
        <w:tc>
          <w:tcPr>
            <w:tcW w:w="705" w:type="pct"/>
            <w:gridSpan w:val="2"/>
            <w:vAlign w:val="center"/>
          </w:tcPr>
          <w:p w14:paraId="5798338C">
            <w:pPr>
              <w:widowControl/>
              <w:tabs>
                <w:tab w:val="left" w:pos="-24"/>
              </w:tabs>
              <w:adjustRightInd w:val="0"/>
              <w:snapToGrid w:val="0"/>
              <w:jc w:val="center"/>
              <w:textAlignment w:val="baseline"/>
              <w:rPr>
                <w:rFonts w:eastAsia="仿宋"/>
                <w:sz w:val="18"/>
                <w:szCs w:val="18"/>
              </w:rPr>
            </w:pPr>
            <w:r>
              <w:rPr>
                <w:rFonts w:hint="eastAsia" w:eastAsia="仿宋"/>
                <w:kern w:val="0"/>
                <w:sz w:val="18"/>
                <w:szCs w:val="18"/>
                <w:u w:color="000000"/>
              </w:rPr>
              <w:t>18.42</w:t>
            </w:r>
          </w:p>
        </w:tc>
        <w:tc>
          <w:tcPr>
            <w:tcW w:w="764" w:type="pct"/>
            <w:gridSpan w:val="2"/>
            <w:vAlign w:val="center"/>
          </w:tcPr>
          <w:p w14:paraId="597B4854">
            <w:pPr>
              <w:widowControl/>
              <w:tabs>
                <w:tab w:val="left" w:pos="-24"/>
              </w:tabs>
              <w:adjustRightInd w:val="0"/>
              <w:snapToGrid w:val="0"/>
              <w:jc w:val="center"/>
              <w:textAlignment w:val="baseline"/>
              <w:rPr>
                <w:rFonts w:eastAsia="仿宋"/>
                <w:sz w:val="18"/>
                <w:szCs w:val="18"/>
              </w:rPr>
            </w:pPr>
            <w:r>
              <w:rPr>
                <w:rFonts w:hint="eastAsia" w:eastAsia="仿宋"/>
                <w:kern w:val="0"/>
                <w:sz w:val="18"/>
                <w:szCs w:val="18"/>
                <w:u w:color="000000"/>
              </w:rPr>
              <w:t>3.30</w:t>
            </w:r>
          </w:p>
        </w:tc>
        <w:tc>
          <w:tcPr>
            <w:tcW w:w="808" w:type="pct"/>
            <w:gridSpan w:val="2"/>
            <w:vAlign w:val="center"/>
          </w:tcPr>
          <w:p w14:paraId="20763FC7">
            <w:pPr>
              <w:adjustRightInd w:val="0"/>
              <w:snapToGrid w:val="0"/>
              <w:jc w:val="center"/>
              <w:rPr>
                <w:rFonts w:eastAsia="仿宋"/>
                <w:sz w:val="18"/>
                <w:szCs w:val="18"/>
              </w:rPr>
            </w:pPr>
          </w:p>
        </w:tc>
        <w:tc>
          <w:tcPr>
            <w:tcW w:w="779" w:type="pct"/>
            <w:vAlign w:val="center"/>
          </w:tcPr>
          <w:p w14:paraId="11DFE7E6">
            <w:pPr>
              <w:adjustRightInd w:val="0"/>
              <w:snapToGrid w:val="0"/>
              <w:jc w:val="center"/>
              <w:rPr>
                <w:rFonts w:eastAsia="仿宋"/>
                <w:sz w:val="18"/>
                <w:szCs w:val="18"/>
              </w:rPr>
            </w:pPr>
            <w:r>
              <w:rPr>
                <w:rFonts w:hint="eastAsia" w:eastAsia="仿宋"/>
                <w:kern w:val="0"/>
                <w:sz w:val="18"/>
                <w:szCs w:val="18"/>
              </w:rPr>
              <w:t>15.12</w:t>
            </w:r>
          </w:p>
        </w:tc>
      </w:tr>
      <w:tr w14:paraId="55CA0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218" w:type="pct"/>
            <w:gridSpan w:val="4"/>
            <w:vAlign w:val="center"/>
          </w:tcPr>
          <w:p w14:paraId="05ACDB62">
            <w:pPr>
              <w:pStyle w:val="110"/>
              <w:adjustRightInd w:val="0"/>
              <w:snapToGrid w:val="0"/>
              <w:spacing w:line="240" w:lineRule="auto"/>
              <w:rPr>
                <w:rFonts w:ascii="Times New Roman" w:hAnsi="Times New Roman" w:eastAsia="仿宋"/>
                <w:color w:val="auto"/>
                <w:sz w:val="18"/>
                <w:szCs w:val="18"/>
              </w:rPr>
            </w:pPr>
            <w:r>
              <w:rPr>
                <w:rFonts w:ascii="Times New Roman" w:hAnsi="Times New Roman" w:eastAsia="仿宋"/>
                <w:color w:val="auto"/>
                <w:sz w:val="18"/>
                <w:szCs w:val="18"/>
              </w:rPr>
              <w:t>重点防治区名称</w:t>
            </w:r>
          </w:p>
        </w:tc>
        <w:tc>
          <w:tcPr>
            <w:tcW w:w="3781" w:type="pct"/>
            <w:gridSpan w:val="9"/>
            <w:vAlign w:val="center"/>
          </w:tcPr>
          <w:p w14:paraId="614877FB">
            <w:pPr>
              <w:pStyle w:val="110"/>
              <w:adjustRightInd w:val="0"/>
              <w:snapToGrid w:val="0"/>
              <w:spacing w:line="240" w:lineRule="auto"/>
              <w:rPr>
                <w:rFonts w:ascii="Times New Roman" w:hAnsi="Times New Roman" w:eastAsia="仿宋"/>
                <w:color w:val="auto"/>
                <w:sz w:val="18"/>
                <w:szCs w:val="18"/>
              </w:rPr>
            </w:pPr>
            <w:r>
              <w:rPr>
                <w:rFonts w:hint="eastAsia" w:ascii="Times New Roman" w:hAnsi="Times New Roman" w:eastAsia="仿宋"/>
                <w:color w:val="auto"/>
                <w:sz w:val="18"/>
                <w:szCs w:val="18"/>
              </w:rPr>
              <w:t>重庆市水土流失重点治理区</w:t>
            </w:r>
          </w:p>
        </w:tc>
      </w:tr>
      <w:tr w14:paraId="6D187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218" w:type="pct"/>
            <w:gridSpan w:val="4"/>
            <w:vAlign w:val="center"/>
          </w:tcPr>
          <w:p w14:paraId="1502ACF5">
            <w:pPr>
              <w:widowControl/>
              <w:adjustRightInd w:val="0"/>
              <w:snapToGrid w:val="0"/>
              <w:jc w:val="center"/>
              <w:rPr>
                <w:rFonts w:eastAsia="仿宋"/>
                <w:sz w:val="18"/>
                <w:szCs w:val="18"/>
              </w:rPr>
            </w:pPr>
            <w:r>
              <w:rPr>
                <w:rFonts w:eastAsia="仿宋"/>
                <w:sz w:val="18"/>
                <w:szCs w:val="18"/>
              </w:rPr>
              <w:t>地貌类型</w:t>
            </w:r>
          </w:p>
        </w:tc>
        <w:tc>
          <w:tcPr>
            <w:tcW w:w="1430" w:type="pct"/>
            <w:gridSpan w:val="4"/>
            <w:vAlign w:val="center"/>
          </w:tcPr>
          <w:p w14:paraId="4515933A">
            <w:pPr>
              <w:widowControl/>
              <w:adjustRightInd w:val="0"/>
              <w:snapToGrid w:val="0"/>
              <w:jc w:val="center"/>
              <w:rPr>
                <w:rFonts w:eastAsia="仿宋"/>
                <w:sz w:val="18"/>
                <w:szCs w:val="18"/>
              </w:rPr>
            </w:pPr>
            <w:r>
              <w:rPr>
                <w:rFonts w:eastAsia="仿宋"/>
                <w:sz w:val="18"/>
                <w:szCs w:val="18"/>
              </w:rPr>
              <w:t>构造剥蚀丘陵地貌</w:t>
            </w:r>
          </w:p>
        </w:tc>
        <w:tc>
          <w:tcPr>
            <w:tcW w:w="1340" w:type="pct"/>
            <w:gridSpan w:val="3"/>
            <w:vAlign w:val="center"/>
          </w:tcPr>
          <w:p w14:paraId="3BFEC02D">
            <w:pPr>
              <w:widowControl/>
              <w:adjustRightInd w:val="0"/>
              <w:snapToGrid w:val="0"/>
              <w:jc w:val="center"/>
              <w:rPr>
                <w:rFonts w:eastAsia="仿宋"/>
                <w:sz w:val="18"/>
                <w:szCs w:val="18"/>
              </w:rPr>
            </w:pPr>
            <w:r>
              <w:rPr>
                <w:rFonts w:eastAsia="仿宋"/>
                <w:sz w:val="18"/>
                <w:szCs w:val="18"/>
              </w:rPr>
              <w:t>水土保持区划</w:t>
            </w:r>
          </w:p>
        </w:tc>
        <w:tc>
          <w:tcPr>
            <w:tcW w:w="1011" w:type="pct"/>
            <w:gridSpan w:val="2"/>
            <w:vAlign w:val="center"/>
          </w:tcPr>
          <w:p w14:paraId="3A4AD7E1">
            <w:pPr>
              <w:widowControl/>
              <w:adjustRightInd w:val="0"/>
              <w:snapToGrid w:val="0"/>
              <w:jc w:val="center"/>
              <w:rPr>
                <w:rFonts w:eastAsia="仿宋"/>
                <w:sz w:val="18"/>
                <w:szCs w:val="18"/>
              </w:rPr>
            </w:pPr>
            <w:r>
              <w:rPr>
                <w:rFonts w:eastAsia="仿宋"/>
                <w:sz w:val="18"/>
                <w:szCs w:val="18"/>
              </w:rPr>
              <w:t>西南紫色土区</w:t>
            </w:r>
          </w:p>
        </w:tc>
      </w:tr>
      <w:tr w14:paraId="3ADED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218" w:type="pct"/>
            <w:gridSpan w:val="4"/>
            <w:vAlign w:val="center"/>
          </w:tcPr>
          <w:p w14:paraId="3B7DDE06">
            <w:pPr>
              <w:widowControl/>
              <w:adjustRightInd w:val="0"/>
              <w:snapToGrid w:val="0"/>
              <w:jc w:val="center"/>
              <w:rPr>
                <w:rFonts w:eastAsia="仿宋"/>
                <w:sz w:val="18"/>
                <w:szCs w:val="18"/>
              </w:rPr>
            </w:pPr>
            <w:r>
              <w:rPr>
                <w:rFonts w:eastAsia="仿宋"/>
                <w:sz w:val="18"/>
                <w:szCs w:val="18"/>
              </w:rPr>
              <w:t>土壤侵蚀类型</w:t>
            </w:r>
          </w:p>
        </w:tc>
        <w:tc>
          <w:tcPr>
            <w:tcW w:w="1430" w:type="pct"/>
            <w:gridSpan w:val="4"/>
            <w:vAlign w:val="center"/>
          </w:tcPr>
          <w:p w14:paraId="4F601C86">
            <w:pPr>
              <w:widowControl/>
              <w:adjustRightInd w:val="0"/>
              <w:snapToGrid w:val="0"/>
              <w:jc w:val="center"/>
              <w:rPr>
                <w:rFonts w:eastAsia="仿宋"/>
                <w:sz w:val="18"/>
                <w:szCs w:val="18"/>
              </w:rPr>
            </w:pPr>
            <w:r>
              <w:rPr>
                <w:rFonts w:eastAsia="仿宋"/>
                <w:sz w:val="18"/>
                <w:szCs w:val="18"/>
              </w:rPr>
              <w:t>水力侵蚀</w:t>
            </w:r>
          </w:p>
        </w:tc>
        <w:tc>
          <w:tcPr>
            <w:tcW w:w="1340" w:type="pct"/>
            <w:gridSpan w:val="3"/>
            <w:vAlign w:val="center"/>
          </w:tcPr>
          <w:p w14:paraId="4DF6AC77">
            <w:pPr>
              <w:widowControl/>
              <w:adjustRightInd w:val="0"/>
              <w:snapToGrid w:val="0"/>
              <w:jc w:val="center"/>
              <w:rPr>
                <w:rFonts w:eastAsia="仿宋"/>
                <w:sz w:val="18"/>
                <w:szCs w:val="18"/>
              </w:rPr>
            </w:pPr>
            <w:r>
              <w:rPr>
                <w:rFonts w:eastAsia="仿宋"/>
                <w:sz w:val="18"/>
                <w:szCs w:val="18"/>
              </w:rPr>
              <w:t>土壤侵蚀强度</w:t>
            </w:r>
          </w:p>
        </w:tc>
        <w:tc>
          <w:tcPr>
            <w:tcW w:w="1011" w:type="pct"/>
            <w:gridSpan w:val="2"/>
            <w:vAlign w:val="center"/>
          </w:tcPr>
          <w:p w14:paraId="7C074566">
            <w:pPr>
              <w:widowControl/>
              <w:adjustRightInd w:val="0"/>
              <w:snapToGrid w:val="0"/>
              <w:jc w:val="center"/>
              <w:rPr>
                <w:rFonts w:eastAsia="仿宋"/>
                <w:sz w:val="18"/>
                <w:szCs w:val="18"/>
              </w:rPr>
            </w:pPr>
            <w:r>
              <w:rPr>
                <w:rFonts w:eastAsia="仿宋"/>
                <w:sz w:val="18"/>
                <w:szCs w:val="18"/>
              </w:rPr>
              <w:t>轻度侵蚀</w:t>
            </w:r>
          </w:p>
        </w:tc>
      </w:tr>
      <w:tr w14:paraId="26555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218" w:type="pct"/>
            <w:gridSpan w:val="4"/>
            <w:vAlign w:val="center"/>
          </w:tcPr>
          <w:p w14:paraId="6DE5A335">
            <w:pPr>
              <w:widowControl/>
              <w:adjustRightInd w:val="0"/>
              <w:snapToGrid w:val="0"/>
              <w:jc w:val="center"/>
              <w:rPr>
                <w:rFonts w:eastAsia="仿宋"/>
                <w:sz w:val="18"/>
                <w:szCs w:val="18"/>
              </w:rPr>
            </w:pPr>
            <w:r>
              <w:rPr>
                <w:rFonts w:eastAsia="仿宋"/>
                <w:sz w:val="18"/>
                <w:szCs w:val="18"/>
              </w:rPr>
              <w:t>防治责任范围（hm</w:t>
            </w:r>
            <w:r>
              <w:rPr>
                <w:rFonts w:eastAsia="仿宋"/>
                <w:sz w:val="18"/>
                <w:szCs w:val="18"/>
                <w:vertAlign w:val="superscript"/>
              </w:rPr>
              <w:t>2</w:t>
            </w:r>
            <w:r>
              <w:rPr>
                <w:rFonts w:eastAsia="仿宋"/>
                <w:sz w:val="18"/>
                <w:szCs w:val="18"/>
              </w:rPr>
              <w:t>）</w:t>
            </w:r>
          </w:p>
        </w:tc>
        <w:tc>
          <w:tcPr>
            <w:tcW w:w="1430" w:type="pct"/>
            <w:gridSpan w:val="4"/>
            <w:vAlign w:val="center"/>
          </w:tcPr>
          <w:p w14:paraId="5951ED43">
            <w:pPr>
              <w:widowControl/>
              <w:adjustRightInd w:val="0"/>
              <w:snapToGrid w:val="0"/>
              <w:jc w:val="center"/>
              <w:rPr>
                <w:rFonts w:eastAsia="仿宋"/>
                <w:sz w:val="18"/>
                <w:szCs w:val="18"/>
              </w:rPr>
            </w:pPr>
            <w:r>
              <w:rPr>
                <w:rFonts w:hint="eastAsia" w:eastAsia="仿宋"/>
                <w:sz w:val="18"/>
                <w:szCs w:val="18"/>
              </w:rPr>
              <w:t>2.62</w:t>
            </w:r>
          </w:p>
        </w:tc>
        <w:tc>
          <w:tcPr>
            <w:tcW w:w="1340" w:type="pct"/>
            <w:gridSpan w:val="3"/>
            <w:vAlign w:val="center"/>
          </w:tcPr>
          <w:p w14:paraId="0B86957F">
            <w:pPr>
              <w:widowControl/>
              <w:adjustRightInd w:val="0"/>
              <w:snapToGrid w:val="0"/>
              <w:jc w:val="center"/>
              <w:rPr>
                <w:rFonts w:eastAsia="仿宋"/>
                <w:sz w:val="18"/>
                <w:szCs w:val="18"/>
              </w:rPr>
            </w:pPr>
            <w:r>
              <w:rPr>
                <w:rFonts w:eastAsia="仿宋"/>
                <w:sz w:val="18"/>
                <w:szCs w:val="18"/>
              </w:rPr>
              <w:t>容许土壤流失量［t/(km</w:t>
            </w:r>
            <w:r>
              <w:rPr>
                <w:rFonts w:eastAsia="仿宋"/>
                <w:sz w:val="18"/>
                <w:szCs w:val="18"/>
                <w:vertAlign w:val="superscript"/>
              </w:rPr>
              <w:t>2</w:t>
            </w:r>
            <w:r>
              <w:rPr>
                <w:rFonts w:eastAsia="仿宋"/>
                <w:sz w:val="18"/>
                <w:szCs w:val="18"/>
              </w:rPr>
              <w:t>.a)］</w:t>
            </w:r>
          </w:p>
        </w:tc>
        <w:tc>
          <w:tcPr>
            <w:tcW w:w="1011" w:type="pct"/>
            <w:gridSpan w:val="2"/>
            <w:vAlign w:val="center"/>
          </w:tcPr>
          <w:p w14:paraId="5160B1C7">
            <w:pPr>
              <w:widowControl/>
              <w:adjustRightInd w:val="0"/>
              <w:snapToGrid w:val="0"/>
              <w:jc w:val="center"/>
              <w:rPr>
                <w:rFonts w:eastAsia="仿宋"/>
                <w:sz w:val="18"/>
                <w:szCs w:val="18"/>
              </w:rPr>
            </w:pPr>
            <w:r>
              <w:rPr>
                <w:rFonts w:eastAsia="仿宋"/>
                <w:sz w:val="18"/>
                <w:szCs w:val="18"/>
              </w:rPr>
              <w:t>500</w:t>
            </w:r>
          </w:p>
        </w:tc>
      </w:tr>
      <w:tr w14:paraId="46B3C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18" w:type="pct"/>
            <w:gridSpan w:val="4"/>
            <w:vAlign w:val="center"/>
          </w:tcPr>
          <w:p w14:paraId="036A1D40">
            <w:pPr>
              <w:widowControl/>
              <w:adjustRightInd w:val="0"/>
              <w:snapToGrid w:val="0"/>
              <w:jc w:val="center"/>
              <w:rPr>
                <w:rFonts w:eastAsia="仿宋"/>
                <w:sz w:val="18"/>
                <w:szCs w:val="18"/>
              </w:rPr>
            </w:pPr>
            <w:r>
              <w:rPr>
                <w:rFonts w:eastAsia="仿宋"/>
                <w:sz w:val="18"/>
                <w:szCs w:val="18"/>
              </w:rPr>
              <w:t>建设期土壤流失预测总量</w:t>
            </w:r>
          </w:p>
        </w:tc>
        <w:tc>
          <w:tcPr>
            <w:tcW w:w="1430" w:type="pct"/>
            <w:gridSpan w:val="4"/>
            <w:vAlign w:val="center"/>
          </w:tcPr>
          <w:p w14:paraId="167A68B4">
            <w:pPr>
              <w:widowControl/>
              <w:adjustRightInd w:val="0"/>
              <w:snapToGrid w:val="0"/>
              <w:jc w:val="center"/>
              <w:rPr>
                <w:rFonts w:eastAsia="仿宋"/>
                <w:sz w:val="18"/>
                <w:szCs w:val="18"/>
              </w:rPr>
            </w:pPr>
            <w:r>
              <w:rPr>
                <w:rFonts w:hint="eastAsia" w:eastAsia="仿宋"/>
                <w:sz w:val="18"/>
                <w:szCs w:val="18"/>
              </w:rPr>
              <w:t>456t</w:t>
            </w:r>
          </w:p>
        </w:tc>
        <w:tc>
          <w:tcPr>
            <w:tcW w:w="1340" w:type="pct"/>
            <w:gridSpan w:val="3"/>
            <w:vAlign w:val="center"/>
          </w:tcPr>
          <w:p w14:paraId="42061889">
            <w:pPr>
              <w:widowControl/>
              <w:adjustRightInd w:val="0"/>
              <w:snapToGrid w:val="0"/>
              <w:jc w:val="center"/>
              <w:rPr>
                <w:rFonts w:eastAsia="仿宋"/>
                <w:sz w:val="18"/>
                <w:szCs w:val="18"/>
              </w:rPr>
            </w:pPr>
            <w:r>
              <w:rPr>
                <w:rFonts w:eastAsia="仿宋"/>
                <w:sz w:val="18"/>
                <w:szCs w:val="18"/>
              </w:rPr>
              <w:t>新增水土流失量</w:t>
            </w:r>
          </w:p>
        </w:tc>
        <w:tc>
          <w:tcPr>
            <w:tcW w:w="1011" w:type="pct"/>
            <w:gridSpan w:val="2"/>
            <w:vAlign w:val="center"/>
          </w:tcPr>
          <w:p w14:paraId="633F0E45">
            <w:pPr>
              <w:widowControl/>
              <w:adjustRightInd w:val="0"/>
              <w:snapToGrid w:val="0"/>
              <w:jc w:val="center"/>
              <w:rPr>
                <w:rFonts w:eastAsia="仿宋"/>
                <w:sz w:val="18"/>
                <w:szCs w:val="18"/>
              </w:rPr>
            </w:pPr>
            <w:r>
              <w:rPr>
                <w:rFonts w:hint="eastAsia" w:eastAsia="仿宋"/>
                <w:sz w:val="18"/>
                <w:szCs w:val="18"/>
              </w:rPr>
              <w:t>306t</w:t>
            </w:r>
          </w:p>
        </w:tc>
      </w:tr>
      <w:tr w14:paraId="61D82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1218" w:type="pct"/>
            <w:gridSpan w:val="4"/>
            <w:vAlign w:val="center"/>
          </w:tcPr>
          <w:p w14:paraId="18D1E21D">
            <w:pPr>
              <w:widowControl/>
              <w:adjustRightInd w:val="0"/>
              <w:snapToGrid w:val="0"/>
              <w:jc w:val="center"/>
              <w:rPr>
                <w:rFonts w:eastAsia="仿宋"/>
                <w:sz w:val="18"/>
                <w:szCs w:val="18"/>
              </w:rPr>
            </w:pPr>
            <w:r>
              <w:rPr>
                <w:rFonts w:eastAsia="仿宋"/>
                <w:sz w:val="18"/>
                <w:szCs w:val="18"/>
              </w:rPr>
              <w:t>水土流失防治标准执行等级</w:t>
            </w:r>
          </w:p>
        </w:tc>
        <w:tc>
          <w:tcPr>
            <w:tcW w:w="3781" w:type="pct"/>
            <w:gridSpan w:val="9"/>
            <w:vAlign w:val="center"/>
          </w:tcPr>
          <w:p w14:paraId="316A8089">
            <w:pPr>
              <w:widowControl/>
              <w:adjustRightInd w:val="0"/>
              <w:snapToGrid w:val="0"/>
              <w:jc w:val="center"/>
              <w:rPr>
                <w:rFonts w:eastAsia="仿宋"/>
                <w:sz w:val="18"/>
                <w:szCs w:val="18"/>
              </w:rPr>
            </w:pPr>
            <w:r>
              <w:rPr>
                <w:rFonts w:eastAsia="仿宋"/>
                <w:sz w:val="18"/>
                <w:szCs w:val="18"/>
              </w:rPr>
              <w:t>西南紫色土区建设项目水土流失防治一级标准</w:t>
            </w:r>
          </w:p>
        </w:tc>
      </w:tr>
      <w:tr w14:paraId="7B579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49" w:type="pct"/>
            <w:vMerge w:val="restart"/>
            <w:vAlign w:val="center"/>
          </w:tcPr>
          <w:p w14:paraId="2C799D9C">
            <w:pPr>
              <w:widowControl/>
              <w:adjustRightInd w:val="0"/>
              <w:snapToGrid w:val="0"/>
              <w:jc w:val="center"/>
              <w:rPr>
                <w:rFonts w:eastAsia="仿宋"/>
                <w:sz w:val="18"/>
                <w:szCs w:val="18"/>
              </w:rPr>
            </w:pPr>
            <w:r>
              <w:rPr>
                <w:rFonts w:eastAsia="仿宋"/>
                <w:sz w:val="18"/>
                <w:szCs w:val="18"/>
              </w:rPr>
              <w:t>防治指标　</w:t>
            </w:r>
          </w:p>
        </w:tc>
        <w:tc>
          <w:tcPr>
            <w:tcW w:w="969" w:type="pct"/>
            <w:gridSpan w:val="3"/>
            <w:vAlign w:val="center"/>
          </w:tcPr>
          <w:p w14:paraId="2326E473">
            <w:pPr>
              <w:widowControl/>
              <w:adjustRightInd w:val="0"/>
              <w:snapToGrid w:val="0"/>
              <w:jc w:val="center"/>
              <w:rPr>
                <w:rFonts w:eastAsia="仿宋"/>
                <w:sz w:val="18"/>
                <w:szCs w:val="18"/>
              </w:rPr>
            </w:pPr>
            <w:r>
              <w:rPr>
                <w:rFonts w:eastAsia="仿宋"/>
                <w:sz w:val="18"/>
                <w:szCs w:val="18"/>
              </w:rPr>
              <w:t>水土流失治理度</w:t>
            </w:r>
          </w:p>
        </w:tc>
        <w:tc>
          <w:tcPr>
            <w:tcW w:w="1252" w:type="pct"/>
            <w:gridSpan w:val="3"/>
            <w:vAlign w:val="center"/>
          </w:tcPr>
          <w:p w14:paraId="75975259">
            <w:pPr>
              <w:widowControl/>
              <w:adjustRightInd w:val="0"/>
              <w:snapToGrid w:val="0"/>
              <w:jc w:val="center"/>
              <w:rPr>
                <w:rFonts w:eastAsia="仿宋"/>
                <w:sz w:val="18"/>
                <w:szCs w:val="18"/>
              </w:rPr>
            </w:pPr>
            <w:r>
              <w:rPr>
                <w:rFonts w:hint="eastAsia" w:eastAsia="仿宋"/>
                <w:sz w:val="18"/>
                <w:szCs w:val="18"/>
              </w:rPr>
              <w:t>97</w:t>
            </w:r>
            <w:r>
              <w:rPr>
                <w:rFonts w:eastAsia="仿宋"/>
                <w:sz w:val="18"/>
                <w:szCs w:val="18"/>
              </w:rPr>
              <w:t>%</w:t>
            </w:r>
          </w:p>
        </w:tc>
        <w:tc>
          <w:tcPr>
            <w:tcW w:w="1517" w:type="pct"/>
            <w:gridSpan w:val="4"/>
            <w:vAlign w:val="center"/>
          </w:tcPr>
          <w:p w14:paraId="49570446">
            <w:pPr>
              <w:widowControl/>
              <w:adjustRightInd w:val="0"/>
              <w:snapToGrid w:val="0"/>
              <w:jc w:val="center"/>
              <w:rPr>
                <w:rFonts w:eastAsia="仿宋"/>
                <w:sz w:val="18"/>
                <w:szCs w:val="18"/>
              </w:rPr>
            </w:pPr>
            <w:r>
              <w:rPr>
                <w:rFonts w:eastAsia="仿宋"/>
                <w:sz w:val="18"/>
                <w:szCs w:val="18"/>
              </w:rPr>
              <w:t>土壤流失控制比</w:t>
            </w:r>
          </w:p>
        </w:tc>
        <w:tc>
          <w:tcPr>
            <w:tcW w:w="1011" w:type="pct"/>
            <w:gridSpan w:val="2"/>
            <w:vAlign w:val="center"/>
          </w:tcPr>
          <w:p w14:paraId="5E83CCAD">
            <w:pPr>
              <w:widowControl/>
              <w:adjustRightInd w:val="0"/>
              <w:snapToGrid w:val="0"/>
              <w:jc w:val="center"/>
              <w:rPr>
                <w:rFonts w:eastAsia="仿宋"/>
                <w:sz w:val="18"/>
                <w:szCs w:val="18"/>
              </w:rPr>
            </w:pPr>
            <w:r>
              <w:rPr>
                <w:rFonts w:eastAsia="仿宋"/>
                <w:sz w:val="18"/>
                <w:szCs w:val="18"/>
              </w:rPr>
              <w:t>1.0</w:t>
            </w:r>
          </w:p>
        </w:tc>
      </w:tr>
      <w:tr w14:paraId="4EF57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49" w:type="pct"/>
            <w:vMerge w:val="continue"/>
            <w:vAlign w:val="center"/>
          </w:tcPr>
          <w:p w14:paraId="342BF9DF">
            <w:pPr>
              <w:adjustRightInd w:val="0"/>
              <w:snapToGrid w:val="0"/>
              <w:jc w:val="center"/>
              <w:rPr>
                <w:rFonts w:eastAsia="仿宋"/>
                <w:sz w:val="18"/>
                <w:szCs w:val="18"/>
              </w:rPr>
            </w:pPr>
          </w:p>
        </w:tc>
        <w:tc>
          <w:tcPr>
            <w:tcW w:w="969" w:type="pct"/>
            <w:gridSpan w:val="3"/>
            <w:vAlign w:val="center"/>
          </w:tcPr>
          <w:p w14:paraId="484BC88C">
            <w:pPr>
              <w:widowControl/>
              <w:adjustRightInd w:val="0"/>
              <w:snapToGrid w:val="0"/>
              <w:jc w:val="center"/>
              <w:rPr>
                <w:rFonts w:eastAsia="仿宋"/>
                <w:sz w:val="18"/>
                <w:szCs w:val="18"/>
              </w:rPr>
            </w:pPr>
            <w:r>
              <w:rPr>
                <w:rFonts w:eastAsia="仿宋"/>
                <w:sz w:val="18"/>
                <w:szCs w:val="18"/>
              </w:rPr>
              <w:t>渣土防护率</w:t>
            </w:r>
          </w:p>
        </w:tc>
        <w:tc>
          <w:tcPr>
            <w:tcW w:w="1252" w:type="pct"/>
            <w:gridSpan w:val="3"/>
            <w:vAlign w:val="center"/>
          </w:tcPr>
          <w:p w14:paraId="4FEDDEC2">
            <w:pPr>
              <w:widowControl/>
              <w:adjustRightInd w:val="0"/>
              <w:snapToGrid w:val="0"/>
              <w:jc w:val="center"/>
              <w:rPr>
                <w:rFonts w:eastAsia="仿宋"/>
                <w:sz w:val="18"/>
                <w:szCs w:val="18"/>
              </w:rPr>
            </w:pPr>
            <w:r>
              <w:rPr>
                <w:rFonts w:hint="eastAsia" w:eastAsia="仿宋"/>
                <w:sz w:val="18"/>
                <w:szCs w:val="18"/>
              </w:rPr>
              <w:t>92</w:t>
            </w:r>
            <w:r>
              <w:rPr>
                <w:rFonts w:eastAsia="仿宋"/>
                <w:sz w:val="18"/>
                <w:szCs w:val="18"/>
              </w:rPr>
              <w:t>%</w:t>
            </w:r>
          </w:p>
        </w:tc>
        <w:tc>
          <w:tcPr>
            <w:tcW w:w="1517" w:type="pct"/>
            <w:gridSpan w:val="4"/>
            <w:vAlign w:val="center"/>
          </w:tcPr>
          <w:p w14:paraId="43B9B63B">
            <w:pPr>
              <w:widowControl/>
              <w:adjustRightInd w:val="0"/>
              <w:snapToGrid w:val="0"/>
              <w:jc w:val="center"/>
              <w:rPr>
                <w:rFonts w:eastAsia="仿宋"/>
                <w:sz w:val="18"/>
                <w:szCs w:val="18"/>
              </w:rPr>
            </w:pPr>
            <w:r>
              <w:rPr>
                <w:rFonts w:eastAsia="仿宋"/>
                <w:sz w:val="18"/>
                <w:szCs w:val="18"/>
              </w:rPr>
              <w:t>林草覆盖率</w:t>
            </w:r>
          </w:p>
        </w:tc>
        <w:tc>
          <w:tcPr>
            <w:tcW w:w="1011" w:type="pct"/>
            <w:gridSpan w:val="2"/>
            <w:vAlign w:val="center"/>
          </w:tcPr>
          <w:p w14:paraId="06C95D65">
            <w:pPr>
              <w:widowControl/>
              <w:adjustRightInd w:val="0"/>
              <w:snapToGrid w:val="0"/>
              <w:jc w:val="center"/>
              <w:rPr>
                <w:rFonts w:eastAsia="仿宋"/>
                <w:sz w:val="18"/>
                <w:szCs w:val="18"/>
              </w:rPr>
            </w:pPr>
            <w:r>
              <w:rPr>
                <w:rFonts w:hint="eastAsia" w:eastAsia="仿宋"/>
                <w:sz w:val="18"/>
                <w:szCs w:val="18"/>
              </w:rPr>
              <w:t>25</w:t>
            </w:r>
            <w:r>
              <w:rPr>
                <w:rFonts w:eastAsia="仿宋"/>
                <w:sz w:val="18"/>
                <w:szCs w:val="18"/>
              </w:rPr>
              <w:t>%</w:t>
            </w:r>
          </w:p>
        </w:tc>
      </w:tr>
      <w:tr w14:paraId="30E34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49" w:type="pct"/>
            <w:vMerge w:val="continue"/>
            <w:vAlign w:val="center"/>
          </w:tcPr>
          <w:p w14:paraId="2FE05F9D">
            <w:pPr>
              <w:widowControl/>
              <w:adjustRightInd w:val="0"/>
              <w:snapToGrid w:val="0"/>
              <w:jc w:val="center"/>
              <w:rPr>
                <w:rFonts w:eastAsia="仿宋"/>
                <w:sz w:val="18"/>
                <w:szCs w:val="18"/>
              </w:rPr>
            </w:pPr>
          </w:p>
        </w:tc>
        <w:tc>
          <w:tcPr>
            <w:tcW w:w="969" w:type="pct"/>
            <w:gridSpan w:val="3"/>
            <w:vAlign w:val="center"/>
          </w:tcPr>
          <w:p w14:paraId="17BCC244">
            <w:pPr>
              <w:widowControl/>
              <w:adjustRightInd w:val="0"/>
              <w:snapToGrid w:val="0"/>
              <w:jc w:val="center"/>
              <w:rPr>
                <w:rFonts w:eastAsia="仿宋"/>
                <w:sz w:val="18"/>
                <w:szCs w:val="18"/>
              </w:rPr>
            </w:pPr>
            <w:r>
              <w:rPr>
                <w:rFonts w:eastAsia="仿宋"/>
                <w:sz w:val="18"/>
                <w:szCs w:val="18"/>
              </w:rPr>
              <w:t>林草植被恢复率</w:t>
            </w:r>
          </w:p>
        </w:tc>
        <w:tc>
          <w:tcPr>
            <w:tcW w:w="1252" w:type="pct"/>
            <w:gridSpan w:val="3"/>
            <w:vAlign w:val="center"/>
          </w:tcPr>
          <w:p w14:paraId="21A1D534">
            <w:pPr>
              <w:widowControl/>
              <w:adjustRightInd w:val="0"/>
              <w:snapToGrid w:val="0"/>
              <w:jc w:val="center"/>
              <w:rPr>
                <w:rFonts w:eastAsia="仿宋"/>
                <w:sz w:val="18"/>
                <w:szCs w:val="18"/>
              </w:rPr>
            </w:pPr>
            <w:r>
              <w:rPr>
                <w:rFonts w:hint="eastAsia" w:eastAsia="仿宋"/>
                <w:sz w:val="18"/>
                <w:szCs w:val="18"/>
              </w:rPr>
              <w:t>97</w:t>
            </w:r>
            <w:r>
              <w:rPr>
                <w:rFonts w:eastAsia="仿宋"/>
                <w:sz w:val="18"/>
                <w:szCs w:val="18"/>
              </w:rPr>
              <w:t>%</w:t>
            </w:r>
          </w:p>
        </w:tc>
        <w:tc>
          <w:tcPr>
            <w:tcW w:w="1517" w:type="pct"/>
            <w:gridSpan w:val="4"/>
            <w:vAlign w:val="center"/>
          </w:tcPr>
          <w:p w14:paraId="5E0B5E35">
            <w:pPr>
              <w:widowControl/>
              <w:adjustRightInd w:val="0"/>
              <w:snapToGrid w:val="0"/>
              <w:jc w:val="center"/>
              <w:rPr>
                <w:rFonts w:eastAsia="仿宋"/>
                <w:sz w:val="18"/>
                <w:szCs w:val="18"/>
              </w:rPr>
            </w:pPr>
            <w:r>
              <w:rPr>
                <w:rFonts w:eastAsia="仿宋"/>
                <w:sz w:val="18"/>
                <w:szCs w:val="18"/>
              </w:rPr>
              <w:t>表土保护率</w:t>
            </w:r>
          </w:p>
        </w:tc>
        <w:tc>
          <w:tcPr>
            <w:tcW w:w="1011" w:type="pct"/>
            <w:gridSpan w:val="2"/>
            <w:vAlign w:val="center"/>
          </w:tcPr>
          <w:p w14:paraId="7FC57AC0">
            <w:pPr>
              <w:widowControl/>
              <w:adjustRightInd w:val="0"/>
              <w:snapToGrid w:val="0"/>
              <w:jc w:val="center"/>
              <w:rPr>
                <w:rFonts w:eastAsia="仿宋"/>
                <w:sz w:val="18"/>
                <w:szCs w:val="18"/>
              </w:rPr>
            </w:pPr>
            <w:r>
              <w:rPr>
                <w:rFonts w:hint="eastAsia" w:eastAsia="仿宋"/>
                <w:sz w:val="18"/>
                <w:szCs w:val="18"/>
              </w:rPr>
              <w:t>92</w:t>
            </w:r>
            <w:r>
              <w:rPr>
                <w:rFonts w:eastAsia="仿宋"/>
                <w:sz w:val="18"/>
                <w:szCs w:val="18"/>
              </w:rPr>
              <w:t>%</w:t>
            </w:r>
          </w:p>
        </w:tc>
      </w:tr>
      <w:tr w14:paraId="6C713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49" w:type="pct"/>
            <w:vMerge w:val="restart"/>
            <w:vAlign w:val="center"/>
          </w:tcPr>
          <w:p w14:paraId="5EA5B4FD">
            <w:pPr>
              <w:widowControl/>
              <w:adjustRightInd w:val="0"/>
              <w:snapToGrid w:val="0"/>
              <w:jc w:val="center"/>
              <w:rPr>
                <w:rFonts w:eastAsia="仿宋"/>
                <w:sz w:val="18"/>
                <w:szCs w:val="18"/>
              </w:rPr>
            </w:pPr>
            <w:r>
              <w:rPr>
                <w:rFonts w:eastAsia="仿宋"/>
                <w:sz w:val="18"/>
                <w:szCs w:val="18"/>
              </w:rPr>
              <w:t>防治措施</w:t>
            </w:r>
          </w:p>
        </w:tc>
        <w:tc>
          <w:tcPr>
            <w:tcW w:w="969" w:type="pct"/>
            <w:gridSpan w:val="3"/>
            <w:vAlign w:val="center"/>
          </w:tcPr>
          <w:p w14:paraId="055AD403">
            <w:pPr>
              <w:adjustRightInd w:val="0"/>
              <w:snapToGrid w:val="0"/>
              <w:jc w:val="center"/>
              <w:rPr>
                <w:rFonts w:eastAsia="仿宋"/>
                <w:sz w:val="18"/>
                <w:szCs w:val="18"/>
              </w:rPr>
            </w:pPr>
            <w:r>
              <w:rPr>
                <w:rFonts w:eastAsia="仿宋"/>
                <w:sz w:val="18"/>
                <w:szCs w:val="18"/>
              </w:rPr>
              <w:t>防治分区</w:t>
            </w:r>
          </w:p>
        </w:tc>
        <w:tc>
          <w:tcPr>
            <w:tcW w:w="1252" w:type="pct"/>
            <w:gridSpan w:val="3"/>
            <w:vAlign w:val="center"/>
          </w:tcPr>
          <w:p w14:paraId="6105B3B7">
            <w:pPr>
              <w:widowControl/>
              <w:adjustRightInd w:val="0"/>
              <w:snapToGrid w:val="0"/>
              <w:jc w:val="center"/>
              <w:rPr>
                <w:rFonts w:eastAsia="仿宋"/>
                <w:sz w:val="18"/>
                <w:szCs w:val="18"/>
              </w:rPr>
            </w:pPr>
            <w:r>
              <w:rPr>
                <w:rFonts w:eastAsia="仿宋"/>
                <w:sz w:val="18"/>
                <w:szCs w:val="18"/>
              </w:rPr>
              <w:t>工程措施</w:t>
            </w:r>
          </w:p>
        </w:tc>
        <w:tc>
          <w:tcPr>
            <w:tcW w:w="941" w:type="pct"/>
            <w:gridSpan w:val="3"/>
            <w:vAlign w:val="center"/>
          </w:tcPr>
          <w:p w14:paraId="3E015C92">
            <w:pPr>
              <w:adjustRightInd w:val="0"/>
              <w:snapToGrid w:val="0"/>
              <w:jc w:val="center"/>
              <w:rPr>
                <w:rFonts w:eastAsia="仿宋"/>
                <w:sz w:val="18"/>
                <w:szCs w:val="18"/>
              </w:rPr>
            </w:pPr>
            <w:r>
              <w:rPr>
                <w:rFonts w:eastAsia="仿宋"/>
                <w:sz w:val="18"/>
                <w:szCs w:val="18"/>
              </w:rPr>
              <w:t>植物措施</w:t>
            </w:r>
          </w:p>
        </w:tc>
        <w:tc>
          <w:tcPr>
            <w:tcW w:w="1587" w:type="pct"/>
            <w:gridSpan w:val="3"/>
            <w:vAlign w:val="center"/>
          </w:tcPr>
          <w:p w14:paraId="292809A2">
            <w:pPr>
              <w:adjustRightInd w:val="0"/>
              <w:snapToGrid w:val="0"/>
              <w:jc w:val="center"/>
              <w:rPr>
                <w:rFonts w:eastAsia="仿宋"/>
                <w:sz w:val="18"/>
                <w:szCs w:val="18"/>
              </w:rPr>
            </w:pPr>
            <w:r>
              <w:rPr>
                <w:rFonts w:eastAsia="仿宋"/>
                <w:sz w:val="18"/>
                <w:szCs w:val="18"/>
              </w:rPr>
              <w:t>临时措施</w:t>
            </w:r>
          </w:p>
        </w:tc>
      </w:tr>
      <w:tr w14:paraId="15E36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49" w:type="pct"/>
            <w:vMerge w:val="continue"/>
            <w:vAlign w:val="center"/>
          </w:tcPr>
          <w:p w14:paraId="3F039436">
            <w:pPr>
              <w:widowControl/>
              <w:adjustRightInd w:val="0"/>
              <w:snapToGrid w:val="0"/>
              <w:jc w:val="center"/>
              <w:rPr>
                <w:rFonts w:eastAsia="仿宋"/>
                <w:sz w:val="18"/>
                <w:szCs w:val="18"/>
              </w:rPr>
            </w:pPr>
          </w:p>
        </w:tc>
        <w:tc>
          <w:tcPr>
            <w:tcW w:w="969" w:type="pct"/>
            <w:gridSpan w:val="3"/>
            <w:vAlign w:val="center"/>
          </w:tcPr>
          <w:p w14:paraId="0727F83E">
            <w:pPr>
              <w:adjustRightInd w:val="0"/>
              <w:snapToGrid w:val="0"/>
              <w:jc w:val="center"/>
              <w:rPr>
                <w:rFonts w:eastAsia="仿宋"/>
                <w:sz w:val="18"/>
                <w:szCs w:val="18"/>
              </w:rPr>
            </w:pPr>
            <w:r>
              <w:rPr>
                <w:rFonts w:eastAsia="仿宋"/>
                <w:sz w:val="18"/>
                <w:szCs w:val="18"/>
              </w:rPr>
              <w:t>建设项目防治区</w:t>
            </w:r>
          </w:p>
        </w:tc>
        <w:tc>
          <w:tcPr>
            <w:tcW w:w="1252" w:type="pct"/>
            <w:gridSpan w:val="3"/>
            <w:vAlign w:val="center"/>
          </w:tcPr>
          <w:p w14:paraId="42D90150">
            <w:pPr>
              <w:widowControl/>
              <w:jc w:val="center"/>
              <w:textAlignment w:val="center"/>
              <w:rPr>
                <w:rFonts w:eastAsia="仿宋"/>
                <w:sz w:val="18"/>
                <w:szCs w:val="18"/>
              </w:rPr>
            </w:pPr>
            <w:r>
              <w:rPr>
                <w:rFonts w:eastAsia="仿宋"/>
                <w:kern w:val="0"/>
                <w:sz w:val="18"/>
                <w:szCs w:val="18"/>
              </w:rPr>
              <w:t>主体设计：截水沟201m，雨水管网434m，表土剥离0.4</w:t>
            </w:r>
            <w:r>
              <w:rPr>
                <w:rFonts w:hint="eastAsia" w:eastAsia="仿宋"/>
                <w:kern w:val="0"/>
                <w:sz w:val="18"/>
                <w:szCs w:val="18"/>
              </w:rPr>
              <w:t>0</w:t>
            </w:r>
            <w:r>
              <w:rPr>
                <w:rFonts w:eastAsia="仿宋"/>
                <w:kern w:val="0"/>
                <w:sz w:val="18"/>
                <w:szCs w:val="18"/>
              </w:rPr>
              <w:t>万m</w:t>
            </w:r>
            <w:r>
              <w:rPr>
                <w:rFonts w:eastAsia="仿宋"/>
                <w:kern w:val="0"/>
                <w:sz w:val="18"/>
                <w:szCs w:val="18"/>
                <w:vertAlign w:val="superscript"/>
              </w:rPr>
              <w:t>3</w:t>
            </w:r>
            <w:r>
              <w:rPr>
                <w:rFonts w:eastAsia="仿宋"/>
                <w:kern w:val="0"/>
                <w:sz w:val="18"/>
                <w:szCs w:val="18"/>
              </w:rPr>
              <w:t>，表土回填0.40万m</w:t>
            </w:r>
            <w:r>
              <w:rPr>
                <w:rFonts w:eastAsia="仿宋"/>
                <w:kern w:val="0"/>
                <w:sz w:val="18"/>
                <w:szCs w:val="18"/>
                <w:vertAlign w:val="superscript"/>
              </w:rPr>
              <w:t>3</w:t>
            </w:r>
            <w:r>
              <w:rPr>
                <w:rFonts w:eastAsia="仿宋"/>
                <w:kern w:val="0"/>
                <w:sz w:val="18"/>
                <w:szCs w:val="18"/>
              </w:rPr>
              <w:t>，土地整治1.45hm</w:t>
            </w:r>
            <w:r>
              <w:rPr>
                <w:rFonts w:eastAsia="仿宋"/>
                <w:kern w:val="0"/>
                <w:sz w:val="18"/>
                <w:szCs w:val="18"/>
                <w:vertAlign w:val="superscript"/>
              </w:rPr>
              <w:t>2</w:t>
            </w:r>
          </w:p>
        </w:tc>
        <w:tc>
          <w:tcPr>
            <w:tcW w:w="941" w:type="pct"/>
            <w:gridSpan w:val="3"/>
            <w:vAlign w:val="center"/>
          </w:tcPr>
          <w:p w14:paraId="1634F5D6">
            <w:pPr>
              <w:widowControl/>
              <w:jc w:val="center"/>
              <w:textAlignment w:val="center"/>
              <w:rPr>
                <w:rFonts w:eastAsia="仿宋"/>
                <w:sz w:val="18"/>
                <w:szCs w:val="18"/>
              </w:rPr>
            </w:pPr>
            <w:r>
              <w:rPr>
                <w:rFonts w:eastAsia="仿宋"/>
                <w:kern w:val="0"/>
                <w:sz w:val="18"/>
                <w:szCs w:val="18"/>
              </w:rPr>
              <w:t>主体设计：实土绿化13556m</w:t>
            </w:r>
            <w:r>
              <w:rPr>
                <w:rFonts w:eastAsia="仿宋"/>
                <w:kern w:val="0"/>
                <w:sz w:val="18"/>
                <w:szCs w:val="18"/>
                <w:vertAlign w:val="superscript"/>
              </w:rPr>
              <w:t>2</w:t>
            </w:r>
            <w:r>
              <w:rPr>
                <w:rFonts w:eastAsia="仿宋"/>
                <w:kern w:val="0"/>
                <w:sz w:val="18"/>
                <w:szCs w:val="18"/>
                <w:vertAlign w:val="superscript"/>
              </w:rPr>
              <w:br w:type="textWrapping"/>
            </w:r>
            <w:r>
              <w:rPr>
                <w:rFonts w:eastAsia="仿宋"/>
                <w:kern w:val="0"/>
                <w:sz w:val="18"/>
                <w:szCs w:val="18"/>
              </w:rPr>
              <w:t>，覆土绿化971m</w:t>
            </w:r>
            <w:r>
              <w:rPr>
                <w:rFonts w:eastAsia="仿宋"/>
                <w:kern w:val="0"/>
                <w:sz w:val="18"/>
                <w:szCs w:val="18"/>
                <w:vertAlign w:val="superscript"/>
              </w:rPr>
              <w:t>2</w:t>
            </w:r>
            <w:r>
              <w:rPr>
                <w:rFonts w:eastAsia="仿宋"/>
                <w:kern w:val="0"/>
                <w:sz w:val="18"/>
                <w:szCs w:val="18"/>
              </w:rPr>
              <w:t>。</w:t>
            </w:r>
          </w:p>
        </w:tc>
        <w:tc>
          <w:tcPr>
            <w:tcW w:w="1587" w:type="pct"/>
            <w:gridSpan w:val="3"/>
            <w:vAlign w:val="center"/>
          </w:tcPr>
          <w:p w14:paraId="7924533C">
            <w:pPr>
              <w:widowControl/>
              <w:jc w:val="center"/>
              <w:textAlignment w:val="center"/>
              <w:rPr>
                <w:rFonts w:eastAsia="仿宋"/>
                <w:b/>
                <w:sz w:val="18"/>
                <w:szCs w:val="18"/>
              </w:rPr>
            </w:pPr>
            <w:r>
              <w:rPr>
                <w:rFonts w:eastAsia="仿宋"/>
                <w:kern w:val="0"/>
                <w:sz w:val="18"/>
                <w:szCs w:val="18"/>
              </w:rPr>
              <w:t>主体设计：车辆冲洗站1座。</w:t>
            </w:r>
            <w:r>
              <w:rPr>
                <w:rFonts w:eastAsia="仿宋"/>
                <w:kern w:val="0"/>
                <w:sz w:val="18"/>
                <w:szCs w:val="18"/>
              </w:rPr>
              <w:br w:type="textWrapping"/>
            </w:r>
            <w:r>
              <w:rPr>
                <w:rFonts w:eastAsia="仿宋"/>
                <w:kern w:val="0"/>
                <w:sz w:val="18"/>
                <w:szCs w:val="18"/>
              </w:rPr>
              <w:t>方案新增：防雨布覆盖13556m</w:t>
            </w:r>
            <w:r>
              <w:rPr>
                <w:rFonts w:eastAsia="仿宋"/>
                <w:kern w:val="0"/>
                <w:sz w:val="18"/>
                <w:szCs w:val="18"/>
                <w:vertAlign w:val="superscript"/>
              </w:rPr>
              <w:t>2</w:t>
            </w:r>
            <w:r>
              <w:rPr>
                <w:rFonts w:eastAsia="仿宋"/>
                <w:kern w:val="0"/>
                <w:sz w:val="18"/>
                <w:szCs w:val="18"/>
              </w:rPr>
              <w:t>，</w:t>
            </w:r>
            <w:r>
              <w:rPr>
                <w:rFonts w:hint="eastAsia" w:eastAsia="仿宋"/>
                <w:kern w:val="0"/>
                <w:sz w:val="18"/>
                <w:szCs w:val="18"/>
              </w:rPr>
              <w:t>临时排水沟怕68m，</w:t>
            </w:r>
            <w:r>
              <w:rPr>
                <w:rFonts w:eastAsia="仿宋"/>
                <w:kern w:val="0"/>
                <w:sz w:val="18"/>
                <w:szCs w:val="18"/>
              </w:rPr>
              <w:t>临时沉砂池</w:t>
            </w:r>
            <w:r>
              <w:rPr>
                <w:rFonts w:hint="eastAsia" w:eastAsia="仿宋"/>
                <w:kern w:val="0"/>
                <w:sz w:val="18"/>
                <w:szCs w:val="18"/>
              </w:rPr>
              <w:t>4</w:t>
            </w:r>
            <w:r>
              <w:rPr>
                <w:rFonts w:eastAsia="仿宋"/>
                <w:kern w:val="0"/>
                <w:sz w:val="18"/>
                <w:szCs w:val="18"/>
              </w:rPr>
              <w:t>口</w:t>
            </w:r>
            <w:r>
              <w:rPr>
                <w:rFonts w:hint="eastAsia" w:eastAsia="仿宋"/>
                <w:kern w:val="0"/>
                <w:sz w:val="18"/>
                <w:szCs w:val="18"/>
              </w:rPr>
              <w:t>，填土编织袋临时挡墙110m。</w:t>
            </w:r>
          </w:p>
        </w:tc>
      </w:tr>
      <w:tr w14:paraId="27C01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49" w:type="pct"/>
            <w:vMerge w:val="continue"/>
            <w:vAlign w:val="center"/>
          </w:tcPr>
          <w:p w14:paraId="619B5FBA">
            <w:pPr>
              <w:widowControl/>
              <w:adjustRightInd w:val="0"/>
              <w:snapToGrid w:val="0"/>
              <w:jc w:val="center"/>
              <w:rPr>
                <w:rFonts w:eastAsia="仿宋"/>
                <w:sz w:val="18"/>
                <w:szCs w:val="18"/>
              </w:rPr>
            </w:pPr>
          </w:p>
        </w:tc>
        <w:tc>
          <w:tcPr>
            <w:tcW w:w="969" w:type="pct"/>
            <w:gridSpan w:val="3"/>
            <w:vAlign w:val="center"/>
          </w:tcPr>
          <w:p w14:paraId="15931507">
            <w:pPr>
              <w:widowControl/>
              <w:adjustRightInd w:val="0"/>
              <w:snapToGrid w:val="0"/>
              <w:jc w:val="center"/>
              <w:rPr>
                <w:rFonts w:eastAsia="仿宋"/>
                <w:sz w:val="18"/>
                <w:szCs w:val="18"/>
              </w:rPr>
            </w:pPr>
            <w:r>
              <w:rPr>
                <w:rFonts w:eastAsia="仿宋"/>
                <w:sz w:val="18"/>
                <w:szCs w:val="18"/>
              </w:rPr>
              <w:t>投资（万元）</w:t>
            </w:r>
          </w:p>
        </w:tc>
        <w:tc>
          <w:tcPr>
            <w:tcW w:w="1252" w:type="pct"/>
            <w:gridSpan w:val="3"/>
            <w:vAlign w:val="center"/>
          </w:tcPr>
          <w:p w14:paraId="67A680F8">
            <w:pPr>
              <w:adjustRightInd w:val="0"/>
              <w:snapToGrid w:val="0"/>
              <w:jc w:val="center"/>
              <w:rPr>
                <w:rFonts w:eastAsia="仿宋"/>
              </w:rPr>
            </w:pPr>
            <w:r>
              <w:rPr>
                <w:rFonts w:eastAsia="仿宋"/>
                <w:sz w:val="18"/>
                <w:szCs w:val="18"/>
              </w:rPr>
              <w:t>主体设计：</w:t>
            </w:r>
            <w:r>
              <w:rPr>
                <w:rFonts w:hint="eastAsia" w:eastAsia="仿宋"/>
                <w:sz w:val="18"/>
                <w:szCs w:val="18"/>
              </w:rPr>
              <w:t>32.50</w:t>
            </w:r>
          </w:p>
        </w:tc>
        <w:tc>
          <w:tcPr>
            <w:tcW w:w="941" w:type="pct"/>
            <w:gridSpan w:val="3"/>
            <w:vAlign w:val="center"/>
          </w:tcPr>
          <w:p w14:paraId="3BF19E32">
            <w:pPr>
              <w:adjustRightInd w:val="0"/>
              <w:snapToGrid w:val="0"/>
              <w:jc w:val="center"/>
              <w:rPr>
                <w:rFonts w:eastAsia="仿宋"/>
                <w:sz w:val="18"/>
                <w:szCs w:val="18"/>
              </w:rPr>
            </w:pPr>
            <w:r>
              <w:rPr>
                <w:rFonts w:eastAsia="仿宋"/>
                <w:sz w:val="18"/>
                <w:szCs w:val="18"/>
              </w:rPr>
              <w:t>主体设计：1</w:t>
            </w:r>
            <w:r>
              <w:rPr>
                <w:rFonts w:hint="eastAsia" w:eastAsia="仿宋"/>
                <w:sz w:val="18"/>
                <w:szCs w:val="18"/>
              </w:rPr>
              <w:t>7.51</w:t>
            </w:r>
          </w:p>
        </w:tc>
        <w:tc>
          <w:tcPr>
            <w:tcW w:w="1587" w:type="pct"/>
            <w:gridSpan w:val="3"/>
            <w:vAlign w:val="center"/>
          </w:tcPr>
          <w:p w14:paraId="6D0B46CC">
            <w:pPr>
              <w:adjustRightInd w:val="0"/>
              <w:snapToGrid w:val="0"/>
              <w:jc w:val="center"/>
              <w:rPr>
                <w:rFonts w:eastAsia="仿宋"/>
                <w:sz w:val="18"/>
                <w:szCs w:val="18"/>
              </w:rPr>
            </w:pPr>
            <w:r>
              <w:rPr>
                <w:rFonts w:hint="eastAsia" w:eastAsia="仿宋"/>
                <w:sz w:val="18"/>
                <w:szCs w:val="18"/>
              </w:rPr>
              <w:t>主体设计：0.98</w:t>
            </w:r>
          </w:p>
          <w:p w14:paraId="7DAA3D03">
            <w:pPr>
              <w:adjustRightInd w:val="0"/>
              <w:snapToGrid w:val="0"/>
              <w:jc w:val="center"/>
              <w:rPr>
                <w:rFonts w:eastAsia="仿宋"/>
                <w:sz w:val="18"/>
                <w:szCs w:val="18"/>
              </w:rPr>
            </w:pPr>
            <w:r>
              <w:rPr>
                <w:rFonts w:eastAsia="仿宋"/>
                <w:sz w:val="18"/>
                <w:szCs w:val="18"/>
              </w:rPr>
              <w:t>方案新增：</w:t>
            </w:r>
            <w:r>
              <w:rPr>
                <w:rFonts w:hint="eastAsia" w:eastAsia="仿宋"/>
                <w:sz w:val="18"/>
                <w:szCs w:val="18"/>
              </w:rPr>
              <w:t>15.08</w:t>
            </w:r>
          </w:p>
        </w:tc>
      </w:tr>
      <w:tr w14:paraId="50648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218" w:type="pct"/>
            <w:gridSpan w:val="4"/>
            <w:vAlign w:val="center"/>
          </w:tcPr>
          <w:p w14:paraId="08A81F37">
            <w:pPr>
              <w:widowControl/>
              <w:adjustRightInd w:val="0"/>
              <w:snapToGrid w:val="0"/>
              <w:jc w:val="center"/>
              <w:rPr>
                <w:rFonts w:eastAsia="仿宋"/>
                <w:sz w:val="18"/>
                <w:szCs w:val="18"/>
              </w:rPr>
            </w:pPr>
            <w:r>
              <w:rPr>
                <w:rFonts w:eastAsia="仿宋"/>
                <w:sz w:val="18"/>
                <w:szCs w:val="18"/>
              </w:rPr>
              <w:t>水土保持总投资（万元）</w:t>
            </w:r>
          </w:p>
        </w:tc>
        <w:tc>
          <w:tcPr>
            <w:tcW w:w="1252" w:type="pct"/>
            <w:gridSpan w:val="3"/>
            <w:vAlign w:val="center"/>
          </w:tcPr>
          <w:p w14:paraId="50FD82C3">
            <w:pPr>
              <w:widowControl/>
              <w:adjustRightInd w:val="0"/>
              <w:snapToGrid w:val="0"/>
              <w:jc w:val="center"/>
              <w:rPr>
                <w:rFonts w:eastAsia="仿宋"/>
                <w:sz w:val="18"/>
                <w:szCs w:val="18"/>
              </w:rPr>
            </w:pPr>
            <w:r>
              <w:rPr>
                <w:rFonts w:hint="eastAsia" w:eastAsia="仿宋"/>
                <w:sz w:val="18"/>
                <w:szCs w:val="18"/>
              </w:rPr>
              <w:t>100.55</w:t>
            </w:r>
            <w:r>
              <w:rPr>
                <w:rFonts w:eastAsia="仿宋"/>
                <w:sz w:val="18"/>
                <w:szCs w:val="18"/>
              </w:rPr>
              <w:t>（新增</w:t>
            </w:r>
            <w:r>
              <w:rPr>
                <w:rFonts w:hint="eastAsia" w:eastAsia="仿宋"/>
                <w:sz w:val="18"/>
                <w:szCs w:val="18"/>
              </w:rPr>
              <w:t>49.56</w:t>
            </w:r>
            <w:r>
              <w:rPr>
                <w:rFonts w:eastAsia="仿宋"/>
                <w:sz w:val="18"/>
                <w:szCs w:val="18"/>
              </w:rPr>
              <w:t>）</w:t>
            </w:r>
          </w:p>
        </w:tc>
        <w:tc>
          <w:tcPr>
            <w:tcW w:w="941" w:type="pct"/>
            <w:gridSpan w:val="3"/>
            <w:vAlign w:val="center"/>
          </w:tcPr>
          <w:p w14:paraId="418BF26F">
            <w:pPr>
              <w:adjustRightInd w:val="0"/>
              <w:snapToGrid w:val="0"/>
              <w:jc w:val="center"/>
              <w:rPr>
                <w:rFonts w:eastAsia="仿宋"/>
                <w:sz w:val="18"/>
                <w:szCs w:val="18"/>
              </w:rPr>
            </w:pPr>
            <w:r>
              <w:rPr>
                <w:rFonts w:eastAsia="仿宋"/>
                <w:sz w:val="18"/>
                <w:szCs w:val="18"/>
              </w:rPr>
              <w:t>独立费用（万元）</w:t>
            </w:r>
          </w:p>
        </w:tc>
        <w:tc>
          <w:tcPr>
            <w:tcW w:w="1587" w:type="pct"/>
            <w:gridSpan w:val="3"/>
            <w:vAlign w:val="center"/>
          </w:tcPr>
          <w:p w14:paraId="260BEFB1">
            <w:pPr>
              <w:adjustRightInd w:val="0"/>
              <w:snapToGrid w:val="0"/>
              <w:jc w:val="center"/>
              <w:rPr>
                <w:rFonts w:eastAsia="仿宋"/>
                <w:sz w:val="18"/>
                <w:szCs w:val="18"/>
              </w:rPr>
            </w:pPr>
            <w:r>
              <w:rPr>
                <w:rFonts w:hint="eastAsia" w:eastAsia="仿宋"/>
                <w:sz w:val="18"/>
                <w:szCs w:val="18"/>
              </w:rPr>
              <w:t>7.76</w:t>
            </w:r>
          </w:p>
        </w:tc>
      </w:tr>
      <w:tr w14:paraId="101E5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1218" w:type="pct"/>
            <w:gridSpan w:val="4"/>
            <w:vAlign w:val="center"/>
          </w:tcPr>
          <w:p w14:paraId="60EC1B43">
            <w:pPr>
              <w:widowControl/>
              <w:adjustRightInd w:val="0"/>
              <w:snapToGrid w:val="0"/>
              <w:jc w:val="center"/>
              <w:rPr>
                <w:rFonts w:eastAsia="仿宋"/>
                <w:sz w:val="18"/>
                <w:szCs w:val="18"/>
              </w:rPr>
            </w:pPr>
            <w:r>
              <w:rPr>
                <w:rFonts w:eastAsia="仿宋"/>
                <w:sz w:val="18"/>
                <w:szCs w:val="18"/>
              </w:rPr>
              <w:t>监理费（万元）</w:t>
            </w:r>
          </w:p>
        </w:tc>
        <w:tc>
          <w:tcPr>
            <w:tcW w:w="1252" w:type="pct"/>
            <w:gridSpan w:val="3"/>
            <w:vAlign w:val="center"/>
          </w:tcPr>
          <w:p w14:paraId="6226AB2E">
            <w:pPr>
              <w:widowControl/>
              <w:adjustRightInd w:val="0"/>
              <w:snapToGrid w:val="0"/>
              <w:jc w:val="center"/>
              <w:rPr>
                <w:rFonts w:eastAsia="仿宋"/>
                <w:sz w:val="18"/>
                <w:szCs w:val="18"/>
              </w:rPr>
            </w:pPr>
            <w:r>
              <w:rPr>
                <w:rFonts w:eastAsia="仿宋"/>
                <w:sz w:val="18"/>
                <w:szCs w:val="18"/>
              </w:rPr>
              <w:t>0.</w:t>
            </w:r>
            <w:r>
              <w:rPr>
                <w:rFonts w:hint="eastAsia" w:eastAsia="仿宋"/>
                <w:sz w:val="18"/>
                <w:szCs w:val="18"/>
              </w:rPr>
              <w:t>06</w:t>
            </w:r>
          </w:p>
        </w:tc>
        <w:tc>
          <w:tcPr>
            <w:tcW w:w="941" w:type="pct"/>
            <w:gridSpan w:val="3"/>
            <w:vAlign w:val="center"/>
          </w:tcPr>
          <w:p w14:paraId="4564946C">
            <w:pPr>
              <w:widowControl/>
              <w:adjustRightInd w:val="0"/>
              <w:snapToGrid w:val="0"/>
              <w:jc w:val="center"/>
              <w:rPr>
                <w:rFonts w:eastAsia="仿宋"/>
                <w:sz w:val="18"/>
                <w:szCs w:val="18"/>
              </w:rPr>
            </w:pPr>
            <w:r>
              <w:rPr>
                <w:rFonts w:eastAsia="仿宋"/>
                <w:sz w:val="18"/>
                <w:szCs w:val="18"/>
              </w:rPr>
              <w:t>监测费（万元）</w:t>
            </w:r>
          </w:p>
        </w:tc>
        <w:tc>
          <w:tcPr>
            <w:tcW w:w="1587" w:type="pct"/>
            <w:gridSpan w:val="3"/>
            <w:vAlign w:val="center"/>
          </w:tcPr>
          <w:p w14:paraId="714CB0BB">
            <w:pPr>
              <w:widowControl/>
              <w:adjustRightInd w:val="0"/>
              <w:snapToGrid w:val="0"/>
              <w:jc w:val="center"/>
              <w:rPr>
                <w:rFonts w:eastAsia="仿宋"/>
                <w:sz w:val="18"/>
                <w:szCs w:val="18"/>
              </w:rPr>
            </w:pPr>
            <w:r>
              <w:rPr>
                <w:rFonts w:hint="eastAsia" w:eastAsia="仿宋"/>
                <w:sz w:val="18"/>
                <w:szCs w:val="18"/>
              </w:rPr>
              <w:t>20.45</w:t>
            </w:r>
          </w:p>
        </w:tc>
      </w:tr>
      <w:tr w14:paraId="7DDAA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exact"/>
          <w:jc w:val="center"/>
        </w:trPr>
        <w:tc>
          <w:tcPr>
            <w:tcW w:w="552" w:type="pct"/>
            <w:gridSpan w:val="2"/>
            <w:vMerge w:val="restart"/>
            <w:vAlign w:val="center"/>
          </w:tcPr>
          <w:p w14:paraId="1BF9BD04">
            <w:pPr>
              <w:widowControl/>
              <w:adjustRightInd w:val="0"/>
              <w:snapToGrid w:val="0"/>
              <w:jc w:val="center"/>
              <w:rPr>
                <w:rFonts w:eastAsia="仿宋"/>
                <w:sz w:val="18"/>
                <w:szCs w:val="18"/>
              </w:rPr>
            </w:pPr>
            <w:r>
              <w:rPr>
                <w:rFonts w:eastAsia="仿宋"/>
                <w:sz w:val="18"/>
                <w:szCs w:val="18"/>
              </w:rPr>
              <w:t>水土保持补偿费缴费信息</w:t>
            </w:r>
          </w:p>
        </w:tc>
        <w:tc>
          <w:tcPr>
            <w:tcW w:w="666" w:type="pct"/>
            <w:gridSpan w:val="2"/>
            <w:vAlign w:val="center"/>
          </w:tcPr>
          <w:p w14:paraId="3D10BA0D">
            <w:pPr>
              <w:widowControl/>
              <w:adjustRightInd w:val="0"/>
              <w:snapToGrid w:val="0"/>
              <w:jc w:val="center"/>
              <w:rPr>
                <w:rFonts w:eastAsia="仿宋"/>
                <w:sz w:val="18"/>
                <w:szCs w:val="18"/>
              </w:rPr>
            </w:pPr>
            <w:r>
              <w:rPr>
                <w:rFonts w:eastAsia="仿宋"/>
                <w:sz w:val="18"/>
                <w:szCs w:val="18"/>
              </w:rPr>
              <w:t>项目代码</w:t>
            </w:r>
          </w:p>
        </w:tc>
        <w:tc>
          <w:tcPr>
            <w:tcW w:w="1252" w:type="pct"/>
            <w:gridSpan w:val="3"/>
            <w:vAlign w:val="center"/>
          </w:tcPr>
          <w:p w14:paraId="19C06476">
            <w:pPr>
              <w:adjustRightInd w:val="0"/>
              <w:snapToGrid w:val="0"/>
              <w:jc w:val="center"/>
              <w:outlineLvl w:val="2"/>
              <w:rPr>
                <w:rFonts w:eastAsia="仿宋"/>
                <w:sz w:val="18"/>
                <w:szCs w:val="18"/>
              </w:rPr>
            </w:pPr>
            <w:r>
              <w:rPr>
                <w:rFonts w:hint="eastAsia" w:eastAsia="仿宋"/>
                <w:sz w:val="18"/>
                <w:szCs w:val="18"/>
              </w:rPr>
              <w:t>2019-500240-92-01-077814</w:t>
            </w:r>
          </w:p>
        </w:tc>
        <w:tc>
          <w:tcPr>
            <w:tcW w:w="941" w:type="pct"/>
            <w:gridSpan w:val="3"/>
            <w:vAlign w:val="center"/>
          </w:tcPr>
          <w:p w14:paraId="02A7348B">
            <w:pPr>
              <w:widowControl/>
              <w:adjustRightInd w:val="0"/>
              <w:snapToGrid w:val="0"/>
              <w:jc w:val="center"/>
              <w:rPr>
                <w:rFonts w:eastAsia="仿宋"/>
                <w:sz w:val="18"/>
                <w:szCs w:val="18"/>
              </w:rPr>
            </w:pPr>
            <w:r>
              <w:rPr>
                <w:rFonts w:eastAsia="仿宋"/>
                <w:sz w:val="18"/>
                <w:szCs w:val="18"/>
              </w:rPr>
              <w:t>社会信用代码</w:t>
            </w:r>
          </w:p>
        </w:tc>
        <w:tc>
          <w:tcPr>
            <w:tcW w:w="1587" w:type="pct"/>
            <w:gridSpan w:val="3"/>
            <w:vAlign w:val="center"/>
          </w:tcPr>
          <w:p w14:paraId="4ACF8F18">
            <w:pPr>
              <w:adjustRightInd w:val="0"/>
              <w:snapToGrid w:val="0"/>
              <w:jc w:val="center"/>
              <w:outlineLvl w:val="2"/>
              <w:rPr>
                <w:rFonts w:eastAsia="仿宋"/>
                <w:sz w:val="18"/>
                <w:szCs w:val="18"/>
              </w:rPr>
            </w:pPr>
            <w:r>
              <w:rPr>
                <w:rFonts w:eastAsia="仿宋"/>
                <w:sz w:val="18"/>
                <w:szCs w:val="18"/>
              </w:rPr>
              <w:t>11500240009134785K</w:t>
            </w:r>
          </w:p>
        </w:tc>
      </w:tr>
      <w:tr w14:paraId="3683C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exact"/>
          <w:jc w:val="center"/>
        </w:trPr>
        <w:tc>
          <w:tcPr>
            <w:tcW w:w="552" w:type="pct"/>
            <w:gridSpan w:val="2"/>
            <w:vMerge w:val="continue"/>
            <w:vAlign w:val="center"/>
          </w:tcPr>
          <w:p w14:paraId="2BC5DBDB">
            <w:pPr>
              <w:widowControl/>
              <w:adjustRightInd w:val="0"/>
              <w:snapToGrid w:val="0"/>
              <w:jc w:val="center"/>
              <w:rPr>
                <w:rFonts w:eastAsia="仿宋"/>
                <w:sz w:val="18"/>
                <w:szCs w:val="18"/>
              </w:rPr>
            </w:pPr>
          </w:p>
        </w:tc>
        <w:tc>
          <w:tcPr>
            <w:tcW w:w="666" w:type="pct"/>
            <w:gridSpan w:val="2"/>
            <w:vAlign w:val="center"/>
          </w:tcPr>
          <w:p w14:paraId="467DC5BE">
            <w:pPr>
              <w:widowControl/>
              <w:adjustRightInd w:val="0"/>
              <w:snapToGrid w:val="0"/>
              <w:jc w:val="center"/>
              <w:rPr>
                <w:rFonts w:eastAsia="仿宋"/>
                <w:sz w:val="18"/>
                <w:szCs w:val="18"/>
              </w:rPr>
            </w:pPr>
            <w:r>
              <w:rPr>
                <w:rFonts w:eastAsia="仿宋"/>
                <w:sz w:val="18"/>
                <w:szCs w:val="18"/>
              </w:rPr>
              <w:t>计费面积（m</w:t>
            </w:r>
            <w:r>
              <w:rPr>
                <w:rFonts w:eastAsia="仿宋"/>
                <w:sz w:val="18"/>
                <w:szCs w:val="18"/>
                <w:vertAlign w:val="superscript"/>
              </w:rPr>
              <w:t>2</w:t>
            </w:r>
            <w:r>
              <w:rPr>
                <w:rFonts w:eastAsia="仿宋"/>
                <w:sz w:val="18"/>
                <w:szCs w:val="18"/>
              </w:rPr>
              <w:t>）</w:t>
            </w:r>
          </w:p>
        </w:tc>
        <w:tc>
          <w:tcPr>
            <w:tcW w:w="1252" w:type="pct"/>
            <w:gridSpan w:val="3"/>
            <w:vAlign w:val="center"/>
          </w:tcPr>
          <w:p w14:paraId="47D4FDD5">
            <w:pPr>
              <w:adjustRightInd w:val="0"/>
              <w:snapToGrid w:val="0"/>
              <w:jc w:val="center"/>
              <w:outlineLvl w:val="2"/>
              <w:rPr>
                <w:rFonts w:eastAsia="仿宋"/>
                <w:sz w:val="18"/>
                <w:szCs w:val="18"/>
              </w:rPr>
            </w:pPr>
            <w:r>
              <w:rPr>
                <w:rFonts w:eastAsia="仿宋"/>
                <w:sz w:val="18"/>
                <w:szCs w:val="18"/>
              </w:rPr>
              <w:t>2</w:t>
            </w:r>
            <w:r>
              <w:rPr>
                <w:rFonts w:hint="eastAsia" w:eastAsia="仿宋"/>
                <w:sz w:val="18"/>
                <w:szCs w:val="18"/>
              </w:rPr>
              <w:t>6231</w:t>
            </w:r>
          </w:p>
        </w:tc>
        <w:tc>
          <w:tcPr>
            <w:tcW w:w="941" w:type="pct"/>
            <w:gridSpan w:val="3"/>
            <w:vAlign w:val="center"/>
          </w:tcPr>
          <w:p w14:paraId="7EE302DF">
            <w:pPr>
              <w:widowControl/>
              <w:adjustRightInd w:val="0"/>
              <w:snapToGrid w:val="0"/>
              <w:jc w:val="center"/>
              <w:rPr>
                <w:rFonts w:eastAsia="仿宋"/>
                <w:sz w:val="18"/>
                <w:szCs w:val="18"/>
              </w:rPr>
            </w:pPr>
            <w:r>
              <w:rPr>
                <w:rFonts w:eastAsia="仿宋"/>
                <w:sz w:val="18"/>
                <w:szCs w:val="18"/>
              </w:rPr>
              <w:t>计费单位</w:t>
            </w:r>
          </w:p>
        </w:tc>
        <w:tc>
          <w:tcPr>
            <w:tcW w:w="1587" w:type="pct"/>
            <w:gridSpan w:val="3"/>
            <w:vAlign w:val="center"/>
          </w:tcPr>
          <w:p w14:paraId="7DDA28D8">
            <w:pPr>
              <w:adjustRightInd w:val="0"/>
              <w:snapToGrid w:val="0"/>
              <w:jc w:val="center"/>
              <w:outlineLvl w:val="2"/>
              <w:rPr>
                <w:rFonts w:eastAsia="仿宋"/>
                <w:kern w:val="0"/>
                <w:sz w:val="18"/>
                <w:szCs w:val="18"/>
                <w:u w:color="000000"/>
                <w:vertAlign w:val="superscript"/>
              </w:rPr>
            </w:pPr>
            <w:r>
              <w:rPr>
                <w:rFonts w:eastAsia="仿宋"/>
                <w:kern w:val="0"/>
                <w:sz w:val="18"/>
                <w:szCs w:val="18"/>
                <w:u w:color="000000"/>
              </w:rPr>
              <w:t>1.40元/m</w:t>
            </w:r>
            <w:r>
              <w:rPr>
                <w:rFonts w:eastAsia="仿宋"/>
                <w:kern w:val="0"/>
                <w:sz w:val="18"/>
                <w:szCs w:val="18"/>
                <w:u w:color="000000"/>
                <w:vertAlign w:val="superscript"/>
              </w:rPr>
              <w:t>2</w:t>
            </w:r>
          </w:p>
        </w:tc>
      </w:tr>
      <w:tr w14:paraId="0B2BB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exact"/>
          <w:jc w:val="center"/>
        </w:trPr>
        <w:tc>
          <w:tcPr>
            <w:tcW w:w="552" w:type="pct"/>
            <w:gridSpan w:val="2"/>
            <w:vMerge w:val="continue"/>
            <w:vAlign w:val="center"/>
          </w:tcPr>
          <w:p w14:paraId="6CE5BD6E">
            <w:pPr>
              <w:widowControl/>
              <w:adjustRightInd w:val="0"/>
              <w:snapToGrid w:val="0"/>
              <w:jc w:val="center"/>
              <w:rPr>
                <w:rFonts w:eastAsia="仿宋"/>
                <w:sz w:val="18"/>
                <w:szCs w:val="18"/>
              </w:rPr>
            </w:pPr>
          </w:p>
        </w:tc>
        <w:tc>
          <w:tcPr>
            <w:tcW w:w="666" w:type="pct"/>
            <w:gridSpan w:val="2"/>
            <w:vAlign w:val="center"/>
          </w:tcPr>
          <w:p w14:paraId="2CF0A5C1">
            <w:pPr>
              <w:widowControl/>
              <w:adjustRightInd w:val="0"/>
              <w:snapToGrid w:val="0"/>
              <w:jc w:val="center"/>
              <w:rPr>
                <w:rFonts w:eastAsia="仿宋"/>
                <w:sz w:val="18"/>
                <w:szCs w:val="18"/>
              </w:rPr>
            </w:pPr>
            <w:r>
              <w:rPr>
                <w:rFonts w:eastAsia="仿宋"/>
                <w:sz w:val="18"/>
                <w:szCs w:val="18"/>
              </w:rPr>
              <w:t>合计（</w:t>
            </w:r>
            <w:r>
              <w:rPr>
                <w:rFonts w:hint="eastAsia" w:eastAsia="仿宋"/>
                <w:sz w:val="18"/>
                <w:szCs w:val="18"/>
              </w:rPr>
              <w:t>万</w:t>
            </w:r>
            <w:r>
              <w:rPr>
                <w:rFonts w:eastAsia="仿宋"/>
                <w:sz w:val="18"/>
                <w:szCs w:val="18"/>
              </w:rPr>
              <w:t>元）</w:t>
            </w:r>
          </w:p>
        </w:tc>
        <w:tc>
          <w:tcPr>
            <w:tcW w:w="3781" w:type="pct"/>
            <w:gridSpan w:val="9"/>
            <w:vAlign w:val="center"/>
          </w:tcPr>
          <w:p w14:paraId="28AD9381">
            <w:pPr>
              <w:adjustRightInd w:val="0"/>
              <w:snapToGrid w:val="0"/>
              <w:jc w:val="center"/>
              <w:outlineLvl w:val="2"/>
              <w:rPr>
                <w:rFonts w:eastAsia="仿宋"/>
                <w:kern w:val="0"/>
                <w:sz w:val="18"/>
                <w:szCs w:val="18"/>
                <w:u w:color="000000"/>
              </w:rPr>
            </w:pPr>
            <w:r>
              <w:rPr>
                <w:rFonts w:hint="eastAsia" w:eastAsia="仿宋"/>
                <w:kern w:val="0"/>
                <w:sz w:val="18"/>
                <w:szCs w:val="18"/>
                <w:u w:color="000000"/>
              </w:rPr>
              <w:t>3.6723</w:t>
            </w:r>
            <w:r>
              <w:rPr>
                <w:rFonts w:eastAsia="仿宋"/>
                <w:kern w:val="0"/>
                <w:sz w:val="18"/>
                <w:szCs w:val="18"/>
                <w:u w:color="000000"/>
              </w:rPr>
              <w:t>（叁万</w:t>
            </w:r>
            <w:r>
              <w:rPr>
                <w:rFonts w:hint="eastAsia" w:eastAsia="仿宋"/>
                <w:kern w:val="0"/>
                <w:sz w:val="18"/>
                <w:szCs w:val="18"/>
                <w:u w:color="000000"/>
              </w:rPr>
              <w:t>玖仟叁佰柒拾伍元</w:t>
            </w:r>
            <w:r>
              <w:rPr>
                <w:rFonts w:eastAsia="仿宋"/>
                <w:kern w:val="0"/>
                <w:sz w:val="18"/>
                <w:szCs w:val="18"/>
                <w:u w:color="000000"/>
              </w:rPr>
              <w:t>）</w:t>
            </w:r>
          </w:p>
        </w:tc>
      </w:tr>
      <w:tr w14:paraId="70CE7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18" w:type="pct"/>
            <w:gridSpan w:val="4"/>
            <w:vAlign w:val="center"/>
          </w:tcPr>
          <w:p w14:paraId="22823284">
            <w:pPr>
              <w:widowControl/>
              <w:adjustRightInd w:val="0"/>
              <w:snapToGrid w:val="0"/>
              <w:jc w:val="center"/>
              <w:rPr>
                <w:rFonts w:eastAsia="仿宋"/>
                <w:sz w:val="18"/>
                <w:szCs w:val="18"/>
              </w:rPr>
            </w:pPr>
            <w:r>
              <w:rPr>
                <w:rFonts w:eastAsia="仿宋"/>
                <w:sz w:val="18"/>
                <w:szCs w:val="18"/>
              </w:rPr>
              <w:t>方案编制单位</w:t>
            </w:r>
          </w:p>
        </w:tc>
        <w:tc>
          <w:tcPr>
            <w:tcW w:w="1252" w:type="pct"/>
            <w:gridSpan w:val="3"/>
            <w:vAlign w:val="center"/>
          </w:tcPr>
          <w:p w14:paraId="3AE96B9B">
            <w:pPr>
              <w:adjustRightInd w:val="0"/>
              <w:snapToGrid w:val="0"/>
              <w:jc w:val="center"/>
              <w:outlineLvl w:val="2"/>
              <w:rPr>
                <w:rFonts w:eastAsia="仿宋"/>
                <w:sz w:val="18"/>
                <w:szCs w:val="18"/>
              </w:rPr>
            </w:pPr>
            <w:r>
              <w:rPr>
                <w:rFonts w:eastAsia="仿宋"/>
                <w:sz w:val="18"/>
                <w:szCs w:val="18"/>
              </w:rPr>
              <w:t>重庆龙翰环保工程有限公司</w:t>
            </w:r>
          </w:p>
        </w:tc>
        <w:tc>
          <w:tcPr>
            <w:tcW w:w="941" w:type="pct"/>
            <w:gridSpan w:val="3"/>
            <w:vAlign w:val="center"/>
          </w:tcPr>
          <w:p w14:paraId="3A506EA7">
            <w:pPr>
              <w:widowControl/>
              <w:adjustRightInd w:val="0"/>
              <w:snapToGrid w:val="0"/>
              <w:jc w:val="center"/>
              <w:rPr>
                <w:rFonts w:eastAsia="仿宋"/>
                <w:sz w:val="18"/>
                <w:szCs w:val="18"/>
              </w:rPr>
            </w:pPr>
            <w:r>
              <w:rPr>
                <w:rFonts w:eastAsia="仿宋"/>
                <w:sz w:val="18"/>
                <w:szCs w:val="18"/>
              </w:rPr>
              <w:t>建设单位</w:t>
            </w:r>
          </w:p>
        </w:tc>
        <w:tc>
          <w:tcPr>
            <w:tcW w:w="1587" w:type="pct"/>
            <w:gridSpan w:val="3"/>
            <w:vAlign w:val="center"/>
          </w:tcPr>
          <w:p w14:paraId="4D8620F5">
            <w:pPr>
              <w:adjustRightInd w:val="0"/>
              <w:snapToGrid w:val="0"/>
              <w:jc w:val="center"/>
              <w:outlineLvl w:val="2"/>
              <w:rPr>
                <w:rFonts w:eastAsia="仿宋"/>
                <w:sz w:val="18"/>
                <w:szCs w:val="18"/>
              </w:rPr>
            </w:pPr>
            <w:r>
              <w:rPr>
                <w:rFonts w:hint="eastAsia" w:eastAsia="仿宋"/>
                <w:sz w:val="18"/>
                <w:szCs w:val="18"/>
              </w:rPr>
              <w:t>石柱土家族自治县人民法院</w:t>
            </w:r>
          </w:p>
        </w:tc>
      </w:tr>
      <w:tr w14:paraId="6C638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 w:hRule="exact"/>
          <w:jc w:val="center"/>
        </w:trPr>
        <w:tc>
          <w:tcPr>
            <w:tcW w:w="1218" w:type="pct"/>
            <w:gridSpan w:val="4"/>
            <w:vAlign w:val="center"/>
          </w:tcPr>
          <w:p w14:paraId="49E26406">
            <w:pPr>
              <w:adjustRightInd w:val="0"/>
              <w:snapToGrid w:val="0"/>
              <w:jc w:val="center"/>
              <w:outlineLvl w:val="2"/>
              <w:rPr>
                <w:rFonts w:eastAsia="仿宋"/>
                <w:sz w:val="18"/>
                <w:szCs w:val="18"/>
              </w:rPr>
            </w:pPr>
            <w:r>
              <w:rPr>
                <w:rFonts w:eastAsia="仿宋"/>
                <w:sz w:val="18"/>
                <w:szCs w:val="18"/>
              </w:rPr>
              <w:t>法定代表人及电话</w:t>
            </w:r>
          </w:p>
        </w:tc>
        <w:tc>
          <w:tcPr>
            <w:tcW w:w="1252" w:type="pct"/>
            <w:gridSpan w:val="3"/>
            <w:vAlign w:val="center"/>
          </w:tcPr>
          <w:p w14:paraId="7E9E6EED">
            <w:pPr>
              <w:adjustRightInd w:val="0"/>
              <w:snapToGrid w:val="0"/>
              <w:jc w:val="center"/>
              <w:outlineLvl w:val="2"/>
              <w:rPr>
                <w:rFonts w:eastAsia="仿宋"/>
                <w:sz w:val="18"/>
                <w:szCs w:val="18"/>
              </w:rPr>
            </w:pPr>
            <w:r>
              <w:rPr>
                <w:rFonts w:eastAsia="仿宋"/>
                <w:sz w:val="18"/>
                <w:szCs w:val="18"/>
              </w:rPr>
              <w:t>王翼/18908145222</w:t>
            </w:r>
          </w:p>
        </w:tc>
        <w:tc>
          <w:tcPr>
            <w:tcW w:w="941" w:type="pct"/>
            <w:gridSpan w:val="3"/>
            <w:vAlign w:val="center"/>
          </w:tcPr>
          <w:p w14:paraId="5D1BFF9B">
            <w:pPr>
              <w:adjustRightInd w:val="0"/>
              <w:snapToGrid w:val="0"/>
              <w:jc w:val="center"/>
              <w:outlineLvl w:val="2"/>
              <w:rPr>
                <w:rFonts w:eastAsia="仿宋"/>
                <w:sz w:val="18"/>
                <w:szCs w:val="18"/>
              </w:rPr>
            </w:pPr>
            <w:r>
              <w:rPr>
                <w:rFonts w:eastAsia="仿宋"/>
                <w:sz w:val="18"/>
                <w:szCs w:val="18"/>
              </w:rPr>
              <w:t>法定代表人及电话</w:t>
            </w:r>
          </w:p>
        </w:tc>
        <w:tc>
          <w:tcPr>
            <w:tcW w:w="1587" w:type="pct"/>
            <w:gridSpan w:val="3"/>
            <w:vAlign w:val="center"/>
          </w:tcPr>
          <w:p w14:paraId="5B3E1766">
            <w:pPr>
              <w:adjustRightInd w:val="0"/>
              <w:snapToGrid w:val="0"/>
              <w:jc w:val="center"/>
              <w:outlineLvl w:val="2"/>
              <w:rPr>
                <w:rFonts w:eastAsia="仿宋"/>
                <w:sz w:val="18"/>
                <w:szCs w:val="18"/>
              </w:rPr>
            </w:pPr>
            <w:r>
              <w:rPr>
                <w:rFonts w:hint="eastAsia" w:eastAsia="仿宋"/>
                <w:sz w:val="18"/>
                <w:szCs w:val="18"/>
              </w:rPr>
              <w:t>蒋思杰</w:t>
            </w:r>
          </w:p>
        </w:tc>
      </w:tr>
      <w:tr w14:paraId="4AE68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exact"/>
          <w:jc w:val="center"/>
        </w:trPr>
        <w:tc>
          <w:tcPr>
            <w:tcW w:w="1218" w:type="pct"/>
            <w:gridSpan w:val="4"/>
            <w:vAlign w:val="center"/>
          </w:tcPr>
          <w:p w14:paraId="4A7A22BC">
            <w:pPr>
              <w:adjustRightInd w:val="0"/>
              <w:snapToGrid w:val="0"/>
              <w:jc w:val="center"/>
              <w:outlineLvl w:val="2"/>
              <w:rPr>
                <w:rFonts w:eastAsia="仿宋"/>
                <w:sz w:val="18"/>
                <w:szCs w:val="18"/>
              </w:rPr>
            </w:pPr>
            <w:r>
              <w:rPr>
                <w:rFonts w:eastAsia="仿宋"/>
                <w:sz w:val="18"/>
                <w:szCs w:val="18"/>
              </w:rPr>
              <w:t>地址</w:t>
            </w:r>
          </w:p>
        </w:tc>
        <w:tc>
          <w:tcPr>
            <w:tcW w:w="1252" w:type="pct"/>
            <w:gridSpan w:val="3"/>
            <w:vAlign w:val="center"/>
          </w:tcPr>
          <w:p w14:paraId="2EBB80A2">
            <w:pPr>
              <w:adjustRightInd w:val="0"/>
              <w:snapToGrid w:val="0"/>
              <w:jc w:val="center"/>
              <w:rPr>
                <w:rFonts w:eastAsia="仿宋"/>
                <w:sz w:val="18"/>
                <w:szCs w:val="18"/>
              </w:rPr>
            </w:pPr>
            <w:r>
              <w:rPr>
                <w:rFonts w:eastAsia="仿宋"/>
                <w:sz w:val="18"/>
                <w:szCs w:val="18"/>
              </w:rPr>
              <w:t>重庆市渝北区扬子江商务中心23-2</w:t>
            </w:r>
          </w:p>
        </w:tc>
        <w:tc>
          <w:tcPr>
            <w:tcW w:w="941" w:type="pct"/>
            <w:gridSpan w:val="3"/>
            <w:vAlign w:val="center"/>
          </w:tcPr>
          <w:p w14:paraId="2E3CE7B5">
            <w:pPr>
              <w:adjustRightInd w:val="0"/>
              <w:snapToGrid w:val="0"/>
              <w:jc w:val="center"/>
              <w:outlineLvl w:val="2"/>
              <w:rPr>
                <w:rFonts w:eastAsia="仿宋"/>
                <w:sz w:val="18"/>
                <w:szCs w:val="18"/>
              </w:rPr>
            </w:pPr>
            <w:r>
              <w:rPr>
                <w:rFonts w:eastAsia="仿宋"/>
                <w:sz w:val="18"/>
                <w:szCs w:val="18"/>
              </w:rPr>
              <w:t>地址</w:t>
            </w:r>
          </w:p>
        </w:tc>
        <w:tc>
          <w:tcPr>
            <w:tcW w:w="1587" w:type="pct"/>
            <w:gridSpan w:val="3"/>
            <w:vAlign w:val="center"/>
          </w:tcPr>
          <w:p w14:paraId="52E75369">
            <w:pPr>
              <w:spacing w:beforeLines="30" w:afterLines="30" w:line="240" w:lineRule="exact"/>
              <w:jc w:val="center"/>
              <w:rPr>
                <w:rFonts w:eastAsia="仿宋"/>
                <w:sz w:val="18"/>
                <w:szCs w:val="18"/>
              </w:rPr>
            </w:pPr>
            <w:r>
              <w:rPr>
                <w:rFonts w:hint="eastAsia" w:eastAsia="仿宋"/>
                <w:sz w:val="18"/>
                <w:szCs w:val="18"/>
              </w:rPr>
              <w:t>重庆市石柱土家族自治县万安街道万寿大道</w:t>
            </w:r>
            <w:r>
              <w:rPr>
                <w:rFonts w:eastAsia="仿宋"/>
                <w:sz w:val="18"/>
                <w:szCs w:val="18"/>
              </w:rPr>
              <w:t>25</w:t>
            </w:r>
            <w:r>
              <w:rPr>
                <w:rFonts w:hint="eastAsia" w:eastAsia="仿宋"/>
                <w:sz w:val="18"/>
                <w:szCs w:val="18"/>
              </w:rPr>
              <w:t>号</w:t>
            </w:r>
          </w:p>
        </w:tc>
      </w:tr>
      <w:tr w14:paraId="69972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1" w:hRule="exact"/>
          <w:jc w:val="center"/>
        </w:trPr>
        <w:tc>
          <w:tcPr>
            <w:tcW w:w="1218" w:type="pct"/>
            <w:gridSpan w:val="4"/>
            <w:vAlign w:val="center"/>
          </w:tcPr>
          <w:p w14:paraId="52CF0AEA">
            <w:pPr>
              <w:adjustRightInd w:val="0"/>
              <w:snapToGrid w:val="0"/>
              <w:jc w:val="center"/>
              <w:outlineLvl w:val="2"/>
              <w:rPr>
                <w:rFonts w:eastAsia="仿宋"/>
                <w:sz w:val="18"/>
                <w:szCs w:val="18"/>
              </w:rPr>
            </w:pPr>
            <w:r>
              <w:rPr>
                <w:rFonts w:eastAsia="仿宋"/>
                <w:sz w:val="18"/>
                <w:szCs w:val="18"/>
              </w:rPr>
              <w:t>邮政编码</w:t>
            </w:r>
          </w:p>
        </w:tc>
        <w:tc>
          <w:tcPr>
            <w:tcW w:w="1252" w:type="pct"/>
            <w:gridSpan w:val="3"/>
            <w:vAlign w:val="center"/>
          </w:tcPr>
          <w:p w14:paraId="4F1CBCD4">
            <w:pPr>
              <w:adjustRightInd w:val="0"/>
              <w:snapToGrid w:val="0"/>
              <w:jc w:val="center"/>
              <w:outlineLvl w:val="2"/>
              <w:rPr>
                <w:rFonts w:eastAsia="仿宋"/>
                <w:sz w:val="18"/>
                <w:szCs w:val="18"/>
              </w:rPr>
            </w:pPr>
            <w:r>
              <w:rPr>
                <w:rFonts w:eastAsia="仿宋"/>
                <w:sz w:val="18"/>
                <w:szCs w:val="18"/>
              </w:rPr>
              <w:t>401320</w:t>
            </w:r>
          </w:p>
        </w:tc>
        <w:tc>
          <w:tcPr>
            <w:tcW w:w="941" w:type="pct"/>
            <w:gridSpan w:val="3"/>
            <w:vAlign w:val="center"/>
          </w:tcPr>
          <w:p w14:paraId="30AA3F99">
            <w:pPr>
              <w:adjustRightInd w:val="0"/>
              <w:snapToGrid w:val="0"/>
              <w:jc w:val="center"/>
              <w:outlineLvl w:val="2"/>
              <w:rPr>
                <w:rFonts w:eastAsia="仿宋"/>
                <w:sz w:val="18"/>
                <w:szCs w:val="18"/>
              </w:rPr>
            </w:pPr>
            <w:r>
              <w:rPr>
                <w:rFonts w:eastAsia="仿宋"/>
                <w:sz w:val="18"/>
                <w:szCs w:val="18"/>
              </w:rPr>
              <w:t>邮政编码</w:t>
            </w:r>
          </w:p>
        </w:tc>
        <w:tc>
          <w:tcPr>
            <w:tcW w:w="1587" w:type="pct"/>
            <w:gridSpan w:val="3"/>
            <w:vAlign w:val="center"/>
          </w:tcPr>
          <w:p w14:paraId="3CACC3CA">
            <w:pPr>
              <w:spacing w:beforeLines="30" w:afterLines="30" w:line="160" w:lineRule="exact"/>
              <w:jc w:val="center"/>
              <w:rPr>
                <w:rFonts w:eastAsia="仿宋"/>
                <w:sz w:val="18"/>
                <w:szCs w:val="18"/>
              </w:rPr>
            </w:pPr>
            <w:r>
              <w:rPr>
                <w:rFonts w:eastAsia="仿宋"/>
                <w:sz w:val="18"/>
                <w:szCs w:val="18"/>
              </w:rPr>
              <w:t>40</w:t>
            </w:r>
            <w:r>
              <w:rPr>
                <w:rFonts w:hint="eastAsia" w:eastAsia="仿宋"/>
                <w:sz w:val="18"/>
                <w:szCs w:val="18"/>
              </w:rPr>
              <w:t>9100</w:t>
            </w:r>
          </w:p>
        </w:tc>
      </w:tr>
      <w:tr w14:paraId="5CC17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exact"/>
          <w:jc w:val="center"/>
        </w:trPr>
        <w:tc>
          <w:tcPr>
            <w:tcW w:w="1218" w:type="pct"/>
            <w:gridSpan w:val="4"/>
            <w:vAlign w:val="center"/>
          </w:tcPr>
          <w:p w14:paraId="6ACDC6E6">
            <w:pPr>
              <w:adjustRightInd w:val="0"/>
              <w:snapToGrid w:val="0"/>
              <w:jc w:val="center"/>
              <w:outlineLvl w:val="2"/>
              <w:rPr>
                <w:rFonts w:eastAsia="仿宋"/>
                <w:sz w:val="18"/>
                <w:szCs w:val="18"/>
              </w:rPr>
            </w:pPr>
            <w:r>
              <w:rPr>
                <w:rFonts w:eastAsia="仿宋"/>
                <w:sz w:val="18"/>
                <w:szCs w:val="18"/>
              </w:rPr>
              <w:t>联系人及电话</w:t>
            </w:r>
          </w:p>
        </w:tc>
        <w:tc>
          <w:tcPr>
            <w:tcW w:w="1252" w:type="pct"/>
            <w:gridSpan w:val="3"/>
            <w:vAlign w:val="center"/>
          </w:tcPr>
          <w:p w14:paraId="07910F79">
            <w:pPr>
              <w:adjustRightInd w:val="0"/>
              <w:snapToGrid w:val="0"/>
              <w:jc w:val="center"/>
              <w:outlineLvl w:val="2"/>
              <w:rPr>
                <w:rFonts w:eastAsia="仿宋"/>
                <w:sz w:val="18"/>
                <w:szCs w:val="18"/>
              </w:rPr>
            </w:pPr>
            <w:r>
              <w:rPr>
                <w:rFonts w:eastAsia="仿宋"/>
                <w:sz w:val="18"/>
                <w:szCs w:val="18"/>
              </w:rPr>
              <w:t>王海健/18883757137</w:t>
            </w:r>
          </w:p>
        </w:tc>
        <w:tc>
          <w:tcPr>
            <w:tcW w:w="941" w:type="pct"/>
            <w:gridSpan w:val="3"/>
            <w:vAlign w:val="center"/>
          </w:tcPr>
          <w:p w14:paraId="2EE24D0E">
            <w:pPr>
              <w:adjustRightInd w:val="0"/>
              <w:snapToGrid w:val="0"/>
              <w:jc w:val="center"/>
              <w:outlineLvl w:val="2"/>
              <w:rPr>
                <w:rFonts w:eastAsia="仿宋"/>
                <w:sz w:val="18"/>
                <w:szCs w:val="18"/>
              </w:rPr>
            </w:pPr>
            <w:r>
              <w:rPr>
                <w:rFonts w:eastAsia="仿宋"/>
                <w:sz w:val="18"/>
                <w:szCs w:val="18"/>
              </w:rPr>
              <w:t>联系人及电话</w:t>
            </w:r>
          </w:p>
        </w:tc>
        <w:tc>
          <w:tcPr>
            <w:tcW w:w="1587" w:type="pct"/>
            <w:gridSpan w:val="3"/>
            <w:vAlign w:val="center"/>
          </w:tcPr>
          <w:p w14:paraId="64870C7F">
            <w:pPr>
              <w:spacing w:beforeLines="30" w:afterLines="30" w:line="180" w:lineRule="exact"/>
              <w:jc w:val="center"/>
              <w:rPr>
                <w:rFonts w:eastAsia="仿宋"/>
                <w:sz w:val="18"/>
                <w:szCs w:val="18"/>
              </w:rPr>
            </w:pPr>
            <w:r>
              <w:rPr>
                <w:rFonts w:hint="eastAsia" w:eastAsia="仿宋"/>
                <w:sz w:val="18"/>
                <w:szCs w:val="18"/>
              </w:rPr>
              <w:t>杨俊南</w:t>
            </w:r>
            <w:r>
              <w:rPr>
                <w:rFonts w:eastAsia="仿宋"/>
                <w:sz w:val="18"/>
                <w:szCs w:val="18"/>
              </w:rPr>
              <w:t>/</w:t>
            </w:r>
            <w:r>
              <w:rPr>
                <w:rFonts w:hint="eastAsia" w:eastAsia="仿宋"/>
                <w:sz w:val="18"/>
                <w:szCs w:val="18"/>
              </w:rPr>
              <w:t>18896064090</w:t>
            </w:r>
          </w:p>
        </w:tc>
      </w:tr>
    </w:tbl>
    <w:p w14:paraId="007DFD8B">
      <w:pPr>
        <w:pStyle w:val="2"/>
        <w:spacing w:before="120" w:line="500" w:lineRule="exact"/>
        <w:rPr>
          <w:rFonts w:ascii="方正仿宋_GBK" w:hAnsi="方正小标宋_GBK" w:eastAsia="方正仿宋_GBK" w:cs="方正小标宋_GBK"/>
          <w:b w:val="0"/>
          <w:sz w:val="28"/>
          <w:szCs w:val="28"/>
        </w:rPr>
      </w:pPr>
      <w:r>
        <w:rPr>
          <w:rFonts w:hint="eastAsia" w:ascii="方正仿宋_GBK" w:eastAsia="方正仿宋_GBK" w:cs="宋体"/>
          <w:b w:val="0"/>
          <w:sz w:val="24"/>
        </w:rPr>
        <w:t xml:space="preserve"> 附件2</w:t>
      </w:r>
      <w:bookmarkStart w:id="1" w:name="OLE_LINK1"/>
      <w:r>
        <w:rPr>
          <w:rFonts w:hint="eastAsia" w:ascii="方正仿宋_GBK" w:eastAsia="方正仿宋_GBK" w:cs="宋体"/>
          <w:b w:val="0"/>
          <w:sz w:val="24"/>
        </w:rPr>
        <w:t xml:space="preserve">    </w:t>
      </w:r>
      <w:r>
        <w:rPr>
          <w:rFonts w:hint="eastAsia" w:ascii="方正仿宋_GBK" w:hAnsi="方正小标宋_GBK" w:eastAsia="方正仿宋_GBK" w:cs="方正小标宋_GBK"/>
          <w:b w:val="0"/>
          <w:sz w:val="28"/>
          <w:szCs w:val="28"/>
        </w:rPr>
        <w:t>石柱县人民法院审判法庭项目</w:t>
      </w:r>
      <w:bookmarkEnd w:id="1"/>
      <w:r>
        <w:rPr>
          <w:rFonts w:hint="eastAsia" w:ascii="方正仿宋_GBK" w:hAnsi="方正小标宋_GBK" w:eastAsia="方正仿宋_GBK" w:cs="方正小标宋_GBK"/>
          <w:b w:val="0"/>
          <w:sz w:val="28"/>
          <w:szCs w:val="28"/>
        </w:rPr>
        <w:t>水土保持方案</w:t>
      </w:r>
    </w:p>
    <w:p w14:paraId="793A6928">
      <w:pPr>
        <w:pStyle w:val="2"/>
        <w:spacing w:before="120" w:line="500" w:lineRule="exact"/>
        <w:ind w:hanging="2423"/>
        <w:jc w:val="center"/>
        <w:rPr>
          <w:rFonts w:ascii="方正仿宋_GBK" w:hAnsi="方正小标宋_GBK" w:eastAsia="方正仿宋_GBK" w:cs="方正小标宋_GBK"/>
          <w:b w:val="0"/>
          <w:sz w:val="28"/>
          <w:szCs w:val="28"/>
        </w:rPr>
      </w:pPr>
      <w:r>
        <w:rPr>
          <w:rFonts w:hint="eastAsia" w:ascii="方正仿宋_GBK" w:hAnsi="方正小标宋_GBK" w:eastAsia="方正仿宋_GBK" w:cs="方正小标宋_GBK"/>
          <w:b w:val="0"/>
          <w:sz w:val="28"/>
          <w:szCs w:val="28"/>
        </w:rPr>
        <w:t xml:space="preserve">    报告书专家组评审意见</w:t>
      </w:r>
    </w:p>
    <w:p w14:paraId="3FC97E21">
      <w:pPr>
        <w:pStyle w:val="8"/>
        <w:spacing w:before="1" w:line="500" w:lineRule="exact"/>
        <w:ind w:left="127" w:right="260" w:firstLine="640"/>
        <w:rPr>
          <w:rFonts w:ascii="方正仿宋_GBK" w:eastAsia="方正仿宋_GBK"/>
          <w:sz w:val="28"/>
          <w:szCs w:val="28"/>
        </w:rPr>
      </w:pPr>
      <w:r>
        <w:rPr>
          <w:rFonts w:hint="eastAsia" w:ascii="方正仿宋_GBK" w:eastAsia="方正仿宋_GBK"/>
          <w:sz w:val="28"/>
          <w:szCs w:val="28"/>
        </w:rPr>
        <w:t>2022</w:t>
      </w:r>
      <w:r>
        <w:rPr>
          <w:rFonts w:hint="eastAsia" w:ascii="方正仿宋_GBK" w:eastAsia="方正仿宋_GBK"/>
          <w:spacing w:val="24"/>
          <w:sz w:val="28"/>
          <w:szCs w:val="28"/>
        </w:rPr>
        <w:t xml:space="preserve"> </w:t>
      </w:r>
      <w:r>
        <w:rPr>
          <w:rFonts w:hint="eastAsia" w:ascii="方正仿宋_GBK" w:eastAsia="方正仿宋_GBK"/>
          <w:spacing w:val="-27"/>
          <w:sz w:val="28"/>
          <w:szCs w:val="28"/>
        </w:rPr>
        <w:t xml:space="preserve">年 </w:t>
      </w:r>
      <w:r>
        <w:rPr>
          <w:rFonts w:hint="eastAsia" w:ascii="方正仿宋_GBK" w:eastAsia="方正仿宋_GBK"/>
          <w:sz w:val="28"/>
          <w:szCs w:val="28"/>
        </w:rPr>
        <w:t>1</w:t>
      </w:r>
      <w:r>
        <w:rPr>
          <w:rFonts w:hint="eastAsia" w:ascii="方正仿宋_GBK" w:eastAsia="方正仿宋_GBK"/>
          <w:spacing w:val="25"/>
          <w:sz w:val="28"/>
          <w:szCs w:val="28"/>
        </w:rPr>
        <w:t xml:space="preserve"> </w:t>
      </w:r>
      <w:r>
        <w:rPr>
          <w:rFonts w:hint="eastAsia" w:ascii="方正仿宋_GBK" w:eastAsia="方正仿宋_GBK"/>
          <w:spacing w:val="-26"/>
          <w:sz w:val="28"/>
          <w:szCs w:val="28"/>
        </w:rPr>
        <w:t xml:space="preserve">月 </w:t>
      </w:r>
      <w:r>
        <w:rPr>
          <w:rFonts w:hint="eastAsia" w:ascii="方正仿宋_GBK" w:eastAsia="方正仿宋_GBK"/>
          <w:sz w:val="28"/>
          <w:szCs w:val="28"/>
        </w:rPr>
        <w:t>27</w:t>
      </w:r>
      <w:r>
        <w:rPr>
          <w:rFonts w:hint="eastAsia" w:ascii="方正仿宋_GBK" w:eastAsia="方正仿宋_GBK"/>
          <w:spacing w:val="24"/>
          <w:sz w:val="28"/>
          <w:szCs w:val="28"/>
        </w:rPr>
        <w:t xml:space="preserve"> </w:t>
      </w:r>
      <w:r>
        <w:rPr>
          <w:rFonts w:hint="eastAsia" w:ascii="方正仿宋_GBK" w:eastAsia="方正仿宋_GBK"/>
          <w:sz w:val="28"/>
          <w:szCs w:val="28"/>
        </w:rPr>
        <w:t>日，石柱县水利局组织召开了《石柱县人民法院审判法庭项目水土保持方案报告书（</w:t>
      </w:r>
      <w:r>
        <w:rPr>
          <w:rFonts w:hint="eastAsia" w:ascii="方正仿宋_GBK" w:eastAsia="方正仿宋_GBK"/>
          <w:spacing w:val="1"/>
          <w:sz w:val="28"/>
          <w:szCs w:val="28"/>
        </w:rPr>
        <w:t>送审稿</w:t>
      </w:r>
      <w:r>
        <w:rPr>
          <w:rFonts w:hint="eastAsia" w:ascii="方正仿宋_GBK" w:eastAsia="方正仿宋_GBK"/>
          <w:spacing w:val="-159"/>
          <w:sz w:val="28"/>
          <w:szCs w:val="28"/>
        </w:rPr>
        <w:t>）》</w:t>
      </w:r>
      <w:r>
        <w:rPr>
          <w:rFonts w:hint="eastAsia" w:ascii="方正仿宋_GBK" w:eastAsia="方正仿宋_GBK"/>
          <w:sz w:val="28"/>
          <w:szCs w:val="28"/>
        </w:rPr>
        <w:t>（以下简称</w:t>
      </w:r>
    </w:p>
    <w:p w14:paraId="6F3CF5DE">
      <w:pPr>
        <w:pStyle w:val="8"/>
        <w:spacing w:line="500" w:lineRule="exact"/>
        <w:ind w:left="127" w:right="260"/>
        <w:rPr>
          <w:rFonts w:ascii="方正仿宋_GBK" w:eastAsia="方正仿宋_GBK"/>
          <w:sz w:val="28"/>
          <w:szCs w:val="28"/>
        </w:rPr>
      </w:pPr>
      <w:r>
        <w:rPr>
          <w:rFonts w:hint="eastAsia" w:ascii="方正仿宋_GBK" w:eastAsia="方正仿宋_GBK"/>
          <w:sz w:val="28"/>
          <w:szCs w:val="28"/>
        </w:rPr>
        <w:t>《水保方案（</w:t>
      </w:r>
      <w:r>
        <w:rPr>
          <w:rFonts w:hint="eastAsia" w:ascii="方正仿宋_GBK" w:eastAsia="方正仿宋_GBK"/>
          <w:spacing w:val="1"/>
          <w:sz w:val="28"/>
          <w:szCs w:val="28"/>
        </w:rPr>
        <w:t>送审稿</w:t>
      </w:r>
      <w:r>
        <w:rPr>
          <w:rFonts w:hint="eastAsia" w:ascii="方正仿宋_GBK" w:eastAsia="方正仿宋_GBK"/>
          <w:spacing w:val="-159"/>
          <w:sz w:val="28"/>
          <w:szCs w:val="28"/>
        </w:rPr>
        <w:t>）》</w:t>
      </w:r>
      <w:r>
        <w:rPr>
          <w:rFonts w:hint="eastAsia" w:ascii="方正仿宋_GBK" w:eastAsia="方正仿宋_GBK"/>
          <w:spacing w:val="4"/>
          <w:sz w:val="28"/>
          <w:szCs w:val="28"/>
        </w:rPr>
        <w:t>）</w:t>
      </w:r>
      <w:r>
        <w:rPr>
          <w:rFonts w:hint="eastAsia" w:ascii="方正仿宋_GBK" w:eastAsia="方正仿宋_GBK"/>
          <w:sz w:val="28"/>
          <w:szCs w:val="28"/>
        </w:rPr>
        <w:t>专家评审会。石柱县水利局、石柱县人民法院（以下简称项目法人</w:t>
      </w:r>
      <w:r>
        <w:rPr>
          <w:rFonts w:hint="eastAsia" w:ascii="方正仿宋_GBK" w:eastAsia="方正仿宋_GBK"/>
          <w:spacing w:val="-161"/>
          <w:sz w:val="28"/>
          <w:szCs w:val="28"/>
        </w:rPr>
        <w:t>）</w:t>
      </w:r>
      <w:r>
        <w:rPr>
          <w:rFonts w:hint="eastAsia" w:ascii="方正仿宋_GBK" w:eastAsia="方正仿宋_GBK"/>
          <w:spacing w:val="-11"/>
          <w:sz w:val="28"/>
          <w:szCs w:val="28"/>
        </w:rPr>
        <w:t>、重庆龙翰环保工程有限公司</w:t>
      </w:r>
      <w:r>
        <w:rPr>
          <w:rFonts w:hint="eastAsia" w:ascii="方正仿宋_GBK" w:eastAsia="方正仿宋_GBK"/>
          <w:sz w:val="28"/>
          <w:szCs w:val="28"/>
        </w:rPr>
        <w:t>（以下简称报告编制单位）的代表参加了会议。会议成立了专家组，专家组成员会前详细审阅了《水保方案（</w:t>
      </w:r>
      <w:r>
        <w:rPr>
          <w:rFonts w:hint="eastAsia" w:ascii="方正仿宋_GBK" w:eastAsia="方正仿宋_GBK"/>
          <w:spacing w:val="1"/>
          <w:sz w:val="28"/>
          <w:szCs w:val="28"/>
        </w:rPr>
        <w:t>送审稿</w:t>
      </w:r>
      <w:r>
        <w:rPr>
          <w:rFonts w:hint="eastAsia" w:ascii="方正仿宋_GBK" w:eastAsia="方正仿宋_GBK"/>
          <w:spacing w:val="-157"/>
          <w:sz w:val="28"/>
          <w:szCs w:val="28"/>
        </w:rPr>
        <w:t>）</w:t>
      </w:r>
      <w:r>
        <w:rPr>
          <w:rFonts w:hint="eastAsia" w:ascii="方正仿宋_GBK" w:eastAsia="方正仿宋_GBK"/>
          <w:spacing w:val="-18"/>
          <w:sz w:val="28"/>
          <w:szCs w:val="28"/>
        </w:rPr>
        <w:t>》，与会人员会上认真</w:t>
      </w:r>
      <w:r>
        <w:rPr>
          <w:rFonts w:hint="eastAsia" w:ascii="方正仿宋_GBK" w:eastAsia="方正仿宋_GBK"/>
          <w:spacing w:val="-4"/>
          <w:sz w:val="28"/>
          <w:szCs w:val="28"/>
        </w:rPr>
        <w:t>听取了项目法人和报告编制单位的汇报，进行了深入讨论。根据“渝水〔2018</w:t>
      </w:r>
      <w:r>
        <w:rPr>
          <w:rFonts w:hint="eastAsia" w:ascii="方正仿宋_GBK" w:eastAsia="方正仿宋_GBK"/>
          <w:spacing w:val="3"/>
          <w:sz w:val="28"/>
          <w:szCs w:val="28"/>
        </w:rPr>
        <w:t>〕</w:t>
      </w:r>
      <w:r>
        <w:rPr>
          <w:rFonts w:hint="eastAsia" w:ascii="方正仿宋_GBK" w:eastAsia="方正仿宋_GBK"/>
          <w:sz w:val="28"/>
          <w:szCs w:val="28"/>
        </w:rPr>
        <w:t>267</w:t>
      </w:r>
      <w:r>
        <w:rPr>
          <w:rFonts w:hint="eastAsia" w:ascii="方正仿宋_GBK" w:eastAsia="方正仿宋_GBK"/>
          <w:spacing w:val="17"/>
          <w:sz w:val="28"/>
          <w:szCs w:val="28"/>
        </w:rPr>
        <w:t xml:space="preserve"> </w:t>
      </w:r>
      <w:r>
        <w:rPr>
          <w:rFonts w:hint="eastAsia" w:ascii="方正仿宋_GBK" w:eastAsia="方正仿宋_GBK"/>
          <w:spacing w:val="-42"/>
          <w:sz w:val="28"/>
          <w:szCs w:val="28"/>
        </w:rPr>
        <w:t>号”、“水保监〔</w:t>
      </w:r>
      <w:r>
        <w:rPr>
          <w:rFonts w:hint="eastAsia" w:ascii="方正仿宋_GBK" w:eastAsia="方正仿宋_GBK"/>
          <w:sz w:val="28"/>
          <w:szCs w:val="28"/>
        </w:rPr>
        <w:t>2020〕63</w:t>
      </w:r>
      <w:r>
        <w:rPr>
          <w:rFonts w:hint="eastAsia" w:ascii="方正仿宋_GBK" w:eastAsia="方正仿宋_GBK"/>
          <w:spacing w:val="20"/>
          <w:sz w:val="28"/>
          <w:szCs w:val="28"/>
        </w:rPr>
        <w:t xml:space="preserve"> </w:t>
      </w:r>
      <w:r>
        <w:rPr>
          <w:rFonts w:hint="eastAsia" w:ascii="方正仿宋_GBK" w:eastAsia="方正仿宋_GBK"/>
          <w:sz w:val="28"/>
          <w:szCs w:val="28"/>
        </w:rPr>
        <w:t>号”和“渝水规范</w:t>
      </w:r>
      <w:r>
        <w:rPr>
          <w:rFonts w:hint="eastAsia" w:ascii="方正仿宋_GBK" w:eastAsia="方正仿宋_GBK"/>
          <w:spacing w:val="4"/>
          <w:w w:val="99"/>
          <w:sz w:val="28"/>
          <w:szCs w:val="28"/>
        </w:rPr>
        <w:t>〔</w:t>
      </w:r>
      <w:r>
        <w:rPr>
          <w:rFonts w:hint="eastAsia" w:ascii="方正仿宋_GBK" w:eastAsia="方正仿宋_GBK"/>
          <w:spacing w:val="1"/>
          <w:w w:val="99"/>
          <w:sz w:val="28"/>
          <w:szCs w:val="28"/>
        </w:rPr>
        <w:t>2</w:t>
      </w:r>
      <w:r>
        <w:rPr>
          <w:rFonts w:hint="eastAsia" w:ascii="方正仿宋_GBK" w:eastAsia="方正仿宋_GBK"/>
          <w:spacing w:val="-2"/>
          <w:w w:val="99"/>
          <w:sz w:val="28"/>
          <w:szCs w:val="28"/>
        </w:rPr>
        <w:t>0</w:t>
      </w:r>
      <w:r>
        <w:rPr>
          <w:rFonts w:hint="eastAsia" w:ascii="方正仿宋_GBK" w:eastAsia="方正仿宋_GBK"/>
          <w:w w:val="99"/>
          <w:sz w:val="28"/>
          <w:szCs w:val="28"/>
        </w:rPr>
        <w:t>2</w:t>
      </w:r>
      <w:r>
        <w:rPr>
          <w:rFonts w:hint="eastAsia" w:ascii="方正仿宋_GBK" w:eastAsia="方正仿宋_GBK"/>
          <w:spacing w:val="1"/>
          <w:w w:val="99"/>
          <w:sz w:val="28"/>
          <w:szCs w:val="28"/>
        </w:rPr>
        <w:t>1</w:t>
      </w:r>
      <w:r>
        <w:rPr>
          <w:rFonts w:hint="eastAsia" w:ascii="方正仿宋_GBK" w:eastAsia="方正仿宋_GBK"/>
          <w:spacing w:val="2"/>
          <w:w w:val="99"/>
          <w:sz w:val="28"/>
          <w:szCs w:val="28"/>
        </w:rPr>
        <w:t>〕</w:t>
      </w:r>
      <w:r>
        <w:rPr>
          <w:rFonts w:hint="eastAsia" w:ascii="方正仿宋_GBK" w:eastAsia="方正仿宋_GBK"/>
          <w:w w:val="99"/>
          <w:sz w:val="28"/>
          <w:szCs w:val="28"/>
        </w:rPr>
        <w:t>2</w:t>
      </w:r>
      <w:r>
        <w:rPr>
          <w:rFonts w:hint="eastAsia" w:ascii="方正仿宋_GBK" w:eastAsia="方正仿宋_GBK"/>
          <w:spacing w:val="1"/>
          <w:sz w:val="28"/>
          <w:szCs w:val="28"/>
        </w:rPr>
        <w:t xml:space="preserve">  </w:t>
      </w:r>
      <w:r>
        <w:rPr>
          <w:rFonts w:hint="eastAsia" w:ascii="方正仿宋_GBK" w:eastAsia="方正仿宋_GBK"/>
          <w:spacing w:val="-14"/>
          <w:w w:val="99"/>
          <w:sz w:val="28"/>
          <w:szCs w:val="28"/>
        </w:rPr>
        <w:t>号”，专家组对《水保方案</w:t>
      </w:r>
      <w:r>
        <w:rPr>
          <w:rFonts w:hint="eastAsia" w:ascii="方正仿宋_GBK" w:eastAsia="方正仿宋_GBK"/>
          <w:spacing w:val="2"/>
          <w:w w:val="99"/>
          <w:sz w:val="28"/>
          <w:szCs w:val="28"/>
        </w:rPr>
        <w:t>（送审稿</w:t>
      </w:r>
      <w:r>
        <w:rPr>
          <w:rFonts w:hint="eastAsia" w:ascii="方正仿宋_GBK" w:eastAsia="方正仿宋_GBK"/>
          <w:spacing w:val="-159"/>
          <w:w w:val="99"/>
          <w:sz w:val="28"/>
          <w:szCs w:val="28"/>
        </w:rPr>
        <w:t>）</w:t>
      </w:r>
      <w:r>
        <w:rPr>
          <w:rFonts w:hint="eastAsia" w:ascii="方正仿宋_GBK" w:eastAsia="方正仿宋_GBK"/>
          <w:spacing w:val="1"/>
          <w:w w:val="99"/>
          <w:sz w:val="28"/>
          <w:szCs w:val="28"/>
        </w:rPr>
        <w:t>》进行了质量评</w:t>
      </w:r>
      <w:r>
        <w:rPr>
          <w:rFonts w:hint="eastAsia" w:ascii="方正仿宋_GBK" w:eastAsia="方正仿宋_GBK"/>
          <w:sz w:val="28"/>
          <w:szCs w:val="28"/>
        </w:rPr>
        <w:t>分，质量评定等级合格。报告编制单位会后对《水保方案（送审稿</w:t>
      </w:r>
      <w:r>
        <w:rPr>
          <w:rFonts w:hint="eastAsia" w:ascii="方正仿宋_GBK" w:eastAsia="方正仿宋_GBK"/>
          <w:spacing w:val="-159"/>
          <w:sz w:val="28"/>
          <w:szCs w:val="28"/>
        </w:rPr>
        <w:t>）</w:t>
      </w:r>
      <w:r>
        <w:rPr>
          <w:rFonts w:hint="eastAsia" w:ascii="方正仿宋_GBK" w:eastAsia="方正仿宋_GBK"/>
          <w:spacing w:val="-16"/>
          <w:sz w:val="28"/>
          <w:szCs w:val="28"/>
        </w:rPr>
        <w:t xml:space="preserve">》进行了修改、补充和完善，项目法人于 </w:t>
      </w:r>
      <w:r>
        <w:rPr>
          <w:rFonts w:hint="eastAsia" w:ascii="方正仿宋_GBK" w:eastAsia="方正仿宋_GBK"/>
          <w:sz w:val="28"/>
          <w:szCs w:val="28"/>
        </w:rPr>
        <w:t xml:space="preserve">2022 </w:t>
      </w:r>
      <w:r>
        <w:rPr>
          <w:rFonts w:hint="eastAsia" w:ascii="方正仿宋_GBK" w:eastAsia="方正仿宋_GBK"/>
          <w:spacing w:val="-40"/>
          <w:sz w:val="28"/>
          <w:szCs w:val="28"/>
        </w:rPr>
        <w:t xml:space="preserve">年 </w:t>
      </w:r>
      <w:r>
        <w:rPr>
          <w:rFonts w:hint="eastAsia" w:ascii="方正仿宋_GBK" w:eastAsia="方正仿宋_GBK"/>
          <w:sz w:val="28"/>
          <w:szCs w:val="28"/>
        </w:rPr>
        <w:t>6</w:t>
      </w:r>
      <w:r>
        <w:rPr>
          <w:rFonts w:hint="eastAsia" w:ascii="方正仿宋_GBK" w:eastAsia="方正仿宋_GBK"/>
          <w:spacing w:val="-40"/>
          <w:sz w:val="28"/>
          <w:szCs w:val="28"/>
        </w:rPr>
        <w:t xml:space="preserve">月 </w:t>
      </w:r>
      <w:r>
        <w:rPr>
          <w:rFonts w:hint="eastAsia" w:ascii="方正仿宋_GBK" w:eastAsia="方正仿宋_GBK"/>
          <w:sz w:val="28"/>
          <w:szCs w:val="28"/>
        </w:rPr>
        <w:t>22 日提交了《石柱县人民法院审判法庭项目水土保持方案报告书（报批稿</w:t>
      </w:r>
      <w:r>
        <w:rPr>
          <w:rFonts w:hint="eastAsia" w:ascii="方正仿宋_GBK" w:eastAsia="方正仿宋_GBK"/>
          <w:spacing w:val="-159"/>
          <w:sz w:val="28"/>
          <w:szCs w:val="28"/>
        </w:rPr>
        <w:t>）</w:t>
      </w:r>
      <w:r>
        <w:rPr>
          <w:rFonts w:hint="eastAsia" w:ascii="方正仿宋_GBK" w:eastAsia="方正仿宋_GBK"/>
          <w:spacing w:val="-14"/>
          <w:sz w:val="28"/>
          <w:szCs w:val="28"/>
        </w:rPr>
        <w:t>》。经专家组复核，形成专家评审意见如下：</w:t>
      </w:r>
    </w:p>
    <w:p w14:paraId="6A4D3232">
      <w:pPr>
        <w:pStyle w:val="8"/>
        <w:spacing w:line="500" w:lineRule="exact"/>
        <w:ind w:left="768"/>
        <w:rPr>
          <w:rFonts w:ascii="方正仿宋_GBK" w:eastAsia="方正仿宋_GBK"/>
          <w:b/>
          <w:bCs/>
          <w:sz w:val="28"/>
          <w:szCs w:val="28"/>
        </w:rPr>
      </w:pPr>
      <w:r>
        <w:rPr>
          <w:rFonts w:hint="eastAsia" w:ascii="方正仿宋_GBK" w:eastAsia="方正仿宋_GBK"/>
          <w:b/>
          <w:bCs/>
          <w:sz w:val="28"/>
          <w:szCs w:val="28"/>
        </w:rPr>
        <w:t>一、综合说明</w:t>
      </w:r>
    </w:p>
    <w:p w14:paraId="2261FC02">
      <w:pPr>
        <w:pStyle w:val="8"/>
        <w:spacing w:line="500" w:lineRule="exact"/>
        <w:rPr>
          <w:rFonts w:ascii="方正仿宋_GBK" w:eastAsia="方正仿宋_GBK"/>
          <w:sz w:val="28"/>
          <w:szCs w:val="28"/>
        </w:rPr>
      </w:pPr>
      <w:r>
        <w:rPr>
          <w:rFonts w:hint="eastAsia" w:ascii="方正仿宋_GBK" w:eastAsia="方正仿宋_GBK"/>
          <w:sz w:val="28"/>
          <w:szCs w:val="28"/>
        </w:rPr>
        <w:t>（一）方案编制依据的法律法规、部委规章、规范性文件、规范标准和技术文件及采用的资料基本正确。</w:t>
      </w:r>
    </w:p>
    <w:p w14:paraId="6D769BC2">
      <w:pPr>
        <w:pStyle w:val="8"/>
        <w:spacing w:before="64" w:line="500" w:lineRule="exact"/>
        <w:ind w:left="768"/>
        <w:rPr>
          <w:rFonts w:ascii="方正仿宋_GBK" w:eastAsia="方正仿宋_GBK"/>
          <w:sz w:val="28"/>
          <w:szCs w:val="28"/>
        </w:rPr>
      </w:pPr>
      <w:r>
        <w:rPr>
          <w:rFonts w:hint="eastAsia" w:ascii="方正仿宋_GBK" w:eastAsia="方正仿宋_GBK"/>
          <w:sz w:val="28"/>
          <w:szCs w:val="28"/>
        </w:rPr>
        <w:t>（二）同意方案设计水平年为 2024 年。</w:t>
      </w:r>
    </w:p>
    <w:p w14:paraId="148DA204">
      <w:pPr>
        <w:pStyle w:val="8"/>
        <w:spacing w:before="140" w:line="500" w:lineRule="exact"/>
        <w:ind w:left="127" w:right="265" w:firstLine="640"/>
        <w:rPr>
          <w:rFonts w:ascii="方正仿宋_GBK" w:eastAsia="方正仿宋_GBK"/>
          <w:sz w:val="28"/>
          <w:szCs w:val="28"/>
        </w:rPr>
      </w:pPr>
      <w:r>
        <w:rPr>
          <w:rFonts w:hint="eastAsia" w:ascii="方正仿宋_GBK" w:eastAsia="方正仿宋_GBK"/>
          <w:sz w:val="28"/>
          <w:szCs w:val="28"/>
        </w:rPr>
        <w:t>（三）同意水土流失防治责任范围界定，水土流失防治责任范围面积为2.62hm</w:t>
      </w:r>
      <w:r>
        <w:rPr>
          <w:rFonts w:hint="eastAsia" w:ascii="方正仿宋_GBK" w:eastAsia="方正仿宋_GBK"/>
          <w:sz w:val="28"/>
          <w:szCs w:val="28"/>
          <w:vertAlign w:val="superscript"/>
        </w:rPr>
        <w:t>2</w:t>
      </w:r>
      <w:r>
        <w:rPr>
          <w:rFonts w:hint="eastAsia" w:ascii="方正仿宋_GBK" w:eastAsia="方正仿宋_GBK"/>
          <w:sz w:val="28"/>
          <w:szCs w:val="28"/>
        </w:rPr>
        <w:t>。</w:t>
      </w:r>
    </w:p>
    <w:p w14:paraId="194D1EEA">
      <w:pPr>
        <w:pStyle w:val="8"/>
        <w:spacing w:before="3" w:line="500" w:lineRule="exact"/>
        <w:ind w:left="127" w:right="265" w:firstLine="640"/>
        <w:rPr>
          <w:rFonts w:ascii="方正仿宋_GBK" w:eastAsia="方正仿宋_GBK"/>
          <w:sz w:val="28"/>
          <w:szCs w:val="28"/>
        </w:rPr>
      </w:pPr>
      <w:r>
        <w:rPr>
          <w:rFonts w:hint="eastAsia" w:ascii="方正仿宋_GBK" w:eastAsia="方正仿宋_GBK"/>
          <w:sz w:val="28"/>
          <w:szCs w:val="28"/>
        </w:rPr>
        <w:t>（四）同意项目水土流失防治标准执行等级为西南紫色土区建设类项目一级标准。</w:t>
      </w:r>
    </w:p>
    <w:p w14:paraId="00DDA13D">
      <w:pPr>
        <w:pStyle w:val="8"/>
        <w:spacing w:line="500" w:lineRule="exact"/>
        <w:ind w:left="127" w:right="258" w:firstLine="640"/>
        <w:rPr>
          <w:rFonts w:ascii="方正仿宋_GBK" w:eastAsia="方正仿宋_GBK"/>
          <w:sz w:val="28"/>
          <w:szCs w:val="28"/>
        </w:rPr>
      </w:pPr>
      <w:r>
        <w:rPr>
          <w:rFonts w:hint="eastAsia" w:ascii="方正仿宋_GBK" w:eastAsia="方正仿宋_GBK"/>
          <w:sz w:val="28"/>
          <w:szCs w:val="28"/>
        </w:rPr>
        <w:t>（五</w:t>
      </w:r>
      <w:r>
        <w:rPr>
          <w:rFonts w:hint="eastAsia" w:ascii="方正仿宋_GBK" w:eastAsia="方正仿宋_GBK"/>
          <w:spacing w:val="-97"/>
          <w:sz w:val="28"/>
          <w:szCs w:val="28"/>
        </w:rPr>
        <w:t>）</w:t>
      </w:r>
      <w:r>
        <w:rPr>
          <w:rFonts w:hint="eastAsia" w:ascii="方正仿宋_GBK" w:eastAsia="方正仿宋_GBK"/>
          <w:spacing w:val="-18"/>
          <w:sz w:val="28"/>
          <w:szCs w:val="28"/>
        </w:rPr>
        <w:t xml:space="preserve">同意水土流失防治目标。其中：水土流失治理度 </w:t>
      </w:r>
      <w:r>
        <w:rPr>
          <w:rFonts w:hint="eastAsia" w:ascii="方正仿宋_GBK" w:eastAsia="方正仿宋_GBK"/>
          <w:spacing w:val="-3"/>
          <w:sz w:val="28"/>
          <w:szCs w:val="28"/>
        </w:rPr>
        <w:t xml:space="preserve">97%， </w:t>
      </w:r>
      <w:r>
        <w:rPr>
          <w:rFonts w:hint="eastAsia" w:ascii="方正仿宋_GBK" w:eastAsia="方正仿宋_GBK"/>
          <w:spacing w:val="-11"/>
          <w:sz w:val="28"/>
          <w:szCs w:val="28"/>
        </w:rPr>
        <w:t xml:space="preserve">土壤流失控制比 </w:t>
      </w:r>
      <w:r>
        <w:rPr>
          <w:rFonts w:hint="eastAsia" w:ascii="方正仿宋_GBK" w:eastAsia="方正仿宋_GBK"/>
          <w:spacing w:val="-14"/>
          <w:sz w:val="28"/>
          <w:szCs w:val="28"/>
        </w:rPr>
        <w:t>1.0</w:t>
      </w:r>
      <w:r>
        <w:rPr>
          <w:rFonts w:hint="eastAsia" w:ascii="方正仿宋_GBK" w:eastAsia="方正仿宋_GBK"/>
          <w:spacing w:val="-16"/>
          <w:sz w:val="28"/>
          <w:szCs w:val="28"/>
        </w:rPr>
        <w:t xml:space="preserve">，渣土防护率 </w:t>
      </w:r>
      <w:r>
        <w:rPr>
          <w:rFonts w:hint="eastAsia" w:ascii="方正仿宋_GBK" w:eastAsia="方正仿宋_GBK"/>
          <w:spacing w:val="-13"/>
          <w:sz w:val="28"/>
          <w:szCs w:val="28"/>
        </w:rPr>
        <w:t>92%</w:t>
      </w:r>
      <w:r>
        <w:rPr>
          <w:rFonts w:hint="eastAsia" w:ascii="方正仿宋_GBK" w:eastAsia="方正仿宋_GBK"/>
          <w:spacing w:val="-15"/>
          <w:sz w:val="28"/>
          <w:szCs w:val="28"/>
        </w:rPr>
        <w:t xml:space="preserve">，表土保护率 </w:t>
      </w:r>
      <w:r>
        <w:rPr>
          <w:rFonts w:hint="eastAsia" w:ascii="方正仿宋_GBK" w:eastAsia="方正仿宋_GBK"/>
          <w:spacing w:val="-13"/>
          <w:sz w:val="28"/>
          <w:szCs w:val="28"/>
        </w:rPr>
        <w:t>92%</w:t>
      </w:r>
      <w:r>
        <w:rPr>
          <w:rFonts w:hint="eastAsia" w:ascii="方正仿宋_GBK" w:eastAsia="方正仿宋_GBK"/>
          <w:spacing w:val="-4"/>
          <w:sz w:val="28"/>
          <w:szCs w:val="28"/>
        </w:rPr>
        <w:t>，林草植</w:t>
      </w:r>
      <w:r>
        <w:rPr>
          <w:rFonts w:hint="eastAsia" w:ascii="方正仿宋_GBK" w:eastAsia="方正仿宋_GBK"/>
          <w:spacing w:val="-20"/>
          <w:sz w:val="28"/>
          <w:szCs w:val="28"/>
        </w:rPr>
        <w:t xml:space="preserve">被恢复率 </w:t>
      </w:r>
      <w:r>
        <w:rPr>
          <w:rFonts w:hint="eastAsia" w:ascii="方正仿宋_GBK" w:eastAsia="方正仿宋_GBK"/>
          <w:sz w:val="28"/>
          <w:szCs w:val="28"/>
        </w:rPr>
        <w:t>97%</w:t>
      </w:r>
      <w:r>
        <w:rPr>
          <w:rFonts w:hint="eastAsia" w:ascii="方正仿宋_GBK" w:eastAsia="方正仿宋_GBK"/>
          <w:spacing w:val="-12"/>
          <w:sz w:val="28"/>
          <w:szCs w:val="28"/>
        </w:rPr>
        <w:t xml:space="preserve">，林草覆盖率 </w:t>
      </w:r>
      <w:r>
        <w:rPr>
          <w:rFonts w:hint="eastAsia" w:ascii="方正仿宋_GBK" w:eastAsia="方正仿宋_GBK"/>
          <w:sz w:val="28"/>
          <w:szCs w:val="28"/>
        </w:rPr>
        <w:t>25%。</w:t>
      </w:r>
    </w:p>
    <w:p w14:paraId="0CA951AD">
      <w:pPr>
        <w:pStyle w:val="8"/>
        <w:spacing w:before="35" w:line="500" w:lineRule="exact"/>
        <w:ind w:left="768"/>
        <w:rPr>
          <w:rFonts w:ascii="方正仿宋_GBK" w:eastAsia="方正仿宋_GBK"/>
          <w:b/>
          <w:bCs/>
          <w:sz w:val="28"/>
          <w:szCs w:val="28"/>
        </w:rPr>
      </w:pPr>
      <w:r>
        <w:rPr>
          <w:rFonts w:hint="eastAsia" w:ascii="方正仿宋_GBK" w:eastAsia="方正仿宋_GBK"/>
          <w:b/>
          <w:bCs/>
          <w:sz w:val="28"/>
          <w:szCs w:val="28"/>
        </w:rPr>
        <w:t>二、项目概况</w:t>
      </w:r>
    </w:p>
    <w:p w14:paraId="2291BD2E">
      <w:pPr>
        <w:pStyle w:val="8"/>
        <w:spacing w:before="152" w:line="500" w:lineRule="exact"/>
        <w:ind w:left="768"/>
        <w:rPr>
          <w:rFonts w:ascii="方正仿宋_GBK" w:eastAsia="方正仿宋_GBK"/>
          <w:sz w:val="28"/>
          <w:szCs w:val="28"/>
        </w:rPr>
      </w:pPr>
      <w:r>
        <w:rPr>
          <w:rFonts w:hint="eastAsia" w:ascii="方正仿宋_GBK" w:eastAsia="方正仿宋_GBK"/>
          <w:sz w:val="28"/>
          <w:szCs w:val="28"/>
        </w:rPr>
        <w:t>（一）项目概况介绍基本清楚。</w:t>
      </w:r>
    </w:p>
    <w:p w14:paraId="5AA9C8F3">
      <w:pPr>
        <w:pStyle w:val="8"/>
        <w:spacing w:before="252" w:line="500" w:lineRule="exact"/>
        <w:ind w:left="127" w:right="102" w:firstLine="560" w:firstLineChars="200"/>
        <w:rPr>
          <w:rFonts w:ascii="方正仿宋_GBK" w:eastAsia="方正仿宋_GBK"/>
          <w:sz w:val="28"/>
          <w:szCs w:val="28"/>
        </w:rPr>
      </w:pPr>
      <w:r>
        <w:rPr>
          <w:rFonts w:hint="eastAsia" w:ascii="方正仿宋_GBK" w:eastAsia="方正仿宋_GBK"/>
          <w:sz w:val="28"/>
          <w:szCs w:val="28"/>
        </w:rPr>
        <w:t>本项目为人民法院审判法庭项目，建设内容包括人民法院审判法庭综合楼，地下停车库，以及安检门卫室等配套的构筑物和室外工程（土石方、道路、管网、围墙、绿化）等附属环境工程。</w:t>
      </w:r>
      <w:bookmarkStart w:id="2" w:name="OLE_LINK5"/>
      <w:bookmarkStart w:id="3" w:name="OLE_LINK3"/>
      <w:r>
        <w:rPr>
          <w:rFonts w:hint="eastAsia" w:ascii="方正仿宋_GBK" w:eastAsia="方正仿宋_GBK"/>
          <w:sz w:val="28"/>
          <w:szCs w:val="28"/>
        </w:rPr>
        <w:t>本项目规划建设用地面积为26230.9m</w:t>
      </w:r>
      <w:r>
        <w:rPr>
          <w:rFonts w:hint="eastAsia" w:ascii="方正仿宋_GBK" w:eastAsia="方正仿宋_GBK"/>
          <w:sz w:val="28"/>
          <w:szCs w:val="28"/>
          <w:vertAlign w:val="superscript"/>
        </w:rPr>
        <w:t>2</w:t>
      </w:r>
      <w:r>
        <w:rPr>
          <w:rFonts w:hint="eastAsia" w:ascii="方正仿宋_GBK" w:eastAsia="方正仿宋_GBK"/>
          <w:sz w:val="28"/>
          <w:szCs w:val="28"/>
        </w:rPr>
        <w:t>；总建筑面积19971.15m</w:t>
      </w:r>
      <w:r>
        <w:rPr>
          <w:rFonts w:hint="eastAsia" w:ascii="方正仿宋_GBK" w:eastAsia="方正仿宋_GBK"/>
          <w:sz w:val="28"/>
          <w:szCs w:val="28"/>
          <w:vertAlign w:val="superscript"/>
        </w:rPr>
        <w:t>2</w:t>
      </w:r>
      <w:r>
        <w:rPr>
          <w:rFonts w:hint="eastAsia" w:ascii="方正仿宋_GBK" w:eastAsia="方正仿宋_GBK"/>
          <w:sz w:val="28"/>
          <w:szCs w:val="28"/>
        </w:rPr>
        <w:t>，其中：审判法庭综合楼13436.33m</w:t>
      </w:r>
      <w:r>
        <w:rPr>
          <w:rFonts w:hint="eastAsia" w:ascii="方正仿宋_GBK" w:eastAsia="方正仿宋_GBK"/>
          <w:sz w:val="28"/>
          <w:szCs w:val="28"/>
          <w:vertAlign w:val="superscript"/>
        </w:rPr>
        <w:t>2</w:t>
      </w:r>
      <w:r>
        <w:rPr>
          <w:rFonts w:hint="eastAsia" w:ascii="方正仿宋_GBK" w:eastAsia="方正仿宋_GBK"/>
          <w:sz w:val="28"/>
          <w:szCs w:val="28"/>
        </w:rPr>
        <w:t>，值班室建筑面积86.6m</w:t>
      </w:r>
      <w:r>
        <w:rPr>
          <w:rFonts w:hint="eastAsia" w:ascii="方正仿宋_GBK" w:eastAsia="方正仿宋_GBK"/>
          <w:sz w:val="28"/>
          <w:szCs w:val="28"/>
          <w:vertAlign w:val="superscript"/>
        </w:rPr>
        <w:t>2</w:t>
      </w:r>
      <w:r>
        <w:rPr>
          <w:rFonts w:hint="eastAsia" w:ascii="方正仿宋_GBK" w:eastAsia="方正仿宋_GBK"/>
          <w:sz w:val="28"/>
          <w:szCs w:val="28"/>
        </w:rPr>
        <w:t>，安检门卫室建筑面积61m</w:t>
      </w:r>
      <w:r>
        <w:rPr>
          <w:rFonts w:hint="eastAsia" w:ascii="方正仿宋_GBK" w:eastAsia="方正仿宋_GBK"/>
          <w:sz w:val="28"/>
          <w:szCs w:val="28"/>
          <w:vertAlign w:val="superscript"/>
        </w:rPr>
        <w:t>2</w:t>
      </w:r>
      <w:bookmarkEnd w:id="2"/>
      <w:r>
        <w:rPr>
          <w:rFonts w:hint="eastAsia" w:ascii="方正仿宋_GBK" w:eastAsia="方正仿宋_GBK"/>
          <w:sz w:val="28"/>
          <w:szCs w:val="28"/>
        </w:rPr>
        <w:t>，地下停车库6387.22m</w:t>
      </w:r>
      <w:r>
        <w:rPr>
          <w:rFonts w:hint="eastAsia" w:ascii="方正仿宋_GBK" w:eastAsia="方正仿宋_GBK"/>
          <w:sz w:val="28"/>
          <w:szCs w:val="28"/>
          <w:vertAlign w:val="superscript"/>
        </w:rPr>
        <w:t>2</w:t>
      </w:r>
      <w:r>
        <w:rPr>
          <w:rFonts w:hint="eastAsia" w:ascii="方正仿宋_GBK" w:eastAsia="方正仿宋_GBK"/>
          <w:sz w:val="28"/>
          <w:szCs w:val="28"/>
        </w:rPr>
        <w:t>。</w:t>
      </w:r>
      <w:bookmarkEnd w:id="3"/>
    </w:p>
    <w:p w14:paraId="29A1F40C">
      <w:pPr>
        <w:pStyle w:val="9"/>
        <w:spacing w:line="500" w:lineRule="exact"/>
        <w:ind w:firstLine="560" w:firstLineChars="200"/>
        <w:rPr>
          <w:rFonts w:ascii="方正仿宋_GBK" w:hAnsi="Times New Roman" w:eastAsia="方正仿宋_GBK"/>
          <w:bCs/>
          <w:sz w:val="28"/>
          <w:szCs w:val="28"/>
        </w:rPr>
      </w:pPr>
      <w:r>
        <w:rPr>
          <w:rFonts w:hint="eastAsia" w:ascii="方正仿宋_GBK" w:hAnsi="Times New Roman" w:eastAsia="方正仿宋_GBK"/>
          <w:bCs/>
          <w:sz w:val="28"/>
          <w:szCs w:val="28"/>
        </w:rPr>
        <w:t>本项目占地面积为2.62hm</w:t>
      </w:r>
      <w:r>
        <w:rPr>
          <w:rFonts w:hint="eastAsia" w:ascii="方正仿宋_GBK" w:hAnsi="Times New Roman" w:eastAsia="方正仿宋_GBK"/>
          <w:bCs/>
          <w:sz w:val="28"/>
          <w:szCs w:val="28"/>
          <w:vertAlign w:val="superscript"/>
        </w:rPr>
        <w:t>2</w:t>
      </w:r>
      <w:r>
        <w:rPr>
          <w:rFonts w:hint="eastAsia" w:ascii="方正仿宋_GBK" w:hAnsi="Times New Roman" w:eastAsia="方正仿宋_GBK"/>
          <w:bCs/>
          <w:sz w:val="28"/>
          <w:szCs w:val="28"/>
        </w:rPr>
        <w:t>，均为永久占地2.62hm</w:t>
      </w:r>
      <w:r>
        <w:rPr>
          <w:rFonts w:hint="eastAsia" w:ascii="方正仿宋_GBK" w:hAnsi="Times New Roman" w:eastAsia="方正仿宋_GBK"/>
          <w:bCs/>
          <w:sz w:val="28"/>
          <w:szCs w:val="28"/>
          <w:vertAlign w:val="superscript"/>
        </w:rPr>
        <w:t>2</w:t>
      </w:r>
      <w:r>
        <w:rPr>
          <w:rFonts w:hint="eastAsia" w:ascii="方正仿宋_GBK" w:hAnsi="Times New Roman" w:eastAsia="方正仿宋_GBK"/>
          <w:bCs/>
          <w:sz w:val="28"/>
          <w:szCs w:val="28"/>
        </w:rPr>
        <w:t>。</w:t>
      </w:r>
    </w:p>
    <w:p w14:paraId="1ECA64B7">
      <w:pPr>
        <w:pStyle w:val="9"/>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本项目总挖方量（含表土剥离0.40万m</w:t>
      </w:r>
      <w:r>
        <w:rPr>
          <w:rFonts w:hint="eastAsia" w:ascii="方正仿宋_GBK" w:hAnsi="Times New Roman" w:eastAsia="方正仿宋_GBK"/>
          <w:sz w:val="28"/>
          <w:szCs w:val="28"/>
          <w:vertAlign w:val="superscript"/>
        </w:rPr>
        <w:t>3</w:t>
      </w:r>
      <w:r>
        <w:rPr>
          <w:rFonts w:hint="eastAsia" w:ascii="方正仿宋_GBK" w:hAnsi="Times New Roman" w:eastAsia="方正仿宋_GBK"/>
          <w:sz w:val="28"/>
          <w:szCs w:val="28"/>
        </w:rPr>
        <w:t>）为18.42万m</w:t>
      </w:r>
      <w:r>
        <w:rPr>
          <w:rFonts w:hint="eastAsia" w:ascii="Times New Roman" w:hAnsi="Times New Roman" w:eastAsia="方正仿宋_GBK"/>
          <w:sz w:val="28"/>
          <w:szCs w:val="28"/>
        </w:rPr>
        <w:t>³</w:t>
      </w:r>
      <w:r>
        <w:rPr>
          <w:rFonts w:hint="eastAsia" w:ascii="方正仿宋_GBK" w:hAnsi="Times New Roman" w:eastAsia="方正仿宋_GBK"/>
          <w:sz w:val="28"/>
          <w:szCs w:val="28"/>
        </w:rPr>
        <w:t>，总填方量（含表土回填0.40万m</w:t>
      </w:r>
      <w:r>
        <w:rPr>
          <w:rFonts w:hint="eastAsia" w:ascii="方正仿宋_GBK" w:hAnsi="Times New Roman" w:eastAsia="方正仿宋_GBK"/>
          <w:sz w:val="28"/>
          <w:szCs w:val="28"/>
          <w:vertAlign w:val="superscript"/>
        </w:rPr>
        <w:t>3</w:t>
      </w:r>
      <w:r>
        <w:rPr>
          <w:rFonts w:hint="eastAsia" w:ascii="方正仿宋_GBK" w:hAnsi="Times New Roman" w:eastAsia="方正仿宋_GBK"/>
          <w:sz w:val="28"/>
          <w:szCs w:val="28"/>
        </w:rPr>
        <w:t>）为3.30万m</w:t>
      </w:r>
      <w:r>
        <w:rPr>
          <w:rFonts w:hint="eastAsia" w:ascii="Times New Roman" w:hAnsi="Times New Roman" w:eastAsia="方正仿宋_GBK"/>
          <w:sz w:val="28"/>
          <w:szCs w:val="28"/>
        </w:rPr>
        <w:t>³</w:t>
      </w:r>
      <w:r>
        <w:rPr>
          <w:rFonts w:hint="eastAsia" w:ascii="方正仿宋_GBK" w:hAnsi="Times New Roman" w:eastAsia="方正仿宋_GBK"/>
          <w:sz w:val="28"/>
          <w:szCs w:val="28"/>
        </w:rPr>
        <w:t>，余方量为15.12万m</w:t>
      </w:r>
      <w:r>
        <w:rPr>
          <w:rFonts w:hint="eastAsia" w:ascii="Times New Roman" w:hAnsi="Times New Roman" w:eastAsia="方正仿宋_GBK"/>
          <w:sz w:val="28"/>
          <w:szCs w:val="28"/>
        </w:rPr>
        <w:t>³</w:t>
      </w:r>
      <w:r>
        <w:rPr>
          <w:rFonts w:hint="eastAsia" w:ascii="方正仿宋_GBK" w:hAnsi="Times New Roman" w:eastAsia="方正仿宋_GBK"/>
          <w:sz w:val="28"/>
          <w:szCs w:val="28"/>
        </w:rPr>
        <w:t>。业主已委托施工单位银广厦集团有限公司与石柱土家族自治县裕兴实业有限公司签订第三方弃渣协议（详见附件），将产生的余方运至位于下路街道银河村友好组的丰石高速公路石柱西互通至南宾工业园区B区连接道路工程弃土场回填，运距约3.5km。余方处置过程中，防治责任主体为石柱县人民法院。</w:t>
      </w:r>
    </w:p>
    <w:p w14:paraId="0A28CB6A">
      <w:pPr>
        <w:pStyle w:val="9"/>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本工程总工期24个月，工期计划从2021年11月-2023年10月。目前该项目已经开工建设，该方案属于补报方案。</w:t>
      </w:r>
    </w:p>
    <w:p w14:paraId="4896C297">
      <w:pPr>
        <w:pStyle w:val="8"/>
        <w:spacing w:before="140" w:line="500" w:lineRule="exact"/>
        <w:ind w:left="127" w:right="265" w:firstLine="640"/>
        <w:rPr>
          <w:rFonts w:ascii="方正仿宋_GBK" w:eastAsia="方正仿宋_GBK"/>
          <w:sz w:val="28"/>
          <w:szCs w:val="28"/>
        </w:rPr>
      </w:pPr>
      <w:r>
        <w:rPr>
          <w:rFonts w:hint="eastAsia" w:ascii="方正仿宋_GBK" w:eastAsia="方正仿宋_GBK"/>
          <w:sz w:val="28"/>
          <w:szCs w:val="28"/>
        </w:rPr>
        <w:t>（二）项目区地形地貌、地质、土壤、植被、气象、水文、环境敏感区等情况阐述基本清楚。</w:t>
      </w:r>
    </w:p>
    <w:p w14:paraId="0469567E">
      <w:pPr>
        <w:pStyle w:val="8"/>
        <w:spacing w:before="35" w:line="500" w:lineRule="exact"/>
        <w:ind w:left="768"/>
        <w:rPr>
          <w:rFonts w:ascii="方正仿宋_GBK" w:eastAsia="方正仿宋_GBK"/>
          <w:sz w:val="28"/>
          <w:szCs w:val="28"/>
        </w:rPr>
      </w:pPr>
      <w:r>
        <w:rPr>
          <w:rFonts w:hint="eastAsia" w:ascii="方正仿宋_GBK" w:eastAsia="方正仿宋_GBK"/>
          <w:b/>
          <w:bCs/>
          <w:sz w:val="28"/>
          <w:szCs w:val="28"/>
        </w:rPr>
        <w:t>三、项目水土保持评价</w:t>
      </w:r>
    </w:p>
    <w:p w14:paraId="7BB2C477">
      <w:pPr>
        <w:pStyle w:val="8"/>
        <w:spacing w:before="56" w:line="500" w:lineRule="exact"/>
        <w:ind w:left="127" w:right="256" w:firstLine="640"/>
        <w:rPr>
          <w:rFonts w:ascii="方正仿宋_GBK" w:eastAsia="方正仿宋_GBK"/>
          <w:sz w:val="28"/>
          <w:szCs w:val="28"/>
        </w:rPr>
      </w:pPr>
      <w:r>
        <w:rPr>
          <w:rFonts w:hint="eastAsia" w:ascii="方正仿宋_GBK" w:eastAsia="方正仿宋_GBK"/>
          <w:sz w:val="28"/>
          <w:szCs w:val="28"/>
        </w:rPr>
        <w:t>（一）基本同意对主体工程选址（线）的水土保持评价。</w:t>
      </w:r>
    </w:p>
    <w:p w14:paraId="466D8D4A">
      <w:pPr>
        <w:pStyle w:val="8"/>
        <w:spacing w:before="56" w:line="500" w:lineRule="exact"/>
        <w:ind w:left="127" w:right="256" w:firstLine="640"/>
        <w:rPr>
          <w:rFonts w:ascii="方正仿宋_GBK" w:eastAsia="方正仿宋_GBK"/>
          <w:sz w:val="28"/>
          <w:szCs w:val="28"/>
        </w:rPr>
      </w:pPr>
      <w:r>
        <w:rPr>
          <w:rFonts w:hint="eastAsia" w:ascii="方正仿宋_GBK" w:eastAsia="方正仿宋_GBK"/>
          <w:sz w:val="28"/>
          <w:szCs w:val="28"/>
        </w:rPr>
        <w:t>（二）基本同意对工程建设方案与布局、工程占地、土石方平衡、施工方法及工艺的水土保持评价。</w:t>
      </w:r>
    </w:p>
    <w:p w14:paraId="593D4013">
      <w:pPr>
        <w:pStyle w:val="8"/>
        <w:spacing w:before="3" w:line="500" w:lineRule="exact"/>
        <w:ind w:left="127" w:firstLine="560" w:firstLineChars="200"/>
        <w:rPr>
          <w:rFonts w:ascii="方正仿宋_GBK" w:eastAsia="方正仿宋_GBK"/>
          <w:sz w:val="28"/>
          <w:szCs w:val="28"/>
        </w:rPr>
      </w:pPr>
      <w:r>
        <w:rPr>
          <w:rFonts w:hint="eastAsia" w:ascii="方正仿宋_GBK" w:eastAsia="方正仿宋_GBK"/>
          <w:sz w:val="28"/>
          <w:szCs w:val="28"/>
        </w:rPr>
        <w:t>（三）基本同意项目余方处置方案</w:t>
      </w:r>
      <w:r>
        <w:rPr>
          <w:rFonts w:hint="eastAsia" w:ascii="方正仿宋_GBK" w:eastAsia="方正仿宋_GBK"/>
          <w:w w:val="99"/>
          <w:sz w:val="28"/>
          <w:szCs w:val="28"/>
        </w:rPr>
        <w:t>。</w:t>
      </w:r>
    </w:p>
    <w:p w14:paraId="3BAA10C8">
      <w:pPr>
        <w:pStyle w:val="8"/>
        <w:spacing w:before="139" w:line="500" w:lineRule="exact"/>
        <w:ind w:left="127" w:right="265" w:firstLine="640"/>
        <w:rPr>
          <w:rFonts w:ascii="方正仿宋_GBK" w:eastAsia="方正仿宋_GBK"/>
          <w:sz w:val="28"/>
          <w:szCs w:val="28"/>
        </w:rPr>
      </w:pPr>
      <w:r>
        <w:rPr>
          <w:rFonts w:hint="eastAsia" w:ascii="方正仿宋_GBK" w:eastAsia="方正仿宋_GBK"/>
          <w:sz w:val="28"/>
          <w:szCs w:val="28"/>
        </w:rPr>
        <w:t>（四）基本同意对主体工程设计中水土保持措施的评价及界定。</w:t>
      </w:r>
    </w:p>
    <w:p w14:paraId="6978C4F5">
      <w:pPr>
        <w:pStyle w:val="8"/>
        <w:spacing w:before="35" w:line="500" w:lineRule="exact"/>
        <w:ind w:left="768"/>
        <w:rPr>
          <w:rFonts w:ascii="方正仿宋_GBK" w:eastAsia="方正仿宋_GBK"/>
          <w:sz w:val="28"/>
          <w:szCs w:val="28"/>
        </w:rPr>
      </w:pPr>
      <w:r>
        <w:rPr>
          <w:rFonts w:hint="eastAsia" w:ascii="方正仿宋_GBK" w:eastAsia="方正仿宋_GBK"/>
          <w:b/>
          <w:bCs/>
          <w:sz w:val="28"/>
          <w:szCs w:val="28"/>
        </w:rPr>
        <w:t>四、水土流失分析与预测</w:t>
      </w:r>
    </w:p>
    <w:p w14:paraId="3373DACD">
      <w:pPr>
        <w:pStyle w:val="8"/>
        <w:spacing w:before="185" w:line="500" w:lineRule="exact"/>
        <w:ind w:left="768"/>
        <w:rPr>
          <w:rFonts w:ascii="方正仿宋_GBK" w:eastAsia="方正仿宋_GBK"/>
          <w:sz w:val="28"/>
          <w:szCs w:val="28"/>
        </w:rPr>
      </w:pPr>
      <w:r>
        <w:rPr>
          <w:rFonts w:hint="eastAsia" w:ascii="方正仿宋_GBK" w:eastAsia="方正仿宋_GBK"/>
          <w:sz w:val="28"/>
          <w:szCs w:val="28"/>
        </w:rPr>
        <w:t>（一）基本同意对项目水土流失现状及影响分析。</w:t>
      </w:r>
    </w:p>
    <w:p w14:paraId="392146D1">
      <w:pPr>
        <w:pStyle w:val="8"/>
        <w:spacing w:before="183" w:line="500" w:lineRule="exact"/>
        <w:ind w:left="127" w:right="261" w:firstLine="640"/>
        <w:rPr>
          <w:rFonts w:ascii="方正仿宋_GBK" w:eastAsia="方正仿宋_GBK"/>
          <w:sz w:val="28"/>
          <w:szCs w:val="28"/>
        </w:rPr>
      </w:pPr>
      <w:r>
        <w:rPr>
          <w:rFonts w:hint="eastAsia" w:ascii="方正仿宋_GBK" w:eastAsia="方正仿宋_GBK"/>
          <w:sz w:val="28"/>
          <w:szCs w:val="28"/>
        </w:rPr>
        <w:t>（二</w:t>
      </w:r>
      <w:r>
        <w:rPr>
          <w:rFonts w:hint="eastAsia" w:ascii="方正仿宋_GBK" w:eastAsia="方正仿宋_GBK"/>
          <w:spacing w:val="-70"/>
          <w:sz w:val="28"/>
          <w:szCs w:val="28"/>
        </w:rPr>
        <w:t>）</w:t>
      </w:r>
      <w:r>
        <w:rPr>
          <w:rFonts w:hint="eastAsia" w:ascii="方正仿宋_GBK" w:eastAsia="方正仿宋_GBK"/>
          <w:spacing w:val="-6"/>
          <w:sz w:val="28"/>
          <w:szCs w:val="28"/>
        </w:rPr>
        <w:t>基本同意项目建设扰动地表面积2.62</w:t>
      </w:r>
      <w:r>
        <w:rPr>
          <w:rFonts w:hint="eastAsia" w:ascii="方正仿宋_GBK" w:eastAsia="方正仿宋_GBK"/>
          <w:spacing w:val="-8"/>
          <w:sz w:val="28"/>
          <w:szCs w:val="28"/>
        </w:rPr>
        <w:t>hm</w:t>
      </w:r>
      <w:r>
        <w:rPr>
          <w:rFonts w:hint="eastAsia" w:ascii="方正仿宋_GBK" w:eastAsia="方正仿宋_GBK"/>
          <w:spacing w:val="-8"/>
          <w:sz w:val="28"/>
          <w:szCs w:val="28"/>
          <w:vertAlign w:val="superscript"/>
        </w:rPr>
        <w:t>2</w:t>
      </w:r>
      <w:r>
        <w:rPr>
          <w:rFonts w:hint="eastAsia" w:ascii="方正仿宋_GBK" w:eastAsia="方正仿宋_GBK"/>
          <w:spacing w:val="-3"/>
          <w:sz w:val="28"/>
          <w:szCs w:val="28"/>
        </w:rPr>
        <w:t>，损坏植被</w:t>
      </w:r>
      <w:r>
        <w:rPr>
          <w:rFonts w:hint="eastAsia" w:ascii="方正仿宋_GBK" w:eastAsia="方正仿宋_GBK"/>
          <w:spacing w:val="-29"/>
          <w:sz w:val="28"/>
          <w:szCs w:val="28"/>
        </w:rPr>
        <w:t>面</w:t>
      </w:r>
      <w:r>
        <w:rPr>
          <w:rFonts w:hint="eastAsia" w:ascii="方正仿宋_GBK" w:eastAsia="方正仿宋_GBK"/>
          <w:spacing w:val="-6"/>
          <w:sz w:val="28"/>
          <w:szCs w:val="28"/>
        </w:rPr>
        <w:t>积0.36hm</w:t>
      </w:r>
      <w:r>
        <w:rPr>
          <w:rFonts w:hint="eastAsia" w:ascii="方正仿宋_GBK" w:eastAsia="方正仿宋_GBK"/>
          <w:spacing w:val="-6"/>
          <w:sz w:val="28"/>
          <w:szCs w:val="28"/>
          <w:vertAlign w:val="superscript"/>
        </w:rPr>
        <w:t>2</w:t>
      </w:r>
      <w:r>
        <w:rPr>
          <w:rFonts w:hint="eastAsia" w:ascii="方正仿宋_GBK" w:eastAsia="方正仿宋_GBK"/>
          <w:spacing w:val="-6"/>
          <w:sz w:val="28"/>
          <w:szCs w:val="28"/>
        </w:rPr>
        <w:t>。</w:t>
      </w:r>
    </w:p>
    <w:p w14:paraId="40257FC4">
      <w:pPr>
        <w:pStyle w:val="8"/>
        <w:spacing w:line="500" w:lineRule="exact"/>
        <w:ind w:left="127" w:right="100" w:firstLine="640"/>
        <w:rPr>
          <w:rFonts w:ascii="方正仿宋_GBK" w:eastAsia="方正仿宋_GBK"/>
          <w:sz w:val="28"/>
          <w:szCs w:val="28"/>
        </w:rPr>
      </w:pPr>
      <w:r>
        <w:rPr>
          <w:rFonts w:hint="eastAsia" w:ascii="方正仿宋_GBK" w:eastAsia="方正仿宋_GBK"/>
          <w:sz w:val="28"/>
          <w:szCs w:val="28"/>
        </w:rPr>
        <w:t>（三</w:t>
      </w:r>
      <w:r>
        <w:rPr>
          <w:rFonts w:hint="eastAsia" w:ascii="方正仿宋_GBK" w:eastAsia="方正仿宋_GBK"/>
          <w:spacing w:val="-116"/>
          <w:sz w:val="28"/>
          <w:szCs w:val="28"/>
        </w:rPr>
        <w:t>）</w:t>
      </w:r>
      <w:r>
        <w:rPr>
          <w:rFonts w:hint="eastAsia" w:ascii="方正仿宋_GBK" w:eastAsia="方正仿宋_GBK"/>
          <w:spacing w:val="-5"/>
          <w:sz w:val="28"/>
          <w:szCs w:val="28"/>
        </w:rPr>
        <w:t xml:space="preserve">基本同意工程建设可能造成的水土流失总量为 </w:t>
      </w:r>
      <w:r>
        <w:rPr>
          <w:rFonts w:hint="eastAsia" w:ascii="方正仿宋_GBK" w:eastAsia="方正仿宋_GBK"/>
          <w:sz w:val="28"/>
          <w:szCs w:val="28"/>
        </w:rPr>
        <w:t xml:space="preserve">456t， </w:t>
      </w:r>
      <w:r>
        <w:rPr>
          <w:rFonts w:hint="eastAsia" w:ascii="方正仿宋_GBK" w:eastAsia="方正仿宋_GBK"/>
          <w:spacing w:val="-8"/>
          <w:sz w:val="28"/>
          <w:szCs w:val="28"/>
        </w:rPr>
        <w:t xml:space="preserve">新增水土流失总量为 </w:t>
      </w:r>
      <w:r>
        <w:rPr>
          <w:rFonts w:hint="eastAsia" w:ascii="方正仿宋_GBK" w:eastAsia="方正仿宋_GBK"/>
          <w:sz w:val="28"/>
          <w:szCs w:val="28"/>
        </w:rPr>
        <w:t>306t。</w:t>
      </w:r>
    </w:p>
    <w:p w14:paraId="418E97A4">
      <w:pPr>
        <w:pStyle w:val="8"/>
        <w:spacing w:line="500" w:lineRule="exact"/>
        <w:ind w:left="607"/>
        <w:rPr>
          <w:rFonts w:ascii="方正仿宋_GBK" w:eastAsia="方正仿宋_GBK"/>
          <w:sz w:val="28"/>
          <w:szCs w:val="28"/>
        </w:rPr>
      </w:pPr>
      <w:r>
        <w:rPr>
          <w:rFonts w:hint="eastAsia" w:ascii="方正仿宋_GBK" w:eastAsia="方正仿宋_GBK"/>
          <w:sz w:val="28"/>
          <w:szCs w:val="28"/>
        </w:rPr>
        <w:t>（四）基本同意水土流失的危害分析和指导性意见。</w:t>
      </w:r>
    </w:p>
    <w:p w14:paraId="11737A4D">
      <w:pPr>
        <w:pStyle w:val="8"/>
        <w:spacing w:before="184" w:line="500" w:lineRule="exact"/>
        <w:ind w:left="768"/>
        <w:rPr>
          <w:rFonts w:ascii="方正仿宋_GBK" w:eastAsia="方正仿宋_GBK"/>
          <w:sz w:val="28"/>
          <w:szCs w:val="28"/>
        </w:rPr>
      </w:pPr>
      <w:r>
        <w:rPr>
          <w:rFonts w:hint="eastAsia" w:ascii="方正仿宋_GBK" w:eastAsia="方正仿宋_GBK"/>
          <w:b/>
          <w:bCs/>
          <w:sz w:val="28"/>
          <w:szCs w:val="28"/>
        </w:rPr>
        <w:t>五、水土保持措施</w:t>
      </w:r>
    </w:p>
    <w:p w14:paraId="0AD98EA9">
      <w:pPr>
        <w:pStyle w:val="8"/>
        <w:spacing w:before="183" w:line="500" w:lineRule="exact"/>
        <w:ind w:left="127" w:right="318" w:firstLine="640"/>
        <w:rPr>
          <w:rFonts w:ascii="方正仿宋_GBK" w:eastAsia="方正仿宋_GBK"/>
          <w:sz w:val="28"/>
          <w:szCs w:val="28"/>
        </w:rPr>
      </w:pPr>
      <w:r>
        <w:rPr>
          <w:rFonts w:hint="eastAsia" w:ascii="方正仿宋_GBK" w:eastAsia="方正仿宋_GBK"/>
          <w:sz w:val="28"/>
          <w:szCs w:val="28"/>
        </w:rPr>
        <w:t>（一）基本同意项目划分为建设项目防治区共 1 个水土流失防治区。</w:t>
      </w:r>
    </w:p>
    <w:p w14:paraId="6C73E5D5">
      <w:pPr>
        <w:pStyle w:val="8"/>
        <w:spacing w:line="500" w:lineRule="exact"/>
        <w:ind w:left="127" w:right="318" w:firstLine="640"/>
        <w:rPr>
          <w:rFonts w:ascii="方正仿宋_GBK" w:eastAsia="方正仿宋_GBK"/>
          <w:sz w:val="28"/>
          <w:szCs w:val="28"/>
        </w:rPr>
      </w:pPr>
      <w:r>
        <w:rPr>
          <w:rFonts w:hint="eastAsia" w:ascii="方正仿宋_GBK" w:eastAsia="方正仿宋_GBK"/>
          <w:sz w:val="28"/>
          <w:szCs w:val="28"/>
        </w:rPr>
        <w:t>（二）基本同意由主体工程设计中具有水保功能的措施和方案新增的防治措施所组成的水土流失防治体系。</w:t>
      </w:r>
    </w:p>
    <w:p w14:paraId="329FA793">
      <w:pPr>
        <w:pStyle w:val="8"/>
        <w:spacing w:line="500" w:lineRule="exact"/>
        <w:ind w:left="127" w:right="318" w:firstLine="640"/>
        <w:rPr>
          <w:rFonts w:ascii="方正仿宋_GBK" w:eastAsia="方正仿宋_GBK"/>
          <w:sz w:val="28"/>
          <w:szCs w:val="28"/>
        </w:rPr>
      </w:pPr>
      <w:r>
        <w:rPr>
          <w:rFonts w:hint="eastAsia" w:ascii="方正仿宋_GBK" w:eastAsia="方正仿宋_GBK"/>
          <w:sz w:val="28"/>
          <w:szCs w:val="28"/>
        </w:rPr>
        <w:t>（三）基本同意各防治区防治措施布局、方案新增水土保持措施典型设计。</w:t>
      </w:r>
    </w:p>
    <w:p w14:paraId="14890C76">
      <w:pPr>
        <w:pStyle w:val="92"/>
        <w:numPr>
          <w:ilvl w:val="0"/>
          <w:numId w:val="2"/>
        </w:numPr>
        <w:tabs>
          <w:tab w:val="left" w:pos="1010"/>
        </w:tabs>
        <w:autoSpaceDE w:val="0"/>
        <w:autoSpaceDN w:val="0"/>
        <w:spacing w:before="185" w:line="500" w:lineRule="exact"/>
        <w:ind w:firstLineChars="0"/>
        <w:rPr>
          <w:rFonts w:ascii="方正仿宋_GBK" w:eastAsia="方正仿宋_GBK"/>
          <w:sz w:val="28"/>
          <w:szCs w:val="28"/>
        </w:rPr>
      </w:pPr>
      <w:r>
        <w:rPr>
          <w:rFonts w:hint="eastAsia" w:ascii="方正仿宋_GBK" w:eastAsia="方正仿宋_GBK"/>
          <w:sz w:val="28"/>
          <w:szCs w:val="28"/>
        </w:rPr>
        <w:t>建设项目防治区</w:t>
      </w:r>
    </w:p>
    <w:p w14:paraId="69C0DF7A">
      <w:pPr>
        <w:pStyle w:val="8"/>
        <w:spacing w:line="500" w:lineRule="exact"/>
        <w:ind w:left="127" w:right="319" w:firstLine="640"/>
        <w:rPr>
          <w:rFonts w:ascii="方正仿宋_GBK" w:eastAsia="方正仿宋_GBK"/>
          <w:sz w:val="28"/>
          <w:szCs w:val="28"/>
        </w:rPr>
      </w:pPr>
      <w:r>
        <w:rPr>
          <w:rFonts w:hint="eastAsia" w:ascii="方正仿宋_GBK" w:eastAsia="方正仿宋_GBK"/>
          <w:sz w:val="28"/>
          <w:szCs w:val="28"/>
        </w:rPr>
        <w:t>本项目目前已经开工建设，处于土石方施工阶段，施工前，施工单位已按照主体设计资料于施工出入口设置车辆冲洗站，并且对项目区内的表土进行了剥离并集中堆存于项目区西北侧的表土堆放区域。应及时在形成环境边坡的坡顶修建截水沟与临时沉砂池，并使用防雨布对产生的环境边坡进行临时覆盖，尽量减少降雨对边坡的冲刷；在修建主体工程时，应根据主体工程进度搭建雨水管网；及时使用防雨布临时覆盖后期绿化范围的裸露地表。施工后期，根据设计资料，于绿化范围回填表土、土地整治并实施绿化。</w:t>
      </w:r>
    </w:p>
    <w:p w14:paraId="1E1D5846">
      <w:pPr>
        <w:pStyle w:val="8"/>
        <w:spacing w:before="184" w:line="500" w:lineRule="exact"/>
        <w:ind w:left="768"/>
        <w:rPr>
          <w:rFonts w:ascii="方正仿宋_GBK" w:eastAsia="方正仿宋_GBK"/>
          <w:sz w:val="28"/>
          <w:szCs w:val="28"/>
        </w:rPr>
      </w:pPr>
      <w:r>
        <w:rPr>
          <w:rFonts w:hint="eastAsia" w:ascii="方正仿宋_GBK" w:eastAsia="方正仿宋_GBK"/>
          <w:sz w:val="28"/>
          <w:szCs w:val="28"/>
        </w:rPr>
        <w:t>（四）水土保持施工组织设计基本可行。</w:t>
      </w:r>
    </w:p>
    <w:p w14:paraId="366878B3">
      <w:pPr>
        <w:pStyle w:val="8"/>
        <w:spacing w:before="183" w:line="500" w:lineRule="exact"/>
        <w:ind w:left="768"/>
        <w:rPr>
          <w:rFonts w:ascii="方正仿宋_GBK" w:eastAsia="方正仿宋_GBK"/>
          <w:sz w:val="28"/>
          <w:szCs w:val="28"/>
        </w:rPr>
      </w:pPr>
      <w:r>
        <w:rPr>
          <w:rFonts w:hint="eastAsia" w:ascii="方正仿宋_GBK" w:eastAsia="方正仿宋_GBK"/>
          <w:b/>
          <w:bCs/>
          <w:sz w:val="28"/>
          <w:szCs w:val="28"/>
        </w:rPr>
        <w:t>六、水土保持监测</w:t>
      </w:r>
    </w:p>
    <w:p w14:paraId="5C165AA8">
      <w:pPr>
        <w:pStyle w:val="8"/>
        <w:spacing w:before="185" w:line="500" w:lineRule="exact"/>
        <w:ind w:left="768"/>
        <w:rPr>
          <w:rFonts w:ascii="方正仿宋_GBK" w:eastAsia="方正仿宋_GBK"/>
          <w:sz w:val="28"/>
          <w:szCs w:val="28"/>
        </w:rPr>
      </w:pPr>
      <w:r>
        <w:rPr>
          <w:rFonts w:hint="eastAsia" w:ascii="方正仿宋_GBK" w:eastAsia="方正仿宋_GBK"/>
          <w:sz w:val="28"/>
          <w:szCs w:val="28"/>
        </w:rPr>
        <w:t>基本同意水土保持监测方案。</w:t>
      </w:r>
    </w:p>
    <w:p w14:paraId="445609E4">
      <w:pPr>
        <w:pStyle w:val="8"/>
        <w:spacing w:before="183" w:line="500" w:lineRule="exact"/>
        <w:ind w:left="768"/>
        <w:rPr>
          <w:rFonts w:ascii="方正仿宋_GBK" w:eastAsia="方正仿宋_GBK"/>
          <w:b/>
          <w:bCs/>
          <w:sz w:val="28"/>
          <w:szCs w:val="28"/>
        </w:rPr>
      </w:pPr>
      <w:r>
        <w:rPr>
          <w:rFonts w:hint="eastAsia" w:ascii="方正仿宋_GBK" w:eastAsia="方正仿宋_GBK"/>
          <w:b/>
          <w:bCs/>
          <w:sz w:val="28"/>
          <w:szCs w:val="28"/>
        </w:rPr>
        <w:t>七、水土保持投资估算及效益分析</w:t>
      </w:r>
    </w:p>
    <w:p w14:paraId="5446CE4C">
      <w:pPr>
        <w:pStyle w:val="8"/>
        <w:spacing w:before="185" w:line="500" w:lineRule="exact"/>
        <w:ind w:left="127" w:right="318" w:firstLine="640"/>
        <w:rPr>
          <w:rFonts w:ascii="方正仿宋_GBK" w:eastAsia="方正仿宋_GBK"/>
          <w:sz w:val="28"/>
          <w:szCs w:val="28"/>
        </w:rPr>
      </w:pPr>
      <w:r>
        <w:rPr>
          <w:rFonts w:hint="eastAsia" w:ascii="方正仿宋_GBK" w:eastAsia="方正仿宋_GBK"/>
          <w:sz w:val="28"/>
          <w:szCs w:val="28"/>
        </w:rPr>
        <w:t>（一）投资估算编制依据正确，费用及定额选择基本合理， 编制深度基本满足规范要求。</w:t>
      </w:r>
    </w:p>
    <w:p w14:paraId="4248E772">
      <w:pPr>
        <w:pStyle w:val="8"/>
        <w:spacing w:before="185" w:line="500" w:lineRule="exact"/>
        <w:ind w:left="127" w:right="318" w:firstLine="640"/>
        <w:rPr>
          <w:rFonts w:ascii="方正仿宋_GBK" w:eastAsia="方正仿宋_GBK"/>
          <w:sz w:val="28"/>
          <w:szCs w:val="28"/>
        </w:rPr>
      </w:pPr>
      <w:r>
        <w:rPr>
          <w:rFonts w:hint="eastAsia" w:ascii="方正仿宋_GBK" w:eastAsia="方正仿宋_GBK"/>
          <w:sz w:val="28"/>
          <w:szCs w:val="28"/>
        </w:rPr>
        <w:t>（二）经审核，工程水土保持总投资为100.55万元，其中主体已有水土保持投资50.99万元，主体设计投资中：工程措施费32.50万元，植物措施费17.51万元；方案新增水土保持投资49.56万元，方案新增投资中：监测措施20.45万元，临时措施15.08万元，独立费用7.76万元，水土保持补偿费3.6723万元。</w:t>
      </w:r>
    </w:p>
    <w:p w14:paraId="729B4534">
      <w:pPr>
        <w:pStyle w:val="8"/>
        <w:spacing w:before="183" w:line="500" w:lineRule="exact"/>
        <w:ind w:left="768"/>
        <w:rPr>
          <w:rFonts w:ascii="方正仿宋_GBK" w:eastAsia="方正仿宋_GBK"/>
          <w:sz w:val="28"/>
          <w:szCs w:val="28"/>
        </w:rPr>
      </w:pPr>
      <w:r>
        <w:rPr>
          <w:rFonts w:hint="eastAsia" w:ascii="方正仿宋_GBK" w:eastAsia="方正仿宋_GBK"/>
          <w:sz w:val="28"/>
          <w:szCs w:val="28"/>
        </w:rPr>
        <w:t>（三）效益分析方法正确，分析结果基本合理。</w:t>
      </w:r>
    </w:p>
    <w:p w14:paraId="556C2592">
      <w:pPr>
        <w:pStyle w:val="8"/>
        <w:spacing w:before="185" w:line="500" w:lineRule="exact"/>
        <w:ind w:left="768"/>
        <w:rPr>
          <w:rFonts w:ascii="方正仿宋_GBK" w:eastAsia="方正仿宋_GBK"/>
          <w:b/>
          <w:bCs/>
          <w:sz w:val="28"/>
          <w:szCs w:val="28"/>
        </w:rPr>
      </w:pPr>
      <w:r>
        <w:rPr>
          <w:rFonts w:hint="eastAsia" w:ascii="方正仿宋_GBK" w:eastAsia="方正仿宋_GBK"/>
          <w:b/>
          <w:bCs/>
          <w:sz w:val="28"/>
          <w:szCs w:val="28"/>
        </w:rPr>
        <w:t>八、水土保持管理</w:t>
      </w:r>
    </w:p>
    <w:p w14:paraId="0E4D24CD">
      <w:pPr>
        <w:pStyle w:val="8"/>
        <w:spacing w:before="183" w:line="500" w:lineRule="exact"/>
        <w:ind w:left="127" w:right="265" w:firstLine="640"/>
        <w:rPr>
          <w:rFonts w:ascii="方正仿宋_GBK" w:eastAsia="方正仿宋_GBK"/>
          <w:sz w:val="28"/>
          <w:szCs w:val="28"/>
        </w:rPr>
      </w:pPr>
      <w:r>
        <w:rPr>
          <w:rFonts w:hint="eastAsia" w:ascii="方正仿宋_GBK" w:eastAsia="方正仿宋_GBK"/>
          <w:spacing w:val="-16"/>
          <w:sz w:val="28"/>
          <w:szCs w:val="28"/>
        </w:rPr>
        <w:t>基本同意方案中提出的组织管理、后续设计、水土保持监测、</w:t>
      </w:r>
      <w:r>
        <w:rPr>
          <w:rFonts w:hint="eastAsia" w:ascii="方正仿宋_GBK" w:eastAsia="方正仿宋_GBK"/>
          <w:sz w:val="28"/>
          <w:szCs w:val="28"/>
        </w:rPr>
        <w:t>水土保持监理、水土保持施工、水土保持设施验收等水土保持管理要求。</w:t>
      </w:r>
    </w:p>
    <w:p w14:paraId="48FA4315">
      <w:pPr>
        <w:pStyle w:val="8"/>
        <w:spacing w:before="185" w:line="500" w:lineRule="exact"/>
        <w:ind w:firstLine="700" w:firstLineChars="250"/>
        <w:rPr>
          <w:rFonts w:ascii="方正仿宋_GBK" w:eastAsia="方正仿宋_GBK"/>
          <w:b/>
          <w:bCs/>
          <w:sz w:val="28"/>
          <w:szCs w:val="28"/>
        </w:rPr>
      </w:pPr>
      <w:r>
        <w:rPr>
          <w:rFonts w:hint="eastAsia" w:ascii="方正仿宋_GBK" w:eastAsia="方正仿宋_GBK"/>
          <w:b/>
          <w:bCs/>
          <w:sz w:val="28"/>
          <w:szCs w:val="28"/>
        </w:rPr>
        <w:t>九、其他</w:t>
      </w:r>
    </w:p>
    <w:p w14:paraId="0A66EC28">
      <w:pPr>
        <w:spacing w:line="500" w:lineRule="exact"/>
        <w:jc w:val="left"/>
        <w:rPr>
          <w:rFonts w:ascii="方正仿宋_GBK" w:hAnsi="宋体" w:eastAsia="方正仿宋_GBK" w:cs="宋体"/>
          <w:sz w:val="24"/>
        </w:rPr>
      </w:pPr>
      <w:r>
        <w:rPr>
          <w:rFonts w:hint="eastAsia" w:ascii="方正仿宋_GBK" w:hAnsi="宋体" w:eastAsia="方正仿宋_GBK" w:cs="宋体"/>
          <w:sz w:val="24"/>
        </w:rPr>
        <w:t xml:space="preserve">      </w:t>
      </w:r>
      <w:r>
        <w:rPr>
          <w:rFonts w:hint="eastAsia" w:ascii="方正仿宋_GBK" w:eastAsia="方正仿宋_GBK"/>
          <w:spacing w:val="-16"/>
          <w:sz w:val="28"/>
          <w:szCs w:val="28"/>
        </w:rPr>
        <w:t>本项目已经开工，项目业主应根据批复的水土保持方案尽快落</w:t>
      </w:r>
    </w:p>
    <w:p w14:paraId="5C111FE1">
      <w:pPr>
        <w:widowControl/>
        <w:jc w:val="left"/>
        <w:rPr>
          <w:rFonts w:ascii="宋体" w:hAnsi="宋体" w:cs="宋体"/>
          <w:kern w:val="0"/>
          <w:sz w:val="24"/>
        </w:rPr>
      </w:pPr>
      <w:r>
        <w:rPr>
          <w:rFonts w:ascii="宋体" w:hAnsi="宋体" w:cs="宋体"/>
          <w:kern w:val="0"/>
          <w:sz w:val="24"/>
        </w:rPr>
        <w:drawing>
          <wp:anchor distT="0" distB="0" distL="114300" distR="114300" simplePos="0" relativeHeight="251662336" behindDoc="0" locked="0" layoutInCell="1" allowOverlap="1">
            <wp:simplePos x="0" y="0"/>
            <wp:positionH relativeFrom="column">
              <wp:posOffset>18415</wp:posOffset>
            </wp:positionH>
            <wp:positionV relativeFrom="paragraph">
              <wp:posOffset>168910</wp:posOffset>
            </wp:positionV>
            <wp:extent cx="5657850" cy="7839075"/>
            <wp:effectExtent l="19050" t="0" r="0" b="0"/>
            <wp:wrapNone/>
            <wp:docPr id="3" name="图片 3" descr="C:\Users\Administrator\AppData\Roaming\Tencent\Users\1134760804\QQ\WinTemp\RichOle\PK@@N$EOHU3]BV92G2C{UT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1134760804\QQ\WinTemp\RichOle\PK@@N$EOHU3]BV92G2C{UT7.png"/>
                    <pic:cNvPicPr>
                      <a:picLocks noChangeAspect="1" noChangeArrowheads="1"/>
                    </pic:cNvPicPr>
                  </pic:nvPicPr>
                  <pic:blipFill>
                    <a:blip r:embed="rId5"/>
                    <a:srcRect/>
                    <a:stretch>
                      <a:fillRect/>
                    </a:stretch>
                  </pic:blipFill>
                  <pic:spPr>
                    <a:xfrm>
                      <a:off x="0" y="0"/>
                      <a:ext cx="5657850" cy="7839075"/>
                    </a:xfrm>
                    <a:prstGeom prst="rect">
                      <a:avLst/>
                    </a:prstGeom>
                    <a:noFill/>
                    <a:ln w="9525">
                      <a:noFill/>
                      <a:miter lim="800000"/>
                      <a:headEnd/>
                      <a:tailEnd/>
                    </a:ln>
                  </pic:spPr>
                </pic:pic>
              </a:graphicData>
            </a:graphic>
          </wp:anchor>
        </w:drawing>
      </w:r>
    </w:p>
    <w:p w14:paraId="2A2BEACF">
      <w:pPr>
        <w:spacing w:line="500" w:lineRule="exact"/>
        <w:jc w:val="left"/>
        <w:rPr>
          <w:rFonts w:ascii="方正仿宋_GBK" w:hAnsi="宋体" w:eastAsia="方正仿宋_GBK" w:cs="宋体"/>
          <w:sz w:val="24"/>
        </w:rPr>
      </w:pPr>
    </w:p>
    <w:p w14:paraId="5CF7AE4E">
      <w:pPr>
        <w:spacing w:line="500" w:lineRule="exact"/>
        <w:jc w:val="left"/>
        <w:rPr>
          <w:rFonts w:ascii="方正仿宋_GBK" w:hAnsi="宋体" w:eastAsia="方正仿宋_GBK" w:cs="宋体"/>
          <w:sz w:val="24"/>
        </w:rPr>
      </w:pPr>
    </w:p>
    <w:p w14:paraId="22AAB1B1">
      <w:pPr>
        <w:spacing w:line="500" w:lineRule="exact"/>
        <w:jc w:val="left"/>
        <w:rPr>
          <w:rFonts w:ascii="方正仿宋_GBK" w:hAnsi="宋体" w:eastAsia="方正仿宋_GBK" w:cs="宋体"/>
          <w:sz w:val="24"/>
        </w:rPr>
      </w:pPr>
    </w:p>
    <w:p w14:paraId="3BAF6B5E">
      <w:pPr>
        <w:spacing w:line="500" w:lineRule="exact"/>
        <w:jc w:val="left"/>
        <w:rPr>
          <w:rFonts w:ascii="方正仿宋_GBK" w:hAnsi="宋体" w:eastAsia="方正仿宋_GBK" w:cs="宋体"/>
          <w:sz w:val="24"/>
        </w:rPr>
      </w:pPr>
    </w:p>
    <w:p w14:paraId="4F02F096">
      <w:pPr>
        <w:spacing w:line="500" w:lineRule="exact"/>
        <w:jc w:val="left"/>
        <w:rPr>
          <w:rFonts w:ascii="方正仿宋_GBK" w:hAnsi="宋体" w:eastAsia="方正仿宋_GBK" w:cs="宋体"/>
          <w:sz w:val="24"/>
        </w:rPr>
      </w:pPr>
    </w:p>
    <w:p w14:paraId="67A7668B">
      <w:pPr>
        <w:spacing w:line="500" w:lineRule="exact"/>
        <w:jc w:val="left"/>
        <w:rPr>
          <w:rFonts w:ascii="方正仿宋_GBK" w:hAnsi="宋体" w:eastAsia="方正仿宋_GBK" w:cs="宋体"/>
          <w:sz w:val="24"/>
        </w:rPr>
      </w:pPr>
    </w:p>
    <w:p w14:paraId="07FCACC9">
      <w:pPr>
        <w:spacing w:line="500" w:lineRule="exact"/>
        <w:jc w:val="left"/>
        <w:rPr>
          <w:rFonts w:ascii="方正仿宋_GBK" w:hAnsi="宋体" w:eastAsia="方正仿宋_GBK" w:cs="宋体"/>
          <w:sz w:val="24"/>
        </w:rPr>
      </w:pPr>
    </w:p>
    <w:p w14:paraId="2427D36C">
      <w:pPr>
        <w:spacing w:line="500" w:lineRule="exact"/>
        <w:jc w:val="left"/>
      </w:pPr>
    </w:p>
    <w:p w14:paraId="5C221386">
      <w:pPr>
        <w:spacing w:line="500" w:lineRule="exact"/>
        <w:jc w:val="left"/>
        <w:rPr>
          <w:rFonts w:ascii="方正仿宋_GBK" w:hAnsi="宋体" w:eastAsia="方正仿宋_GBK" w:cs="宋体"/>
          <w:sz w:val="24"/>
        </w:rPr>
      </w:pPr>
    </w:p>
    <w:p w14:paraId="0E84CD14">
      <w:pPr>
        <w:spacing w:line="500" w:lineRule="exact"/>
        <w:jc w:val="left"/>
        <w:rPr>
          <w:rFonts w:ascii="方正仿宋_GBK" w:hAnsi="宋体" w:eastAsia="方正仿宋_GBK" w:cs="宋体"/>
          <w:sz w:val="24"/>
        </w:rPr>
      </w:pPr>
    </w:p>
    <w:p w14:paraId="0A095D5D">
      <w:pPr>
        <w:spacing w:line="500" w:lineRule="exact"/>
        <w:jc w:val="left"/>
        <w:rPr>
          <w:rFonts w:ascii="方正仿宋_GBK" w:hAnsi="宋体" w:eastAsia="方正仿宋_GBK" w:cs="宋体"/>
          <w:sz w:val="24"/>
        </w:rPr>
      </w:pPr>
    </w:p>
    <w:p w14:paraId="54632DED">
      <w:pPr>
        <w:widowControl/>
        <w:spacing w:line="500" w:lineRule="exact"/>
        <w:jc w:val="left"/>
        <w:rPr>
          <w:rFonts w:ascii="宋体" w:hAnsi="宋体" w:cs="宋体"/>
          <w:kern w:val="0"/>
          <w:sz w:val="24"/>
        </w:rPr>
      </w:pPr>
    </w:p>
    <w:p w14:paraId="2FC2E466">
      <w:pPr>
        <w:spacing w:line="500" w:lineRule="exact"/>
        <w:jc w:val="left"/>
        <w:rPr>
          <w:rFonts w:ascii="方正仿宋_GBK" w:hAnsi="宋体" w:eastAsia="方正仿宋_GBK" w:cs="宋体"/>
          <w:sz w:val="24"/>
        </w:rPr>
      </w:pPr>
    </w:p>
    <w:p w14:paraId="7EE66353">
      <w:pPr>
        <w:tabs>
          <w:tab w:val="left" w:pos="930"/>
        </w:tabs>
        <w:rPr>
          <w:rFonts w:ascii="方正仿宋_GBK" w:eastAsia="方正仿宋_GBK"/>
          <w:sz w:val="32"/>
          <w:szCs w:val="32"/>
        </w:rPr>
      </w:pPr>
    </w:p>
    <w:p w14:paraId="6F6AAFB2">
      <w:pPr>
        <w:tabs>
          <w:tab w:val="left" w:pos="930"/>
        </w:tabs>
        <w:rPr>
          <w:rFonts w:ascii="方正仿宋_GBK" w:eastAsia="方正仿宋_GBK"/>
          <w:sz w:val="32"/>
          <w:szCs w:val="32"/>
        </w:rPr>
      </w:pPr>
    </w:p>
    <w:p w14:paraId="39607A78">
      <w:pPr>
        <w:tabs>
          <w:tab w:val="left" w:pos="930"/>
        </w:tabs>
        <w:rPr>
          <w:rFonts w:ascii="方正仿宋_GBK" w:eastAsia="方正仿宋_GBK"/>
          <w:sz w:val="32"/>
          <w:szCs w:val="32"/>
        </w:rPr>
      </w:pPr>
    </w:p>
    <w:sectPr>
      <w:footerReference r:id="rId3" w:type="default"/>
      <w:pgSz w:w="11906" w:h="16838"/>
      <w:pgMar w:top="1984"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36BBC">
    <w:pPr>
      <w:pStyle w:val="13"/>
      <w:framePr w:wrap="around" w:vAnchor="text" w:hAnchor="margin" w:xAlign="outside" w:y="1"/>
      <w:rPr>
        <w:rStyle w:val="22"/>
        <w:rFonts w:ascii="宋体"/>
        <w:sz w:val="28"/>
        <w:szCs w:val="28"/>
      </w:rPr>
    </w:pPr>
    <w:r>
      <w:rPr>
        <w:rStyle w:val="22"/>
        <w:rFonts w:ascii="宋体" w:hAnsi="宋体"/>
        <w:sz w:val="28"/>
        <w:szCs w:val="28"/>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Style w:val="22"/>
        <w:rFonts w:ascii="宋体" w:hAnsi="宋体"/>
        <w:sz w:val="28"/>
        <w:szCs w:val="28"/>
      </w:rPr>
      <w:fldChar w:fldCharType="separate"/>
    </w:r>
    <w:r>
      <w:rPr>
        <w:rStyle w:val="22"/>
        <w:rFonts w:ascii="宋体" w:hAnsi="宋体"/>
        <w:sz w:val="28"/>
        <w:szCs w:val="28"/>
      </w:rPr>
      <w:t>10</w:t>
    </w:r>
    <w:r>
      <w:rPr>
        <w:rStyle w:val="22"/>
        <w:rFonts w:ascii="宋体" w:hAnsi="宋体"/>
        <w:sz w:val="28"/>
        <w:szCs w:val="28"/>
      </w:rPr>
      <w:fldChar w:fldCharType="end"/>
    </w:r>
    <w:r>
      <w:rPr>
        <w:rStyle w:val="22"/>
        <w:rFonts w:ascii="宋体" w:hAnsi="宋体"/>
        <w:sz w:val="28"/>
        <w:szCs w:val="28"/>
      </w:rPr>
      <w:t xml:space="preserve"> -</w:t>
    </w:r>
  </w:p>
  <w:p w14:paraId="2D03BA2E">
    <w:pPr>
      <w:pStyle w:val="13"/>
      <w:ind w:right="360" w:firstLine="360"/>
      <w:jc w:val="center"/>
    </w:pPr>
  </w:p>
  <w:p w14:paraId="7C9340F7">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010"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858" w:hanging="242"/>
      </w:pPr>
      <w:rPr>
        <w:rFonts w:hint="default"/>
        <w:lang w:val="zh-CN" w:eastAsia="zh-CN" w:bidi="zh-CN"/>
      </w:rPr>
    </w:lvl>
    <w:lvl w:ilvl="2" w:tentative="0">
      <w:start w:val="0"/>
      <w:numFmt w:val="bullet"/>
      <w:lvlText w:val="•"/>
      <w:lvlJc w:val="left"/>
      <w:pPr>
        <w:ind w:left="2697" w:hanging="242"/>
      </w:pPr>
      <w:rPr>
        <w:rFonts w:hint="default"/>
        <w:lang w:val="zh-CN" w:eastAsia="zh-CN" w:bidi="zh-CN"/>
      </w:rPr>
    </w:lvl>
    <w:lvl w:ilvl="3" w:tentative="0">
      <w:start w:val="0"/>
      <w:numFmt w:val="bullet"/>
      <w:lvlText w:val="•"/>
      <w:lvlJc w:val="left"/>
      <w:pPr>
        <w:ind w:left="3535" w:hanging="242"/>
      </w:pPr>
      <w:rPr>
        <w:rFonts w:hint="default"/>
        <w:lang w:val="zh-CN" w:eastAsia="zh-CN" w:bidi="zh-CN"/>
      </w:rPr>
    </w:lvl>
    <w:lvl w:ilvl="4" w:tentative="0">
      <w:start w:val="0"/>
      <w:numFmt w:val="bullet"/>
      <w:lvlText w:val="•"/>
      <w:lvlJc w:val="left"/>
      <w:pPr>
        <w:ind w:left="4374" w:hanging="242"/>
      </w:pPr>
      <w:rPr>
        <w:rFonts w:hint="default"/>
        <w:lang w:val="zh-CN" w:eastAsia="zh-CN" w:bidi="zh-CN"/>
      </w:rPr>
    </w:lvl>
    <w:lvl w:ilvl="5" w:tentative="0">
      <w:start w:val="0"/>
      <w:numFmt w:val="bullet"/>
      <w:lvlText w:val="•"/>
      <w:lvlJc w:val="left"/>
      <w:pPr>
        <w:ind w:left="5213" w:hanging="242"/>
      </w:pPr>
      <w:rPr>
        <w:rFonts w:hint="default"/>
        <w:lang w:val="zh-CN" w:eastAsia="zh-CN" w:bidi="zh-CN"/>
      </w:rPr>
    </w:lvl>
    <w:lvl w:ilvl="6" w:tentative="0">
      <w:start w:val="0"/>
      <w:numFmt w:val="bullet"/>
      <w:lvlText w:val="•"/>
      <w:lvlJc w:val="left"/>
      <w:pPr>
        <w:ind w:left="6051" w:hanging="242"/>
      </w:pPr>
      <w:rPr>
        <w:rFonts w:hint="default"/>
        <w:lang w:val="zh-CN" w:eastAsia="zh-CN" w:bidi="zh-CN"/>
      </w:rPr>
    </w:lvl>
    <w:lvl w:ilvl="7" w:tentative="0">
      <w:start w:val="0"/>
      <w:numFmt w:val="bullet"/>
      <w:lvlText w:val="•"/>
      <w:lvlJc w:val="left"/>
      <w:pPr>
        <w:ind w:left="6890" w:hanging="242"/>
      </w:pPr>
      <w:rPr>
        <w:rFonts w:hint="default"/>
        <w:lang w:val="zh-CN" w:eastAsia="zh-CN" w:bidi="zh-CN"/>
      </w:rPr>
    </w:lvl>
    <w:lvl w:ilvl="8" w:tentative="0">
      <w:start w:val="0"/>
      <w:numFmt w:val="bullet"/>
      <w:lvlText w:val="•"/>
      <w:lvlJc w:val="left"/>
      <w:pPr>
        <w:ind w:left="7729" w:hanging="242"/>
      </w:pPr>
      <w:rPr>
        <w:rFonts w:hint="default"/>
        <w:lang w:val="zh-CN" w:eastAsia="zh-CN" w:bidi="zh-CN"/>
      </w:rPr>
    </w:lvl>
  </w:abstractNum>
  <w:abstractNum w:abstractNumId="1">
    <w:nsid w:val="42562F6E"/>
    <w:multiLevelType w:val="multilevel"/>
    <w:tmpl w:val="42562F6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CA7"/>
    <w:rsid w:val="00001F90"/>
    <w:rsid w:val="0000288C"/>
    <w:rsid w:val="00006245"/>
    <w:rsid w:val="00006CCA"/>
    <w:rsid w:val="00007453"/>
    <w:rsid w:val="00010A7E"/>
    <w:rsid w:val="000158C6"/>
    <w:rsid w:val="00017633"/>
    <w:rsid w:val="0002035C"/>
    <w:rsid w:val="000236F9"/>
    <w:rsid w:val="00023F38"/>
    <w:rsid w:val="00024E2B"/>
    <w:rsid w:val="000272A2"/>
    <w:rsid w:val="00031257"/>
    <w:rsid w:val="00031C92"/>
    <w:rsid w:val="00032B06"/>
    <w:rsid w:val="0004025E"/>
    <w:rsid w:val="0004210D"/>
    <w:rsid w:val="0005055E"/>
    <w:rsid w:val="00053A0A"/>
    <w:rsid w:val="00054248"/>
    <w:rsid w:val="00054685"/>
    <w:rsid w:val="000563AB"/>
    <w:rsid w:val="0006022C"/>
    <w:rsid w:val="000613AD"/>
    <w:rsid w:val="00061AE2"/>
    <w:rsid w:val="00062215"/>
    <w:rsid w:val="00062AF6"/>
    <w:rsid w:val="00062EF9"/>
    <w:rsid w:val="00063781"/>
    <w:rsid w:val="0006427E"/>
    <w:rsid w:val="000644F3"/>
    <w:rsid w:val="00065DCF"/>
    <w:rsid w:val="000668DA"/>
    <w:rsid w:val="00066B25"/>
    <w:rsid w:val="00066F3F"/>
    <w:rsid w:val="000679EA"/>
    <w:rsid w:val="000711B7"/>
    <w:rsid w:val="000713EF"/>
    <w:rsid w:val="000729F6"/>
    <w:rsid w:val="00072B98"/>
    <w:rsid w:val="00072BD1"/>
    <w:rsid w:val="00074870"/>
    <w:rsid w:val="00074F44"/>
    <w:rsid w:val="0007561D"/>
    <w:rsid w:val="00076E78"/>
    <w:rsid w:val="00080BA0"/>
    <w:rsid w:val="00080C9B"/>
    <w:rsid w:val="000828AC"/>
    <w:rsid w:val="000834DB"/>
    <w:rsid w:val="0008407B"/>
    <w:rsid w:val="00085853"/>
    <w:rsid w:val="0008643A"/>
    <w:rsid w:val="000866AF"/>
    <w:rsid w:val="00090232"/>
    <w:rsid w:val="000915CF"/>
    <w:rsid w:val="0009164A"/>
    <w:rsid w:val="00093451"/>
    <w:rsid w:val="00093FE0"/>
    <w:rsid w:val="000979F0"/>
    <w:rsid w:val="000A1259"/>
    <w:rsid w:val="000A2317"/>
    <w:rsid w:val="000A255C"/>
    <w:rsid w:val="000A3777"/>
    <w:rsid w:val="000A3DA2"/>
    <w:rsid w:val="000A4CB0"/>
    <w:rsid w:val="000A4FE7"/>
    <w:rsid w:val="000A571A"/>
    <w:rsid w:val="000A58C2"/>
    <w:rsid w:val="000A5F2B"/>
    <w:rsid w:val="000B04BE"/>
    <w:rsid w:val="000B1748"/>
    <w:rsid w:val="000B2EF1"/>
    <w:rsid w:val="000B3773"/>
    <w:rsid w:val="000B4605"/>
    <w:rsid w:val="000B5BA3"/>
    <w:rsid w:val="000B7959"/>
    <w:rsid w:val="000C090E"/>
    <w:rsid w:val="000C1CB4"/>
    <w:rsid w:val="000C2259"/>
    <w:rsid w:val="000C2449"/>
    <w:rsid w:val="000C3BF1"/>
    <w:rsid w:val="000C57FD"/>
    <w:rsid w:val="000C6DF9"/>
    <w:rsid w:val="000C7BBB"/>
    <w:rsid w:val="000D03F6"/>
    <w:rsid w:val="000D1151"/>
    <w:rsid w:val="000D11A7"/>
    <w:rsid w:val="000D278C"/>
    <w:rsid w:val="000D353F"/>
    <w:rsid w:val="000D39DC"/>
    <w:rsid w:val="000D61C0"/>
    <w:rsid w:val="000D664A"/>
    <w:rsid w:val="000D7E2D"/>
    <w:rsid w:val="000E0724"/>
    <w:rsid w:val="000E1438"/>
    <w:rsid w:val="000E16EB"/>
    <w:rsid w:val="000E1F67"/>
    <w:rsid w:val="000E225C"/>
    <w:rsid w:val="000E2DEC"/>
    <w:rsid w:val="000E49BC"/>
    <w:rsid w:val="000E55F7"/>
    <w:rsid w:val="000E5A9B"/>
    <w:rsid w:val="000E6E2F"/>
    <w:rsid w:val="000E7218"/>
    <w:rsid w:val="000E7853"/>
    <w:rsid w:val="000F0A1E"/>
    <w:rsid w:val="000F3254"/>
    <w:rsid w:val="000F3B0A"/>
    <w:rsid w:val="000F4997"/>
    <w:rsid w:val="00101B35"/>
    <w:rsid w:val="00102BEE"/>
    <w:rsid w:val="001045D9"/>
    <w:rsid w:val="00104DDF"/>
    <w:rsid w:val="00105754"/>
    <w:rsid w:val="00105A92"/>
    <w:rsid w:val="00105D8F"/>
    <w:rsid w:val="00106B58"/>
    <w:rsid w:val="00107C74"/>
    <w:rsid w:val="00107CA9"/>
    <w:rsid w:val="00110294"/>
    <w:rsid w:val="0011193C"/>
    <w:rsid w:val="00113EFF"/>
    <w:rsid w:val="00114F38"/>
    <w:rsid w:val="00115A6B"/>
    <w:rsid w:val="00116098"/>
    <w:rsid w:val="001160C2"/>
    <w:rsid w:val="001162A9"/>
    <w:rsid w:val="00116383"/>
    <w:rsid w:val="00116B0C"/>
    <w:rsid w:val="00116EAE"/>
    <w:rsid w:val="0011721A"/>
    <w:rsid w:val="001222C5"/>
    <w:rsid w:val="00122A38"/>
    <w:rsid w:val="00124104"/>
    <w:rsid w:val="00126DF9"/>
    <w:rsid w:val="00126F0A"/>
    <w:rsid w:val="00130F59"/>
    <w:rsid w:val="00131CB7"/>
    <w:rsid w:val="00131F69"/>
    <w:rsid w:val="0013269C"/>
    <w:rsid w:val="001329D5"/>
    <w:rsid w:val="00133BC4"/>
    <w:rsid w:val="00134A1E"/>
    <w:rsid w:val="001355CB"/>
    <w:rsid w:val="00135A68"/>
    <w:rsid w:val="0013612A"/>
    <w:rsid w:val="001379CC"/>
    <w:rsid w:val="00141F18"/>
    <w:rsid w:val="001436EF"/>
    <w:rsid w:val="001438EC"/>
    <w:rsid w:val="00143A8B"/>
    <w:rsid w:val="00145BAE"/>
    <w:rsid w:val="00145C70"/>
    <w:rsid w:val="0015204E"/>
    <w:rsid w:val="0015410F"/>
    <w:rsid w:val="00155580"/>
    <w:rsid w:val="00157AC2"/>
    <w:rsid w:val="001609F6"/>
    <w:rsid w:val="00160A0B"/>
    <w:rsid w:val="00161202"/>
    <w:rsid w:val="00161D04"/>
    <w:rsid w:val="00162D69"/>
    <w:rsid w:val="00164967"/>
    <w:rsid w:val="0017091C"/>
    <w:rsid w:val="00170D9F"/>
    <w:rsid w:val="00171B8D"/>
    <w:rsid w:val="001739B8"/>
    <w:rsid w:val="00174769"/>
    <w:rsid w:val="00177693"/>
    <w:rsid w:val="001803B7"/>
    <w:rsid w:val="0018494B"/>
    <w:rsid w:val="001849D3"/>
    <w:rsid w:val="00184C6F"/>
    <w:rsid w:val="00185041"/>
    <w:rsid w:val="0018504B"/>
    <w:rsid w:val="00185D69"/>
    <w:rsid w:val="00185DD4"/>
    <w:rsid w:val="00187A6F"/>
    <w:rsid w:val="00190743"/>
    <w:rsid w:val="00192525"/>
    <w:rsid w:val="00192EF7"/>
    <w:rsid w:val="00192F97"/>
    <w:rsid w:val="001931E9"/>
    <w:rsid w:val="0019363A"/>
    <w:rsid w:val="00194B45"/>
    <w:rsid w:val="00195364"/>
    <w:rsid w:val="001960A8"/>
    <w:rsid w:val="00197794"/>
    <w:rsid w:val="00197BAD"/>
    <w:rsid w:val="001A4D2A"/>
    <w:rsid w:val="001A5B29"/>
    <w:rsid w:val="001A62BC"/>
    <w:rsid w:val="001A6ACD"/>
    <w:rsid w:val="001A7747"/>
    <w:rsid w:val="001B024C"/>
    <w:rsid w:val="001B04A1"/>
    <w:rsid w:val="001B1FA0"/>
    <w:rsid w:val="001B35FF"/>
    <w:rsid w:val="001B4789"/>
    <w:rsid w:val="001B549C"/>
    <w:rsid w:val="001B6327"/>
    <w:rsid w:val="001B723A"/>
    <w:rsid w:val="001B7587"/>
    <w:rsid w:val="001B7F4C"/>
    <w:rsid w:val="001C03A4"/>
    <w:rsid w:val="001C0711"/>
    <w:rsid w:val="001C5E2E"/>
    <w:rsid w:val="001C625E"/>
    <w:rsid w:val="001C6D40"/>
    <w:rsid w:val="001C6EB1"/>
    <w:rsid w:val="001D0C08"/>
    <w:rsid w:val="001D1263"/>
    <w:rsid w:val="001D2965"/>
    <w:rsid w:val="001D2D30"/>
    <w:rsid w:val="001D3C2F"/>
    <w:rsid w:val="001D418C"/>
    <w:rsid w:val="001D5F9B"/>
    <w:rsid w:val="001E1058"/>
    <w:rsid w:val="001E19BE"/>
    <w:rsid w:val="001E1F11"/>
    <w:rsid w:val="001E26B9"/>
    <w:rsid w:val="001E3012"/>
    <w:rsid w:val="001E3372"/>
    <w:rsid w:val="001E458F"/>
    <w:rsid w:val="001E66BD"/>
    <w:rsid w:val="001E6C02"/>
    <w:rsid w:val="001F1447"/>
    <w:rsid w:val="001F33A8"/>
    <w:rsid w:val="001F6147"/>
    <w:rsid w:val="001F79D0"/>
    <w:rsid w:val="002022C5"/>
    <w:rsid w:val="002039E6"/>
    <w:rsid w:val="00203CD8"/>
    <w:rsid w:val="00204EAF"/>
    <w:rsid w:val="0020553D"/>
    <w:rsid w:val="00206135"/>
    <w:rsid w:val="002063F4"/>
    <w:rsid w:val="00211324"/>
    <w:rsid w:val="002140DD"/>
    <w:rsid w:val="0021687B"/>
    <w:rsid w:val="00216FFF"/>
    <w:rsid w:val="002178D7"/>
    <w:rsid w:val="002213AB"/>
    <w:rsid w:val="00221CC2"/>
    <w:rsid w:val="00222DC8"/>
    <w:rsid w:val="00225602"/>
    <w:rsid w:val="002257E3"/>
    <w:rsid w:val="0022610C"/>
    <w:rsid w:val="00226166"/>
    <w:rsid w:val="00227232"/>
    <w:rsid w:val="00227280"/>
    <w:rsid w:val="00227BCB"/>
    <w:rsid w:val="00227D71"/>
    <w:rsid w:val="00227FEF"/>
    <w:rsid w:val="0023318F"/>
    <w:rsid w:val="00234532"/>
    <w:rsid w:val="00234C6F"/>
    <w:rsid w:val="00234CC8"/>
    <w:rsid w:val="00234D92"/>
    <w:rsid w:val="00235DA8"/>
    <w:rsid w:val="00236A76"/>
    <w:rsid w:val="00237D2C"/>
    <w:rsid w:val="00240148"/>
    <w:rsid w:val="002414C8"/>
    <w:rsid w:val="0024207B"/>
    <w:rsid w:val="00242580"/>
    <w:rsid w:val="00242EFD"/>
    <w:rsid w:val="002435D4"/>
    <w:rsid w:val="002449E3"/>
    <w:rsid w:val="00245122"/>
    <w:rsid w:val="002456DE"/>
    <w:rsid w:val="00246043"/>
    <w:rsid w:val="0024729C"/>
    <w:rsid w:val="002516C9"/>
    <w:rsid w:val="00251AB0"/>
    <w:rsid w:val="00252551"/>
    <w:rsid w:val="00254685"/>
    <w:rsid w:val="002546F0"/>
    <w:rsid w:val="00255362"/>
    <w:rsid w:val="00261485"/>
    <w:rsid w:val="00263B8D"/>
    <w:rsid w:val="00264973"/>
    <w:rsid w:val="002649C5"/>
    <w:rsid w:val="00265739"/>
    <w:rsid w:val="0026618F"/>
    <w:rsid w:val="0026667A"/>
    <w:rsid w:val="00266E78"/>
    <w:rsid w:val="002675EC"/>
    <w:rsid w:val="00270702"/>
    <w:rsid w:val="00271657"/>
    <w:rsid w:val="00271B06"/>
    <w:rsid w:val="00272436"/>
    <w:rsid w:val="00272B44"/>
    <w:rsid w:val="002732A4"/>
    <w:rsid w:val="00273AE3"/>
    <w:rsid w:val="002743AD"/>
    <w:rsid w:val="00276526"/>
    <w:rsid w:val="002807D8"/>
    <w:rsid w:val="00282DF6"/>
    <w:rsid w:val="002835F9"/>
    <w:rsid w:val="00284362"/>
    <w:rsid w:val="00285CF2"/>
    <w:rsid w:val="00286235"/>
    <w:rsid w:val="00286265"/>
    <w:rsid w:val="0028721A"/>
    <w:rsid w:val="0029039B"/>
    <w:rsid w:val="00290825"/>
    <w:rsid w:val="002927E3"/>
    <w:rsid w:val="00293DE0"/>
    <w:rsid w:val="00295F76"/>
    <w:rsid w:val="00296514"/>
    <w:rsid w:val="00297278"/>
    <w:rsid w:val="002A1136"/>
    <w:rsid w:val="002A18FC"/>
    <w:rsid w:val="002A1BC9"/>
    <w:rsid w:val="002A2045"/>
    <w:rsid w:val="002A24A2"/>
    <w:rsid w:val="002A2F07"/>
    <w:rsid w:val="002A4941"/>
    <w:rsid w:val="002A4AC6"/>
    <w:rsid w:val="002A5343"/>
    <w:rsid w:val="002B0091"/>
    <w:rsid w:val="002B0550"/>
    <w:rsid w:val="002B06FC"/>
    <w:rsid w:val="002B0EA4"/>
    <w:rsid w:val="002B2144"/>
    <w:rsid w:val="002B44E8"/>
    <w:rsid w:val="002B4891"/>
    <w:rsid w:val="002B5578"/>
    <w:rsid w:val="002B5D13"/>
    <w:rsid w:val="002B6C37"/>
    <w:rsid w:val="002B6FE9"/>
    <w:rsid w:val="002B77ED"/>
    <w:rsid w:val="002B79CD"/>
    <w:rsid w:val="002C0B71"/>
    <w:rsid w:val="002C0CD1"/>
    <w:rsid w:val="002C0DE5"/>
    <w:rsid w:val="002C10F3"/>
    <w:rsid w:val="002C28D5"/>
    <w:rsid w:val="002C2FF8"/>
    <w:rsid w:val="002C4AFA"/>
    <w:rsid w:val="002C5589"/>
    <w:rsid w:val="002C6DFB"/>
    <w:rsid w:val="002C7B1B"/>
    <w:rsid w:val="002D0E63"/>
    <w:rsid w:val="002D1884"/>
    <w:rsid w:val="002D1984"/>
    <w:rsid w:val="002D1BCB"/>
    <w:rsid w:val="002D24DE"/>
    <w:rsid w:val="002D3273"/>
    <w:rsid w:val="002D384D"/>
    <w:rsid w:val="002D3A08"/>
    <w:rsid w:val="002D3F71"/>
    <w:rsid w:val="002D47D4"/>
    <w:rsid w:val="002D5618"/>
    <w:rsid w:val="002D56B9"/>
    <w:rsid w:val="002E1E8D"/>
    <w:rsid w:val="002E2F62"/>
    <w:rsid w:val="002E336C"/>
    <w:rsid w:val="002E37D2"/>
    <w:rsid w:val="002E380B"/>
    <w:rsid w:val="002E447E"/>
    <w:rsid w:val="002E4ED0"/>
    <w:rsid w:val="002E613E"/>
    <w:rsid w:val="002E6E80"/>
    <w:rsid w:val="002E7185"/>
    <w:rsid w:val="002F028A"/>
    <w:rsid w:val="002F0703"/>
    <w:rsid w:val="002F0FE4"/>
    <w:rsid w:val="002F11E6"/>
    <w:rsid w:val="002F1337"/>
    <w:rsid w:val="002F1CA8"/>
    <w:rsid w:val="002F2D9E"/>
    <w:rsid w:val="002F47FF"/>
    <w:rsid w:val="002F4B0C"/>
    <w:rsid w:val="002F4FB6"/>
    <w:rsid w:val="002F5529"/>
    <w:rsid w:val="002F6CA4"/>
    <w:rsid w:val="0030012D"/>
    <w:rsid w:val="00300FF0"/>
    <w:rsid w:val="00304122"/>
    <w:rsid w:val="00304CDC"/>
    <w:rsid w:val="00305394"/>
    <w:rsid w:val="0030624C"/>
    <w:rsid w:val="003079DA"/>
    <w:rsid w:val="00310043"/>
    <w:rsid w:val="003108A6"/>
    <w:rsid w:val="00311603"/>
    <w:rsid w:val="00312788"/>
    <w:rsid w:val="00312F46"/>
    <w:rsid w:val="003135DF"/>
    <w:rsid w:val="00313BE8"/>
    <w:rsid w:val="00314884"/>
    <w:rsid w:val="00315320"/>
    <w:rsid w:val="00315535"/>
    <w:rsid w:val="00315A9B"/>
    <w:rsid w:val="003164E9"/>
    <w:rsid w:val="00317765"/>
    <w:rsid w:val="003208FE"/>
    <w:rsid w:val="003215AA"/>
    <w:rsid w:val="00321666"/>
    <w:rsid w:val="00321B59"/>
    <w:rsid w:val="00322CA6"/>
    <w:rsid w:val="00324CE8"/>
    <w:rsid w:val="00325B9A"/>
    <w:rsid w:val="00326DC2"/>
    <w:rsid w:val="00326FA5"/>
    <w:rsid w:val="00327C52"/>
    <w:rsid w:val="003303FF"/>
    <w:rsid w:val="003305A4"/>
    <w:rsid w:val="00332611"/>
    <w:rsid w:val="00332614"/>
    <w:rsid w:val="00332EAF"/>
    <w:rsid w:val="00333102"/>
    <w:rsid w:val="0033318E"/>
    <w:rsid w:val="00336FE6"/>
    <w:rsid w:val="00341CB0"/>
    <w:rsid w:val="00343009"/>
    <w:rsid w:val="00345665"/>
    <w:rsid w:val="00345CD9"/>
    <w:rsid w:val="00346832"/>
    <w:rsid w:val="003477CB"/>
    <w:rsid w:val="0035007E"/>
    <w:rsid w:val="00350226"/>
    <w:rsid w:val="003505F0"/>
    <w:rsid w:val="00351A91"/>
    <w:rsid w:val="00354F05"/>
    <w:rsid w:val="003553B1"/>
    <w:rsid w:val="00355767"/>
    <w:rsid w:val="003561FC"/>
    <w:rsid w:val="003578BA"/>
    <w:rsid w:val="00357AEC"/>
    <w:rsid w:val="00357D73"/>
    <w:rsid w:val="0036075A"/>
    <w:rsid w:val="00360DA6"/>
    <w:rsid w:val="003611D5"/>
    <w:rsid w:val="00361C76"/>
    <w:rsid w:val="00362697"/>
    <w:rsid w:val="00364E80"/>
    <w:rsid w:val="00364FD5"/>
    <w:rsid w:val="00365A41"/>
    <w:rsid w:val="0036726B"/>
    <w:rsid w:val="00367A0A"/>
    <w:rsid w:val="00367AAD"/>
    <w:rsid w:val="003704BE"/>
    <w:rsid w:val="003706DF"/>
    <w:rsid w:val="003720F6"/>
    <w:rsid w:val="00372FF4"/>
    <w:rsid w:val="003730FC"/>
    <w:rsid w:val="003749BA"/>
    <w:rsid w:val="00376010"/>
    <w:rsid w:val="003771B6"/>
    <w:rsid w:val="0038063C"/>
    <w:rsid w:val="0038139C"/>
    <w:rsid w:val="00381777"/>
    <w:rsid w:val="00381AC1"/>
    <w:rsid w:val="00382991"/>
    <w:rsid w:val="00382A63"/>
    <w:rsid w:val="00383EC7"/>
    <w:rsid w:val="00383FA9"/>
    <w:rsid w:val="00385721"/>
    <w:rsid w:val="00385731"/>
    <w:rsid w:val="00385F5F"/>
    <w:rsid w:val="00385FFE"/>
    <w:rsid w:val="003870C4"/>
    <w:rsid w:val="00390656"/>
    <w:rsid w:val="0039077E"/>
    <w:rsid w:val="00390C1D"/>
    <w:rsid w:val="00392875"/>
    <w:rsid w:val="0039293D"/>
    <w:rsid w:val="00392AA4"/>
    <w:rsid w:val="00392B2A"/>
    <w:rsid w:val="0039335E"/>
    <w:rsid w:val="00395BBA"/>
    <w:rsid w:val="003A04D5"/>
    <w:rsid w:val="003A23A6"/>
    <w:rsid w:val="003A2628"/>
    <w:rsid w:val="003A292D"/>
    <w:rsid w:val="003A2E06"/>
    <w:rsid w:val="003A355C"/>
    <w:rsid w:val="003A68DC"/>
    <w:rsid w:val="003A7B86"/>
    <w:rsid w:val="003A7F9C"/>
    <w:rsid w:val="003B00C0"/>
    <w:rsid w:val="003B0CD4"/>
    <w:rsid w:val="003B17F2"/>
    <w:rsid w:val="003B5AE0"/>
    <w:rsid w:val="003C03B9"/>
    <w:rsid w:val="003C26B0"/>
    <w:rsid w:val="003C2C56"/>
    <w:rsid w:val="003C300C"/>
    <w:rsid w:val="003C5205"/>
    <w:rsid w:val="003D0C7C"/>
    <w:rsid w:val="003D103D"/>
    <w:rsid w:val="003D3E46"/>
    <w:rsid w:val="003D519B"/>
    <w:rsid w:val="003D709E"/>
    <w:rsid w:val="003E103F"/>
    <w:rsid w:val="003E1101"/>
    <w:rsid w:val="003E18E4"/>
    <w:rsid w:val="003E391B"/>
    <w:rsid w:val="003E4685"/>
    <w:rsid w:val="003E54D8"/>
    <w:rsid w:val="003E58B4"/>
    <w:rsid w:val="003E5CE8"/>
    <w:rsid w:val="003E5E3C"/>
    <w:rsid w:val="003E6550"/>
    <w:rsid w:val="003E76F5"/>
    <w:rsid w:val="003E7ADD"/>
    <w:rsid w:val="003E7CB9"/>
    <w:rsid w:val="003F078D"/>
    <w:rsid w:val="003F22C1"/>
    <w:rsid w:val="003F22CA"/>
    <w:rsid w:val="003F3D70"/>
    <w:rsid w:val="003F4E8E"/>
    <w:rsid w:val="003F565C"/>
    <w:rsid w:val="003F581E"/>
    <w:rsid w:val="003F643A"/>
    <w:rsid w:val="003F64D6"/>
    <w:rsid w:val="003F6AD7"/>
    <w:rsid w:val="003F71C1"/>
    <w:rsid w:val="0040034E"/>
    <w:rsid w:val="004008DB"/>
    <w:rsid w:val="004010AF"/>
    <w:rsid w:val="004021E6"/>
    <w:rsid w:val="004023C0"/>
    <w:rsid w:val="004061DD"/>
    <w:rsid w:val="004101B9"/>
    <w:rsid w:val="004116D2"/>
    <w:rsid w:val="00412A97"/>
    <w:rsid w:val="00412B12"/>
    <w:rsid w:val="00413707"/>
    <w:rsid w:val="004142AE"/>
    <w:rsid w:val="00417421"/>
    <w:rsid w:val="00417551"/>
    <w:rsid w:val="00424D88"/>
    <w:rsid w:val="0042507E"/>
    <w:rsid w:val="0042578C"/>
    <w:rsid w:val="00426288"/>
    <w:rsid w:val="00426923"/>
    <w:rsid w:val="004275EE"/>
    <w:rsid w:val="0042773A"/>
    <w:rsid w:val="00430589"/>
    <w:rsid w:val="00431691"/>
    <w:rsid w:val="004341F0"/>
    <w:rsid w:val="00434DE4"/>
    <w:rsid w:val="004411F3"/>
    <w:rsid w:val="00442648"/>
    <w:rsid w:val="0044351C"/>
    <w:rsid w:val="004438A9"/>
    <w:rsid w:val="00443D37"/>
    <w:rsid w:val="00444D5A"/>
    <w:rsid w:val="00444E2E"/>
    <w:rsid w:val="004460C3"/>
    <w:rsid w:val="00446A03"/>
    <w:rsid w:val="00450339"/>
    <w:rsid w:val="00451D83"/>
    <w:rsid w:val="004520CA"/>
    <w:rsid w:val="00452D99"/>
    <w:rsid w:val="00452E86"/>
    <w:rsid w:val="00453987"/>
    <w:rsid w:val="004565E4"/>
    <w:rsid w:val="00456632"/>
    <w:rsid w:val="0046005E"/>
    <w:rsid w:val="00460486"/>
    <w:rsid w:val="004606C2"/>
    <w:rsid w:val="00460FC6"/>
    <w:rsid w:val="00462F81"/>
    <w:rsid w:val="0046336C"/>
    <w:rsid w:val="0046340E"/>
    <w:rsid w:val="004645DA"/>
    <w:rsid w:val="0046470C"/>
    <w:rsid w:val="00464FA2"/>
    <w:rsid w:val="004670DF"/>
    <w:rsid w:val="00470AA7"/>
    <w:rsid w:val="00470DA1"/>
    <w:rsid w:val="00470F29"/>
    <w:rsid w:val="0047244A"/>
    <w:rsid w:val="0047249C"/>
    <w:rsid w:val="0047385A"/>
    <w:rsid w:val="00474B1B"/>
    <w:rsid w:val="00481115"/>
    <w:rsid w:val="00481936"/>
    <w:rsid w:val="00481A43"/>
    <w:rsid w:val="004826C8"/>
    <w:rsid w:val="00486D08"/>
    <w:rsid w:val="00487072"/>
    <w:rsid w:val="00487951"/>
    <w:rsid w:val="00487ED9"/>
    <w:rsid w:val="0049017E"/>
    <w:rsid w:val="00491895"/>
    <w:rsid w:val="00491A02"/>
    <w:rsid w:val="004928B4"/>
    <w:rsid w:val="004A046A"/>
    <w:rsid w:val="004A3C34"/>
    <w:rsid w:val="004A56A2"/>
    <w:rsid w:val="004A6F7E"/>
    <w:rsid w:val="004A72C7"/>
    <w:rsid w:val="004B04E7"/>
    <w:rsid w:val="004B0B1D"/>
    <w:rsid w:val="004B1A06"/>
    <w:rsid w:val="004B33A5"/>
    <w:rsid w:val="004B3B8E"/>
    <w:rsid w:val="004B6249"/>
    <w:rsid w:val="004B627D"/>
    <w:rsid w:val="004B7B7B"/>
    <w:rsid w:val="004C1DC6"/>
    <w:rsid w:val="004C22A8"/>
    <w:rsid w:val="004C23D7"/>
    <w:rsid w:val="004C3387"/>
    <w:rsid w:val="004C4640"/>
    <w:rsid w:val="004C5091"/>
    <w:rsid w:val="004C6FEB"/>
    <w:rsid w:val="004C73A4"/>
    <w:rsid w:val="004D03F9"/>
    <w:rsid w:val="004D05A2"/>
    <w:rsid w:val="004D1C0C"/>
    <w:rsid w:val="004D2282"/>
    <w:rsid w:val="004D2F50"/>
    <w:rsid w:val="004D3055"/>
    <w:rsid w:val="004D3C84"/>
    <w:rsid w:val="004D5FDC"/>
    <w:rsid w:val="004D6827"/>
    <w:rsid w:val="004D76A9"/>
    <w:rsid w:val="004D779E"/>
    <w:rsid w:val="004D7B33"/>
    <w:rsid w:val="004E0378"/>
    <w:rsid w:val="004E0E8A"/>
    <w:rsid w:val="004E1AC4"/>
    <w:rsid w:val="004E2119"/>
    <w:rsid w:val="004E399E"/>
    <w:rsid w:val="004E6DCB"/>
    <w:rsid w:val="004E792A"/>
    <w:rsid w:val="004F006E"/>
    <w:rsid w:val="004F0673"/>
    <w:rsid w:val="004F17ED"/>
    <w:rsid w:val="004F313D"/>
    <w:rsid w:val="004F37B8"/>
    <w:rsid w:val="004F43ED"/>
    <w:rsid w:val="004F4BF3"/>
    <w:rsid w:val="004F4D61"/>
    <w:rsid w:val="004F5668"/>
    <w:rsid w:val="004F704F"/>
    <w:rsid w:val="004F71EC"/>
    <w:rsid w:val="004F7E43"/>
    <w:rsid w:val="004F7F96"/>
    <w:rsid w:val="00500AF7"/>
    <w:rsid w:val="005018AD"/>
    <w:rsid w:val="005023E0"/>
    <w:rsid w:val="005028C1"/>
    <w:rsid w:val="005033C9"/>
    <w:rsid w:val="00504AD1"/>
    <w:rsid w:val="00507A08"/>
    <w:rsid w:val="00510419"/>
    <w:rsid w:val="00511991"/>
    <w:rsid w:val="0051238C"/>
    <w:rsid w:val="005126A5"/>
    <w:rsid w:val="0051291A"/>
    <w:rsid w:val="00512C1A"/>
    <w:rsid w:val="00514055"/>
    <w:rsid w:val="005161D2"/>
    <w:rsid w:val="005162B3"/>
    <w:rsid w:val="00516528"/>
    <w:rsid w:val="00520146"/>
    <w:rsid w:val="00520DCB"/>
    <w:rsid w:val="00521A81"/>
    <w:rsid w:val="00523FD3"/>
    <w:rsid w:val="005247E9"/>
    <w:rsid w:val="00525000"/>
    <w:rsid w:val="00527C20"/>
    <w:rsid w:val="005304BE"/>
    <w:rsid w:val="005319F2"/>
    <w:rsid w:val="00531CC3"/>
    <w:rsid w:val="005347F5"/>
    <w:rsid w:val="00534E8B"/>
    <w:rsid w:val="00535339"/>
    <w:rsid w:val="00536AF9"/>
    <w:rsid w:val="00536E56"/>
    <w:rsid w:val="005371F4"/>
    <w:rsid w:val="00537406"/>
    <w:rsid w:val="00537611"/>
    <w:rsid w:val="0054095D"/>
    <w:rsid w:val="005417AD"/>
    <w:rsid w:val="005436A5"/>
    <w:rsid w:val="005448CD"/>
    <w:rsid w:val="00545598"/>
    <w:rsid w:val="00545817"/>
    <w:rsid w:val="00546841"/>
    <w:rsid w:val="005478FA"/>
    <w:rsid w:val="0055001B"/>
    <w:rsid w:val="00551813"/>
    <w:rsid w:val="00551829"/>
    <w:rsid w:val="005535BE"/>
    <w:rsid w:val="005578A0"/>
    <w:rsid w:val="00560139"/>
    <w:rsid w:val="00560BD1"/>
    <w:rsid w:val="005619BD"/>
    <w:rsid w:val="005704DD"/>
    <w:rsid w:val="00570E25"/>
    <w:rsid w:val="005721BB"/>
    <w:rsid w:val="00573597"/>
    <w:rsid w:val="00574623"/>
    <w:rsid w:val="00575098"/>
    <w:rsid w:val="005802B7"/>
    <w:rsid w:val="0058086C"/>
    <w:rsid w:val="00580CE7"/>
    <w:rsid w:val="00581DE4"/>
    <w:rsid w:val="00582211"/>
    <w:rsid w:val="005851A4"/>
    <w:rsid w:val="00586BC9"/>
    <w:rsid w:val="0058796F"/>
    <w:rsid w:val="00590693"/>
    <w:rsid w:val="00591150"/>
    <w:rsid w:val="005917CF"/>
    <w:rsid w:val="00592783"/>
    <w:rsid w:val="00593CB3"/>
    <w:rsid w:val="00595319"/>
    <w:rsid w:val="005962A1"/>
    <w:rsid w:val="00596564"/>
    <w:rsid w:val="005965EB"/>
    <w:rsid w:val="00596DF7"/>
    <w:rsid w:val="005A2BC3"/>
    <w:rsid w:val="005A2EE1"/>
    <w:rsid w:val="005A3A60"/>
    <w:rsid w:val="005A41C4"/>
    <w:rsid w:val="005A5881"/>
    <w:rsid w:val="005A7135"/>
    <w:rsid w:val="005B01AF"/>
    <w:rsid w:val="005B03EC"/>
    <w:rsid w:val="005B081C"/>
    <w:rsid w:val="005B0F6A"/>
    <w:rsid w:val="005B15EB"/>
    <w:rsid w:val="005B1FFA"/>
    <w:rsid w:val="005B2812"/>
    <w:rsid w:val="005B39D1"/>
    <w:rsid w:val="005B3C87"/>
    <w:rsid w:val="005B55E8"/>
    <w:rsid w:val="005B591E"/>
    <w:rsid w:val="005C0AFE"/>
    <w:rsid w:val="005C11B9"/>
    <w:rsid w:val="005C19A9"/>
    <w:rsid w:val="005C1B22"/>
    <w:rsid w:val="005C1B7C"/>
    <w:rsid w:val="005C3FC3"/>
    <w:rsid w:val="005C424D"/>
    <w:rsid w:val="005C4697"/>
    <w:rsid w:val="005C50AD"/>
    <w:rsid w:val="005C581F"/>
    <w:rsid w:val="005D124A"/>
    <w:rsid w:val="005D183E"/>
    <w:rsid w:val="005D22FD"/>
    <w:rsid w:val="005D23AC"/>
    <w:rsid w:val="005D268A"/>
    <w:rsid w:val="005D3568"/>
    <w:rsid w:val="005D3947"/>
    <w:rsid w:val="005D3B50"/>
    <w:rsid w:val="005D3F64"/>
    <w:rsid w:val="005D4527"/>
    <w:rsid w:val="005E0D16"/>
    <w:rsid w:val="005E0EB4"/>
    <w:rsid w:val="005E156C"/>
    <w:rsid w:val="005E1D08"/>
    <w:rsid w:val="005E23AF"/>
    <w:rsid w:val="005E36DA"/>
    <w:rsid w:val="005E3973"/>
    <w:rsid w:val="005E3E82"/>
    <w:rsid w:val="005E4B6C"/>
    <w:rsid w:val="005E4C97"/>
    <w:rsid w:val="005E6405"/>
    <w:rsid w:val="005E64BA"/>
    <w:rsid w:val="005E6B72"/>
    <w:rsid w:val="005E6F93"/>
    <w:rsid w:val="005F14D0"/>
    <w:rsid w:val="005F16C1"/>
    <w:rsid w:val="005F21B4"/>
    <w:rsid w:val="005F2588"/>
    <w:rsid w:val="005F2C8F"/>
    <w:rsid w:val="005F33E8"/>
    <w:rsid w:val="005F486C"/>
    <w:rsid w:val="005F53B3"/>
    <w:rsid w:val="005F59B7"/>
    <w:rsid w:val="00600415"/>
    <w:rsid w:val="00600B3C"/>
    <w:rsid w:val="00602003"/>
    <w:rsid w:val="00603D2A"/>
    <w:rsid w:val="00604F8C"/>
    <w:rsid w:val="00605183"/>
    <w:rsid w:val="00607E3E"/>
    <w:rsid w:val="00607FA9"/>
    <w:rsid w:val="00610802"/>
    <w:rsid w:val="00612239"/>
    <w:rsid w:val="00612724"/>
    <w:rsid w:val="00613FFB"/>
    <w:rsid w:val="006140A7"/>
    <w:rsid w:val="006145C3"/>
    <w:rsid w:val="006159A0"/>
    <w:rsid w:val="00615E48"/>
    <w:rsid w:val="006161FE"/>
    <w:rsid w:val="00617AD2"/>
    <w:rsid w:val="00621B00"/>
    <w:rsid w:val="00622200"/>
    <w:rsid w:val="006222C6"/>
    <w:rsid w:val="00622587"/>
    <w:rsid w:val="0062324F"/>
    <w:rsid w:val="00623BF2"/>
    <w:rsid w:val="00624D44"/>
    <w:rsid w:val="006256FC"/>
    <w:rsid w:val="006264FD"/>
    <w:rsid w:val="00626964"/>
    <w:rsid w:val="00626F85"/>
    <w:rsid w:val="0063000E"/>
    <w:rsid w:val="0063039D"/>
    <w:rsid w:val="006304E3"/>
    <w:rsid w:val="006328B2"/>
    <w:rsid w:val="00634C22"/>
    <w:rsid w:val="00635460"/>
    <w:rsid w:val="00635F37"/>
    <w:rsid w:val="00636AD1"/>
    <w:rsid w:val="00636D6B"/>
    <w:rsid w:val="00637AA4"/>
    <w:rsid w:val="00637E48"/>
    <w:rsid w:val="006416F7"/>
    <w:rsid w:val="00641FB5"/>
    <w:rsid w:val="00641FEF"/>
    <w:rsid w:val="006424C2"/>
    <w:rsid w:val="00642CE6"/>
    <w:rsid w:val="00645726"/>
    <w:rsid w:val="006462A4"/>
    <w:rsid w:val="0064664E"/>
    <w:rsid w:val="00646816"/>
    <w:rsid w:val="00646A27"/>
    <w:rsid w:val="00652023"/>
    <w:rsid w:val="00652485"/>
    <w:rsid w:val="00653FBB"/>
    <w:rsid w:val="00654070"/>
    <w:rsid w:val="0065479F"/>
    <w:rsid w:val="00654AC9"/>
    <w:rsid w:val="00654D5C"/>
    <w:rsid w:val="006555B3"/>
    <w:rsid w:val="00657C21"/>
    <w:rsid w:val="006601F0"/>
    <w:rsid w:val="0066099F"/>
    <w:rsid w:val="00661136"/>
    <w:rsid w:val="00661C76"/>
    <w:rsid w:val="00661E58"/>
    <w:rsid w:val="00662A49"/>
    <w:rsid w:val="006631F7"/>
    <w:rsid w:val="00666215"/>
    <w:rsid w:val="00667C03"/>
    <w:rsid w:val="00670F63"/>
    <w:rsid w:val="00671906"/>
    <w:rsid w:val="00674349"/>
    <w:rsid w:val="00674883"/>
    <w:rsid w:val="00675783"/>
    <w:rsid w:val="00675ED6"/>
    <w:rsid w:val="00683007"/>
    <w:rsid w:val="00683A6A"/>
    <w:rsid w:val="00684629"/>
    <w:rsid w:val="00685465"/>
    <w:rsid w:val="00691793"/>
    <w:rsid w:val="00693EDB"/>
    <w:rsid w:val="00695418"/>
    <w:rsid w:val="006A0B9D"/>
    <w:rsid w:val="006A0F49"/>
    <w:rsid w:val="006A1384"/>
    <w:rsid w:val="006A19C8"/>
    <w:rsid w:val="006A2C67"/>
    <w:rsid w:val="006A30BD"/>
    <w:rsid w:val="006A723B"/>
    <w:rsid w:val="006A72E8"/>
    <w:rsid w:val="006A741A"/>
    <w:rsid w:val="006A7BF1"/>
    <w:rsid w:val="006A7D11"/>
    <w:rsid w:val="006A7FB9"/>
    <w:rsid w:val="006B24E7"/>
    <w:rsid w:val="006B2885"/>
    <w:rsid w:val="006B2AAA"/>
    <w:rsid w:val="006B2D7C"/>
    <w:rsid w:val="006B4A9D"/>
    <w:rsid w:val="006B4DFC"/>
    <w:rsid w:val="006B6C85"/>
    <w:rsid w:val="006B77D3"/>
    <w:rsid w:val="006C0025"/>
    <w:rsid w:val="006C022B"/>
    <w:rsid w:val="006C027F"/>
    <w:rsid w:val="006C0362"/>
    <w:rsid w:val="006C0AB3"/>
    <w:rsid w:val="006C19D7"/>
    <w:rsid w:val="006C288F"/>
    <w:rsid w:val="006C58AA"/>
    <w:rsid w:val="006C6432"/>
    <w:rsid w:val="006C7097"/>
    <w:rsid w:val="006D00EF"/>
    <w:rsid w:val="006D2F72"/>
    <w:rsid w:val="006D371B"/>
    <w:rsid w:val="006D3DF8"/>
    <w:rsid w:val="006D4EDC"/>
    <w:rsid w:val="006D7B95"/>
    <w:rsid w:val="006E019B"/>
    <w:rsid w:val="006E1A11"/>
    <w:rsid w:val="006E3CEF"/>
    <w:rsid w:val="006E6D8A"/>
    <w:rsid w:val="006E6F50"/>
    <w:rsid w:val="006E71D5"/>
    <w:rsid w:val="006E749E"/>
    <w:rsid w:val="006F0A34"/>
    <w:rsid w:val="006F1125"/>
    <w:rsid w:val="006F253F"/>
    <w:rsid w:val="006F4A7C"/>
    <w:rsid w:val="006F4F25"/>
    <w:rsid w:val="006F57C2"/>
    <w:rsid w:val="006F57D3"/>
    <w:rsid w:val="006F7126"/>
    <w:rsid w:val="006F7F3A"/>
    <w:rsid w:val="006F7F82"/>
    <w:rsid w:val="00702C93"/>
    <w:rsid w:val="00705372"/>
    <w:rsid w:val="00706315"/>
    <w:rsid w:val="007065CA"/>
    <w:rsid w:val="00706A3F"/>
    <w:rsid w:val="0070755D"/>
    <w:rsid w:val="00707C11"/>
    <w:rsid w:val="00710412"/>
    <w:rsid w:val="00712612"/>
    <w:rsid w:val="00713BEB"/>
    <w:rsid w:val="00714B30"/>
    <w:rsid w:val="00716D1B"/>
    <w:rsid w:val="00716F2E"/>
    <w:rsid w:val="0071778E"/>
    <w:rsid w:val="00720027"/>
    <w:rsid w:val="007200A5"/>
    <w:rsid w:val="007217D2"/>
    <w:rsid w:val="007221C9"/>
    <w:rsid w:val="007225A5"/>
    <w:rsid w:val="007233C0"/>
    <w:rsid w:val="00723D29"/>
    <w:rsid w:val="007242BB"/>
    <w:rsid w:val="00725A77"/>
    <w:rsid w:val="00726C6D"/>
    <w:rsid w:val="00731096"/>
    <w:rsid w:val="0073145A"/>
    <w:rsid w:val="00731556"/>
    <w:rsid w:val="0073451F"/>
    <w:rsid w:val="00734DB3"/>
    <w:rsid w:val="007355D2"/>
    <w:rsid w:val="00736239"/>
    <w:rsid w:val="007364E2"/>
    <w:rsid w:val="00737DE2"/>
    <w:rsid w:val="00741286"/>
    <w:rsid w:val="00741D70"/>
    <w:rsid w:val="007458D3"/>
    <w:rsid w:val="00746888"/>
    <w:rsid w:val="007504B6"/>
    <w:rsid w:val="0075238B"/>
    <w:rsid w:val="00752BC5"/>
    <w:rsid w:val="00753BF2"/>
    <w:rsid w:val="007560CE"/>
    <w:rsid w:val="00756103"/>
    <w:rsid w:val="007565C5"/>
    <w:rsid w:val="00757209"/>
    <w:rsid w:val="00760498"/>
    <w:rsid w:val="0076122F"/>
    <w:rsid w:val="007624A4"/>
    <w:rsid w:val="00762E78"/>
    <w:rsid w:val="00763BFC"/>
    <w:rsid w:val="007642ED"/>
    <w:rsid w:val="00764E47"/>
    <w:rsid w:val="00765391"/>
    <w:rsid w:val="00770124"/>
    <w:rsid w:val="00770C0F"/>
    <w:rsid w:val="00771159"/>
    <w:rsid w:val="007735F1"/>
    <w:rsid w:val="00774445"/>
    <w:rsid w:val="0077588B"/>
    <w:rsid w:val="00776B07"/>
    <w:rsid w:val="00782C44"/>
    <w:rsid w:val="007836B6"/>
    <w:rsid w:val="0078413A"/>
    <w:rsid w:val="00784419"/>
    <w:rsid w:val="007845F5"/>
    <w:rsid w:val="00784C02"/>
    <w:rsid w:val="007854B7"/>
    <w:rsid w:val="00785D86"/>
    <w:rsid w:val="007867A7"/>
    <w:rsid w:val="00787453"/>
    <w:rsid w:val="00787682"/>
    <w:rsid w:val="007918B9"/>
    <w:rsid w:val="00793EEB"/>
    <w:rsid w:val="007A174D"/>
    <w:rsid w:val="007A1E5F"/>
    <w:rsid w:val="007A455E"/>
    <w:rsid w:val="007A4B80"/>
    <w:rsid w:val="007A59FF"/>
    <w:rsid w:val="007A5BCD"/>
    <w:rsid w:val="007B0478"/>
    <w:rsid w:val="007B0CC7"/>
    <w:rsid w:val="007B1159"/>
    <w:rsid w:val="007B26F9"/>
    <w:rsid w:val="007B40E9"/>
    <w:rsid w:val="007B531C"/>
    <w:rsid w:val="007B59A3"/>
    <w:rsid w:val="007B698E"/>
    <w:rsid w:val="007B6DEC"/>
    <w:rsid w:val="007C1094"/>
    <w:rsid w:val="007C2655"/>
    <w:rsid w:val="007C2C98"/>
    <w:rsid w:val="007C5114"/>
    <w:rsid w:val="007C55BD"/>
    <w:rsid w:val="007C607A"/>
    <w:rsid w:val="007C614C"/>
    <w:rsid w:val="007C6429"/>
    <w:rsid w:val="007C7545"/>
    <w:rsid w:val="007D061C"/>
    <w:rsid w:val="007D3032"/>
    <w:rsid w:val="007D517A"/>
    <w:rsid w:val="007D612F"/>
    <w:rsid w:val="007D6F9C"/>
    <w:rsid w:val="007E0295"/>
    <w:rsid w:val="007E213E"/>
    <w:rsid w:val="007E2770"/>
    <w:rsid w:val="007E2F38"/>
    <w:rsid w:val="007E3AE6"/>
    <w:rsid w:val="007E3ECA"/>
    <w:rsid w:val="007E425F"/>
    <w:rsid w:val="007E6280"/>
    <w:rsid w:val="007F0C99"/>
    <w:rsid w:val="007F22AA"/>
    <w:rsid w:val="007F354E"/>
    <w:rsid w:val="007F70A4"/>
    <w:rsid w:val="007F7727"/>
    <w:rsid w:val="00800EF5"/>
    <w:rsid w:val="00801AAB"/>
    <w:rsid w:val="00801FF0"/>
    <w:rsid w:val="00803472"/>
    <w:rsid w:val="008046FB"/>
    <w:rsid w:val="008056F1"/>
    <w:rsid w:val="00806317"/>
    <w:rsid w:val="00810243"/>
    <w:rsid w:val="008105B4"/>
    <w:rsid w:val="008112CB"/>
    <w:rsid w:val="00811B4B"/>
    <w:rsid w:val="0081333E"/>
    <w:rsid w:val="0081475E"/>
    <w:rsid w:val="008156A4"/>
    <w:rsid w:val="00815FDD"/>
    <w:rsid w:val="0081639B"/>
    <w:rsid w:val="0082248C"/>
    <w:rsid w:val="008230C9"/>
    <w:rsid w:val="00825929"/>
    <w:rsid w:val="008302C2"/>
    <w:rsid w:val="008309C7"/>
    <w:rsid w:val="00830E46"/>
    <w:rsid w:val="0083170F"/>
    <w:rsid w:val="00833D7E"/>
    <w:rsid w:val="008347F3"/>
    <w:rsid w:val="00836BDC"/>
    <w:rsid w:val="008407E2"/>
    <w:rsid w:val="008429A3"/>
    <w:rsid w:val="00843EA7"/>
    <w:rsid w:val="008442BC"/>
    <w:rsid w:val="0084438D"/>
    <w:rsid w:val="0084592D"/>
    <w:rsid w:val="00850357"/>
    <w:rsid w:val="0085094D"/>
    <w:rsid w:val="008510D3"/>
    <w:rsid w:val="00852129"/>
    <w:rsid w:val="00852414"/>
    <w:rsid w:val="008527D2"/>
    <w:rsid w:val="00853172"/>
    <w:rsid w:val="008535A5"/>
    <w:rsid w:val="0085365C"/>
    <w:rsid w:val="00853F8F"/>
    <w:rsid w:val="008548AE"/>
    <w:rsid w:val="00855376"/>
    <w:rsid w:val="008562EB"/>
    <w:rsid w:val="008604D4"/>
    <w:rsid w:val="00860E5E"/>
    <w:rsid w:val="008622E5"/>
    <w:rsid w:val="00862BB0"/>
    <w:rsid w:val="00862C76"/>
    <w:rsid w:val="008634CE"/>
    <w:rsid w:val="00866DC7"/>
    <w:rsid w:val="0087394C"/>
    <w:rsid w:val="00873D8B"/>
    <w:rsid w:val="00874A58"/>
    <w:rsid w:val="008757AF"/>
    <w:rsid w:val="008777B9"/>
    <w:rsid w:val="008852DA"/>
    <w:rsid w:val="008854C8"/>
    <w:rsid w:val="00885CA5"/>
    <w:rsid w:val="008861A3"/>
    <w:rsid w:val="0088757F"/>
    <w:rsid w:val="008900A4"/>
    <w:rsid w:val="00890AD8"/>
    <w:rsid w:val="008910D6"/>
    <w:rsid w:val="00894606"/>
    <w:rsid w:val="00894FF9"/>
    <w:rsid w:val="00896451"/>
    <w:rsid w:val="00896ACF"/>
    <w:rsid w:val="00897F51"/>
    <w:rsid w:val="008A1B15"/>
    <w:rsid w:val="008A1F66"/>
    <w:rsid w:val="008A23EB"/>
    <w:rsid w:val="008A2F2A"/>
    <w:rsid w:val="008A4618"/>
    <w:rsid w:val="008A562C"/>
    <w:rsid w:val="008A5C00"/>
    <w:rsid w:val="008A6147"/>
    <w:rsid w:val="008A651A"/>
    <w:rsid w:val="008B17EC"/>
    <w:rsid w:val="008B45EC"/>
    <w:rsid w:val="008B5DA5"/>
    <w:rsid w:val="008B5F26"/>
    <w:rsid w:val="008B67B1"/>
    <w:rsid w:val="008B6871"/>
    <w:rsid w:val="008B74E7"/>
    <w:rsid w:val="008B7857"/>
    <w:rsid w:val="008C2F55"/>
    <w:rsid w:val="008C4A39"/>
    <w:rsid w:val="008D38A0"/>
    <w:rsid w:val="008D4C25"/>
    <w:rsid w:val="008D68ED"/>
    <w:rsid w:val="008D691C"/>
    <w:rsid w:val="008D6ABB"/>
    <w:rsid w:val="008D6C06"/>
    <w:rsid w:val="008D71F3"/>
    <w:rsid w:val="008D71F9"/>
    <w:rsid w:val="008E1660"/>
    <w:rsid w:val="008E1991"/>
    <w:rsid w:val="008E53D2"/>
    <w:rsid w:val="008E58D4"/>
    <w:rsid w:val="008E657D"/>
    <w:rsid w:val="008F0024"/>
    <w:rsid w:val="008F3E51"/>
    <w:rsid w:val="008F47F1"/>
    <w:rsid w:val="008F6B1A"/>
    <w:rsid w:val="008F720B"/>
    <w:rsid w:val="009005B2"/>
    <w:rsid w:val="00900E93"/>
    <w:rsid w:val="00900FE1"/>
    <w:rsid w:val="00901107"/>
    <w:rsid w:val="009014E5"/>
    <w:rsid w:val="009015B8"/>
    <w:rsid w:val="00902155"/>
    <w:rsid w:val="00902767"/>
    <w:rsid w:val="00902B65"/>
    <w:rsid w:val="009051B8"/>
    <w:rsid w:val="00910204"/>
    <w:rsid w:val="009105EA"/>
    <w:rsid w:val="00914CDE"/>
    <w:rsid w:val="00916272"/>
    <w:rsid w:val="00920366"/>
    <w:rsid w:val="00920660"/>
    <w:rsid w:val="00921CF2"/>
    <w:rsid w:val="009223F8"/>
    <w:rsid w:val="00922AE4"/>
    <w:rsid w:val="00923221"/>
    <w:rsid w:val="00923FF9"/>
    <w:rsid w:val="009249B7"/>
    <w:rsid w:val="009261A4"/>
    <w:rsid w:val="009262B6"/>
    <w:rsid w:val="00926A08"/>
    <w:rsid w:val="00927CB8"/>
    <w:rsid w:val="009307D6"/>
    <w:rsid w:val="00930FBF"/>
    <w:rsid w:val="00931289"/>
    <w:rsid w:val="00932145"/>
    <w:rsid w:val="009330D8"/>
    <w:rsid w:val="009332B0"/>
    <w:rsid w:val="009335DF"/>
    <w:rsid w:val="00934760"/>
    <w:rsid w:val="00936001"/>
    <w:rsid w:val="00936B00"/>
    <w:rsid w:val="00936B8B"/>
    <w:rsid w:val="00936BEA"/>
    <w:rsid w:val="00936D45"/>
    <w:rsid w:val="009404EE"/>
    <w:rsid w:val="0094109E"/>
    <w:rsid w:val="0094329D"/>
    <w:rsid w:val="00943BA8"/>
    <w:rsid w:val="009452EE"/>
    <w:rsid w:val="00951C12"/>
    <w:rsid w:val="00953288"/>
    <w:rsid w:val="00953DF7"/>
    <w:rsid w:val="00953FD4"/>
    <w:rsid w:val="0095447E"/>
    <w:rsid w:val="00954C3E"/>
    <w:rsid w:val="00955592"/>
    <w:rsid w:val="00956C93"/>
    <w:rsid w:val="00960478"/>
    <w:rsid w:val="00961269"/>
    <w:rsid w:val="00962B59"/>
    <w:rsid w:val="009638D7"/>
    <w:rsid w:val="00963EBB"/>
    <w:rsid w:val="00965A1F"/>
    <w:rsid w:val="00965CC6"/>
    <w:rsid w:val="00965E23"/>
    <w:rsid w:val="009679BF"/>
    <w:rsid w:val="00971F66"/>
    <w:rsid w:val="00971F92"/>
    <w:rsid w:val="00972010"/>
    <w:rsid w:val="00972C20"/>
    <w:rsid w:val="00973723"/>
    <w:rsid w:val="00973D0C"/>
    <w:rsid w:val="0097707E"/>
    <w:rsid w:val="009771CE"/>
    <w:rsid w:val="0098029A"/>
    <w:rsid w:val="009803F8"/>
    <w:rsid w:val="00981FEB"/>
    <w:rsid w:val="0098212B"/>
    <w:rsid w:val="0098250B"/>
    <w:rsid w:val="00982801"/>
    <w:rsid w:val="00983CBF"/>
    <w:rsid w:val="00984A75"/>
    <w:rsid w:val="00985F20"/>
    <w:rsid w:val="009861B3"/>
    <w:rsid w:val="00986AED"/>
    <w:rsid w:val="00986C56"/>
    <w:rsid w:val="009872CD"/>
    <w:rsid w:val="009873F3"/>
    <w:rsid w:val="00990064"/>
    <w:rsid w:val="009904B5"/>
    <w:rsid w:val="00990F31"/>
    <w:rsid w:val="00992BD0"/>
    <w:rsid w:val="009936AC"/>
    <w:rsid w:val="009941BF"/>
    <w:rsid w:val="00994492"/>
    <w:rsid w:val="0099508D"/>
    <w:rsid w:val="0099671C"/>
    <w:rsid w:val="0099744A"/>
    <w:rsid w:val="00997E02"/>
    <w:rsid w:val="009A08B7"/>
    <w:rsid w:val="009A1E42"/>
    <w:rsid w:val="009A3A48"/>
    <w:rsid w:val="009A5298"/>
    <w:rsid w:val="009A6621"/>
    <w:rsid w:val="009A6E08"/>
    <w:rsid w:val="009B0BED"/>
    <w:rsid w:val="009B1875"/>
    <w:rsid w:val="009B2919"/>
    <w:rsid w:val="009B2E39"/>
    <w:rsid w:val="009B3240"/>
    <w:rsid w:val="009B541D"/>
    <w:rsid w:val="009B64BA"/>
    <w:rsid w:val="009B6A46"/>
    <w:rsid w:val="009C0A99"/>
    <w:rsid w:val="009C1AFA"/>
    <w:rsid w:val="009C1B8E"/>
    <w:rsid w:val="009C1D9F"/>
    <w:rsid w:val="009C2F4B"/>
    <w:rsid w:val="009C4F63"/>
    <w:rsid w:val="009C6FF7"/>
    <w:rsid w:val="009D017A"/>
    <w:rsid w:val="009D1852"/>
    <w:rsid w:val="009D38C7"/>
    <w:rsid w:val="009D5B34"/>
    <w:rsid w:val="009D6788"/>
    <w:rsid w:val="009D7CE3"/>
    <w:rsid w:val="009E0CA9"/>
    <w:rsid w:val="009E2037"/>
    <w:rsid w:val="009E2752"/>
    <w:rsid w:val="009E3927"/>
    <w:rsid w:val="009E42B3"/>
    <w:rsid w:val="009E43CC"/>
    <w:rsid w:val="009E5687"/>
    <w:rsid w:val="009E5AA5"/>
    <w:rsid w:val="009E7279"/>
    <w:rsid w:val="009E7E7D"/>
    <w:rsid w:val="009F016D"/>
    <w:rsid w:val="009F0580"/>
    <w:rsid w:val="009F0FCF"/>
    <w:rsid w:val="009F73B7"/>
    <w:rsid w:val="009F7D42"/>
    <w:rsid w:val="00A033E1"/>
    <w:rsid w:val="00A03983"/>
    <w:rsid w:val="00A04245"/>
    <w:rsid w:val="00A06C05"/>
    <w:rsid w:val="00A07D4E"/>
    <w:rsid w:val="00A10353"/>
    <w:rsid w:val="00A11570"/>
    <w:rsid w:val="00A1220E"/>
    <w:rsid w:val="00A1281A"/>
    <w:rsid w:val="00A141DE"/>
    <w:rsid w:val="00A1422D"/>
    <w:rsid w:val="00A15F75"/>
    <w:rsid w:val="00A16734"/>
    <w:rsid w:val="00A16CA0"/>
    <w:rsid w:val="00A16F97"/>
    <w:rsid w:val="00A20A18"/>
    <w:rsid w:val="00A218D9"/>
    <w:rsid w:val="00A21A2C"/>
    <w:rsid w:val="00A22A39"/>
    <w:rsid w:val="00A257B9"/>
    <w:rsid w:val="00A25B88"/>
    <w:rsid w:val="00A3195D"/>
    <w:rsid w:val="00A31E02"/>
    <w:rsid w:val="00A32255"/>
    <w:rsid w:val="00A32768"/>
    <w:rsid w:val="00A330D7"/>
    <w:rsid w:val="00A3324C"/>
    <w:rsid w:val="00A33527"/>
    <w:rsid w:val="00A33644"/>
    <w:rsid w:val="00A3457A"/>
    <w:rsid w:val="00A345F6"/>
    <w:rsid w:val="00A35EA0"/>
    <w:rsid w:val="00A3658C"/>
    <w:rsid w:val="00A411FD"/>
    <w:rsid w:val="00A41743"/>
    <w:rsid w:val="00A42230"/>
    <w:rsid w:val="00A42AA6"/>
    <w:rsid w:val="00A43FD0"/>
    <w:rsid w:val="00A450AA"/>
    <w:rsid w:val="00A456CC"/>
    <w:rsid w:val="00A464DE"/>
    <w:rsid w:val="00A46526"/>
    <w:rsid w:val="00A4717A"/>
    <w:rsid w:val="00A47963"/>
    <w:rsid w:val="00A47A86"/>
    <w:rsid w:val="00A515F8"/>
    <w:rsid w:val="00A51BF3"/>
    <w:rsid w:val="00A530EF"/>
    <w:rsid w:val="00A538D9"/>
    <w:rsid w:val="00A53E94"/>
    <w:rsid w:val="00A543DF"/>
    <w:rsid w:val="00A54A48"/>
    <w:rsid w:val="00A60485"/>
    <w:rsid w:val="00A617CB"/>
    <w:rsid w:val="00A628FF"/>
    <w:rsid w:val="00A62A7C"/>
    <w:rsid w:val="00A636B0"/>
    <w:rsid w:val="00A63A2C"/>
    <w:rsid w:val="00A64915"/>
    <w:rsid w:val="00A64EF4"/>
    <w:rsid w:val="00A660F0"/>
    <w:rsid w:val="00A66216"/>
    <w:rsid w:val="00A66DA1"/>
    <w:rsid w:val="00A66DB4"/>
    <w:rsid w:val="00A70A37"/>
    <w:rsid w:val="00A715ED"/>
    <w:rsid w:val="00A738DD"/>
    <w:rsid w:val="00A73E76"/>
    <w:rsid w:val="00A75E19"/>
    <w:rsid w:val="00A76394"/>
    <w:rsid w:val="00A77FAE"/>
    <w:rsid w:val="00A80B31"/>
    <w:rsid w:val="00A81842"/>
    <w:rsid w:val="00A81A97"/>
    <w:rsid w:val="00A81E37"/>
    <w:rsid w:val="00A8209F"/>
    <w:rsid w:val="00A8318F"/>
    <w:rsid w:val="00A83212"/>
    <w:rsid w:val="00A8434B"/>
    <w:rsid w:val="00A864E1"/>
    <w:rsid w:val="00A87928"/>
    <w:rsid w:val="00A92D1E"/>
    <w:rsid w:val="00A92E05"/>
    <w:rsid w:val="00A9533C"/>
    <w:rsid w:val="00A95ADC"/>
    <w:rsid w:val="00A96DB0"/>
    <w:rsid w:val="00A972F1"/>
    <w:rsid w:val="00A979C2"/>
    <w:rsid w:val="00AA1AF4"/>
    <w:rsid w:val="00AA3DC2"/>
    <w:rsid w:val="00AA3DF7"/>
    <w:rsid w:val="00AA42BA"/>
    <w:rsid w:val="00AA58EC"/>
    <w:rsid w:val="00AA5CDD"/>
    <w:rsid w:val="00AA6B41"/>
    <w:rsid w:val="00AA7307"/>
    <w:rsid w:val="00AA7F30"/>
    <w:rsid w:val="00AB0353"/>
    <w:rsid w:val="00AB1BCA"/>
    <w:rsid w:val="00AB4799"/>
    <w:rsid w:val="00AB4A04"/>
    <w:rsid w:val="00AB4F66"/>
    <w:rsid w:val="00AB52BC"/>
    <w:rsid w:val="00AB5C76"/>
    <w:rsid w:val="00AB608E"/>
    <w:rsid w:val="00AB66C7"/>
    <w:rsid w:val="00AB6950"/>
    <w:rsid w:val="00AB6CA0"/>
    <w:rsid w:val="00AC32D9"/>
    <w:rsid w:val="00AC4A1D"/>
    <w:rsid w:val="00AC515D"/>
    <w:rsid w:val="00AC791A"/>
    <w:rsid w:val="00AD0229"/>
    <w:rsid w:val="00AD051E"/>
    <w:rsid w:val="00AD0E56"/>
    <w:rsid w:val="00AD32FD"/>
    <w:rsid w:val="00AD4407"/>
    <w:rsid w:val="00AD5002"/>
    <w:rsid w:val="00AD5142"/>
    <w:rsid w:val="00AD5667"/>
    <w:rsid w:val="00AD5F88"/>
    <w:rsid w:val="00AD6D5A"/>
    <w:rsid w:val="00AD79E7"/>
    <w:rsid w:val="00AE202A"/>
    <w:rsid w:val="00AE3443"/>
    <w:rsid w:val="00AE357D"/>
    <w:rsid w:val="00AF0153"/>
    <w:rsid w:val="00AF0999"/>
    <w:rsid w:val="00AF1A83"/>
    <w:rsid w:val="00AF2ED5"/>
    <w:rsid w:val="00AF2F4B"/>
    <w:rsid w:val="00AF2F8A"/>
    <w:rsid w:val="00AF3C4B"/>
    <w:rsid w:val="00AF4E3E"/>
    <w:rsid w:val="00AF74D6"/>
    <w:rsid w:val="00B0057F"/>
    <w:rsid w:val="00B01067"/>
    <w:rsid w:val="00B04945"/>
    <w:rsid w:val="00B04979"/>
    <w:rsid w:val="00B04A3F"/>
    <w:rsid w:val="00B060E6"/>
    <w:rsid w:val="00B07739"/>
    <w:rsid w:val="00B1003A"/>
    <w:rsid w:val="00B103DF"/>
    <w:rsid w:val="00B1108C"/>
    <w:rsid w:val="00B11421"/>
    <w:rsid w:val="00B115C3"/>
    <w:rsid w:val="00B1416D"/>
    <w:rsid w:val="00B156D7"/>
    <w:rsid w:val="00B15D44"/>
    <w:rsid w:val="00B218C6"/>
    <w:rsid w:val="00B22A1F"/>
    <w:rsid w:val="00B262CD"/>
    <w:rsid w:val="00B26886"/>
    <w:rsid w:val="00B3045E"/>
    <w:rsid w:val="00B30BCD"/>
    <w:rsid w:val="00B30C62"/>
    <w:rsid w:val="00B3124C"/>
    <w:rsid w:val="00B33155"/>
    <w:rsid w:val="00B337C2"/>
    <w:rsid w:val="00B33D20"/>
    <w:rsid w:val="00B347F3"/>
    <w:rsid w:val="00B35B3E"/>
    <w:rsid w:val="00B36749"/>
    <w:rsid w:val="00B370A6"/>
    <w:rsid w:val="00B40A0A"/>
    <w:rsid w:val="00B41426"/>
    <w:rsid w:val="00B419DB"/>
    <w:rsid w:val="00B41D10"/>
    <w:rsid w:val="00B4278F"/>
    <w:rsid w:val="00B435D3"/>
    <w:rsid w:val="00B43AE8"/>
    <w:rsid w:val="00B4472D"/>
    <w:rsid w:val="00B44B23"/>
    <w:rsid w:val="00B50D2A"/>
    <w:rsid w:val="00B5277A"/>
    <w:rsid w:val="00B529D0"/>
    <w:rsid w:val="00B52F54"/>
    <w:rsid w:val="00B53480"/>
    <w:rsid w:val="00B54B3C"/>
    <w:rsid w:val="00B5519A"/>
    <w:rsid w:val="00B57402"/>
    <w:rsid w:val="00B577D8"/>
    <w:rsid w:val="00B57837"/>
    <w:rsid w:val="00B57ECC"/>
    <w:rsid w:val="00B61DF1"/>
    <w:rsid w:val="00B62292"/>
    <w:rsid w:val="00B623AD"/>
    <w:rsid w:val="00B62E59"/>
    <w:rsid w:val="00B63A5E"/>
    <w:rsid w:val="00B63C5B"/>
    <w:rsid w:val="00B64652"/>
    <w:rsid w:val="00B67F79"/>
    <w:rsid w:val="00B7088A"/>
    <w:rsid w:val="00B70965"/>
    <w:rsid w:val="00B752CD"/>
    <w:rsid w:val="00B7638D"/>
    <w:rsid w:val="00B8031A"/>
    <w:rsid w:val="00B81020"/>
    <w:rsid w:val="00B81C05"/>
    <w:rsid w:val="00B825EF"/>
    <w:rsid w:val="00B84926"/>
    <w:rsid w:val="00B86F4B"/>
    <w:rsid w:val="00B9057C"/>
    <w:rsid w:val="00B90E4D"/>
    <w:rsid w:val="00B91051"/>
    <w:rsid w:val="00B91213"/>
    <w:rsid w:val="00B9143A"/>
    <w:rsid w:val="00B95C7A"/>
    <w:rsid w:val="00B96F21"/>
    <w:rsid w:val="00B9768F"/>
    <w:rsid w:val="00B97C0E"/>
    <w:rsid w:val="00B97D2A"/>
    <w:rsid w:val="00B97F12"/>
    <w:rsid w:val="00BA0E69"/>
    <w:rsid w:val="00BA200F"/>
    <w:rsid w:val="00BA34C1"/>
    <w:rsid w:val="00BA35DC"/>
    <w:rsid w:val="00BA393F"/>
    <w:rsid w:val="00BA6404"/>
    <w:rsid w:val="00BA64BF"/>
    <w:rsid w:val="00BA746C"/>
    <w:rsid w:val="00BA7E32"/>
    <w:rsid w:val="00BB0946"/>
    <w:rsid w:val="00BB1618"/>
    <w:rsid w:val="00BB1D02"/>
    <w:rsid w:val="00BB27CE"/>
    <w:rsid w:val="00BB31E2"/>
    <w:rsid w:val="00BB399F"/>
    <w:rsid w:val="00BB3FC7"/>
    <w:rsid w:val="00BB6412"/>
    <w:rsid w:val="00BB65A0"/>
    <w:rsid w:val="00BB68AE"/>
    <w:rsid w:val="00BB6F59"/>
    <w:rsid w:val="00BC0859"/>
    <w:rsid w:val="00BC1393"/>
    <w:rsid w:val="00BC4020"/>
    <w:rsid w:val="00BC4027"/>
    <w:rsid w:val="00BC612D"/>
    <w:rsid w:val="00BC6893"/>
    <w:rsid w:val="00BC704B"/>
    <w:rsid w:val="00BC7621"/>
    <w:rsid w:val="00BC7D1B"/>
    <w:rsid w:val="00BD2CDC"/>
    <w:rsid w:val="00BD3AF1"/>
    <w:rsid w:val="00BD420F"/>
    <w:rsid w:val="00BD4640"/>
    <w:rsid w:val="00BD471D"/>
    <w:rsid w:val="00BD48A7"/>
    <w:rsid w:val="00BD5D9F"/>
    <w:rsid w:val="00BD6545"/>
    <w:rsid w:val="00BD70E0"/>
    <w:rsid w:val="00BE0A56"/>
    <w:rsid w:val="00BE12D7"/>
    <w:rsid w:val="00BE355B"/>
    <w:rsid w:val="00BE41C1"/>
    <w:rsid w:val="00BE648A"/>
    <w:rsid w:val="00BE6F7F"/>
    <w:rsid w:val="00BF1DE6"/>
    <w:rsid w:val="00BF29FA"/>
    <w:rsid w:val="00BF6EFF"/>
    <w:rsid w:val="00C00B3F"/>
    <w:rsid w:val="00C01520"/>
    <w:rsid w:val="00C0157E"/>
    <w:rsid w:val="00C015C1"/>
    <w:rsid w:val="00C020DF"/>
    <w:rsid w:val="00C03244"/>
    <w:rsid w:val="00C03379"/>
    <w:rsid w:val="00C05074"/>
    <w:rsid w:val="00C05A82"/>
    <w:rsid w:val="00C06421"/>
    <w:rsid w:val="00C116DF"/>
    <w:rsid w:val="00C11890"/>
    <w:rsid w:val="00C13094"/>
    <w:rsid w:val="00C1374E"/>
    <w:rsid w:val="00C144A8"/>
    <w:rsid w:val="00C1466D"/>
    <w:rsid w:val="00C14676"/>
    <w:rsid w:val="00C1702F"/>
    <w:rsid w:val="00C178EC"/>
    <w:rsid w:val="00C215F8"/>
    <w:rsid w:val="00C23B34"/>
    <w:rsid w:val="00C23EA1"/>
    <w:rsid w:val="00C24DB4"/>
    <w:rsid w:val="00C25864"/>
    <w:rsid w:val="00C3166F"/>
    <w:rsid w:val="00C31782"/>
    <w:rsid w:val="00C31B03"/>
    <w:rsid w:val="00C342CA"/>
    <w:rsid w:val="00C34326"/>
    <w:rsid w:val="00C34E97"/>
    <w:rsid w:val="00C363F4"/>
    <w:rsid w:val="00C37213"/>
    <w:rsid w:val="00C379AD"/>
    <w:rsid w:val="00C37FE9"/>
    <w:rsid w:val="00C41775"/>
    <w:rsid w:val="00C41858"/>
    <w:rsid w:val="00C475FB"/>
    <w:rsid w:val="00C50A55"/>
    <w:rsid w:val="00C51EDB"/>
    <w:rsid w:val="00C5223F"/>
    <w:rsid w:val="00C523C3"/>
    <w:rsid w:val="00C5251B"/>
    <w:rsid w:val="00C527A1"/>
    <w:rsid w:val="00C52C4B"/>
    <w:rsid w:val="00C53199"/>
    <w:rsid w:val="00C544F9"/>
    <w:rsid w:val="00C54857"/>
    <w:rsid w:val="00C56BA7"/>
    <w:rsid w:val="00C57A7B"/>
    <w:rsid w:val="00C57C23"/>
    <w:rsid w:val="00C63581"/>
    <w:rsid w:val="00C635C8"/>
    <w:rsid w:val="00C6502C"/>
    <w:rsid w:val="00C660F1"/>
    <w:rsid w:val="00C66839"/>
    <w:rsid w:val="00C671F8"/>
    <w:rsid w:val="00C675E1"/>
    <w:rsid w:val="00C67EF2"/>
    <w:rsid w:val="00C70A70"/>
    <w:rsid w:val="00C715E4"/>
    <w:rsid w:val="00C71812"/>
    <w:rsid w:val="00C71EF4"/>
    <w:rsid w:val="00C721F9"/>
    <w:rsid w:val="00C7246B"/>
    <w:rsid w:val="00C745D6"/>
    <w:rsid w:val="00C746EC"/>
    <w:rsid w:val="00C75A95"/>
    <w:rsid w:val="00C76195"/>
    <w:rsid w:val="00C76DD0"/>
    <w:rsid w:val="00C778B8"/>
    <w:rsid w:val="00C77AC3"/>
    <w:rsid w:val="00C77E19"/>
    <w:rsid w:val="00C81B90"/>
    <w:rsid w:val="00C81E35"/>
    <w:rsid w:val="00C8233E"/>
    <w:rsid w:val="00C830DE"/>
    <w:rsid w:val="00C8311F"/>
    <w:rsid w:val="00C859AB"/>
    <w:rsid w:val="00C859D9"/>
    <w:rsid w:val="00C86C76"/>
    <w:rsid w:val="00C87D7A"/>
    <w:rsid w:val="00C87E94"/>
    <w:rsid w:val="00C90511"/>
    <w:rsid w:val="00C90B71"/>
    <w:rsid w:val="00C9152B"/>
    <w:rsid w:val="00C928B0"/>
    <w:rsid w:val="00C93544"/>
    <w:rsid w:val="00C938A7"/>
    <w:rsid w:val="00C944D5"/>
    <w:rsid w:val="00C95F7B"/>
    <w:rsid w:val="00C966FB"/>
    <w:rsid w:val="00CA1821"/>
    <w:rsid w:val="00CA2199"/>
    <w:rsid w:val="00CA4668"/>
    <w:rsid w:val="00CA51B4"/>
    <w:rsid w:val="00CA6860"/>
    <w:rsid w:val="00CA70FD"/>
    <w:rsid w:val="00CA788D"/>
    <w:rsid w:val="00CB03F0"/>
    <w:rsid w:val="00CB0AA3"/>
    <w:rsid w:val="00CB2C0F"/>
    <w:rsid w:val="00CB2FBD"/>
    <w:rsid w:val="00CB3C89"/>
    <w:rsid w:val="00CB3E9F"/>
    <w:rsid w:val="00CB47F9"/>
    <w:rsid w:val="00CB49B7"/>
    <w:rsid w:val="00CC1BF4"/>
    <w:rsid w:val="00CC3E6F"/>
    <w:rsid w:val="00CC4D19"/>
    <w:rsid w:val="00CC4E59"/>
    <w:rsid w:val="00CC73FC"/>
    <w:rsid w:val="00CC78FF"/>
    <w:rsid w:val="00CC7CBC"/>
    <w:rsid w:val="00CD099B"/>
    <w:rsid w:val="00CD1D01"/>
    <w:rsid w:val="00CD1EDA"/>
    <w:rsid w:val="00CD2B74"/>
    <w:rsid w:val="00CD2C85"/>
    <w:rsid w:val="00CD32C7"/>
    <w:rsid w:val="00CD6324"/>
    <w:rsid w:val="00CE1F57"/>
    <w:rsid w:val="00CE245F"/>
    <w:rsid w:val="00CE599E"/>
    <w:rsid w:val="00CE66BE"/>
    <w:rsid w:val="00CE6F5D"/>
    <w:rsid w:val="00CE7D40"/>
    <w:rsid w:val="00CF10FD"/>
    <w:rsid w:val="00CF1246"/>
    <w:rsid w:val="00CF1D0B"/>
    <w:rsid w:val="00CF230F"/>
    <w:rsid w:val="00CF3012"/>
    <w:rsid w:val="00CF3F40"/>
    <w:rsid w:val="00CF471C"/>
    <w:rsid w:val="00CF49FB"/>
    <w:rsid w:val="00CF525F"/>
    <w:rsid w:val="00CF79A4"/>
    <w:rsid w:val="00CF7D86"/>
    <w:rsid w:val="00D00A85"/>
    <w:rsid w:val="00D01931"/>
    <w:rsid w:val="00D02312"/>
    <w:rsid w:val="00D032F6"/>
    <w:rsid w:val="00D03B3F"/>
    <w:rsid w:val="00D050FA"/>
    <w:rsid w:val="00D0570B"/>
    <w:rsid w:val="00D057A4"/>
    <w:rsid w:val="00D064D5"/>
    <w:rsid w:val="00D07500"/>
    <w:rsid w:val="00D114BD"/>
    <w:rsid w:val="00D15377"/>
    <w:rsid w:val="00D15699"/>
    <w:rsid w:val="00D16DFD"/>
    <w:rsid w:val="00D2063C"/>
    <w:rsid w:val="00D21A05"/>
    <w:rsid w:val="00D21D04"/>
    <w:rsid w:val="00D22C54"/>
    <w:rsid w:val="00D24919"/>
    <w:rsid w:val="00D255E5"/>
    <w:rsid w:val="00D25A55"/>
    <w:rsid w:val="00D26E55"/>
    <w:rsid w:val="00D271E5"/>
    <w:rsid w:val="00D27852"/>
    <w:rsid w:val="00D27B64"/>
    <w:rsid w:val="00D3226C"/>
    <w:rsid w:val="00D3295F"/>
    <w:rsid w:val="00D336DF"/>
    <w:rsid w:val="00D3371C"/>
    <w:rsid w:val="00D35CC1"/>
    <w:rsid w:val="00D36907"/>
    <w:rsid w:val="00D40246"/>
    <w:rsid w:val="00D40E57"/>
    <w:rsid w:val="00D435B8"/>
    <w:rsid w:val="00D46888"/>
    <w:rsid w:val="00D46A4F"/>
    <w:rsid w:val="00D47265"/>
    <w:rsid w:val="00D47FEB"/>
    <w:rsid w:val="00D50609"/>
    <w:rsid w:val="00D50CB7"/>
    <w:rsid w:val="00D5130F"/>
    <w:rsid w:val="00D51463"/>
    <w:rsid w:val="00D51C0C"/>
    <w:rsid w:val="00D53102"/>
    <w:rsid w:val="00D5355D"/>
    <w:rsid w:val="00D549F9"/>
    <w:rsid w:val="00D55D27"/>
    <w:rsid w:val="00D55ECC"/>
    <w:rsid w:val="00D56BC9"/>
    <w:rsid w:val="00D62501"/>
    <w:rsid w:val="00D63538"/>
    <w:rsid w:val="00D636C5"/>
    <w:rsid w:val="00D639BC"/>
    <w:rsid w:val="00D6486C"/>
    <w:rsid w:val="00D64CD2"/>
    <w:rsid w:val="00D65370"/>
    <w:rsid w:val="00D675BC"/>
    <w:rsid w:val="00D67A75"/>
    <w:rsid w:val="00D70960"/>
    <w:rsid w:val="00D70E59"/>
    <w:rsid w:val="00D70F33"/>
    <w:rsid w:val="00D718D2"/>
    <w:rsid w:val="00D71B12"/>
    <w:rsid w:val="00D72F4F"/>
    <w:rsid w:val="00D7329B"/>
    <w:rsid w:val="00D75C72"/>
    <w:rsid w:val="00D76030"/>
    <w:rsid w:val="00D76D62"/>
    <w:rsid w:val="00D773C1"/>
    <w:rsid w:val="00D81E41"/>
    <w:rsid w:val="00D81F0D"/>
    <w:rsid w:val="00D82569"/>
    <w:rsid w:val="00D827C9"/>
    <w:rsid w:val="00D82BF6"/>
    <w:rsid w:val="00D85BEB"/>
    <w:rsid w:val="00D8634B"/>
    <w:rsid w:val="00D90D8D"/>
    <w:rsid w:val="00D921A7"/>
    <w:rsid w:val="00D93408"/>
    <w:rsid w:val="00D937A3"/>
    <w:rsid w:val="00D94FAC"/>
    <w:rsid w:val="00D96056"/>
    <w:rsid w:val="00DA0F92"/>
    <w:rsid w:val="00DA1E85"/>
    <w:rsid w:val="00DA2CD3"/>
    <w:rsid w:val="00DA3F21"/>
    <w:rsid w:val="00DA3FF1"/>
    <w:rsid w:val="00DA6970"/>
    <w:rsid w:val="00DA755F"/>
    <w:rsid w:val="00DA799C"/>
    <w:rsid w:val="00DB0790"/>
    <w:rsid w:val="00DB1E25"/>
    <w:rsid w:val="00DB1F48"/>
    <w:rsid w:val="00DB2ECD"/>
    <w:rsid w:val="00DB3D24"/>
    <w:rsid w:val="00DB5810"/>
    <w:rsid w:val="00DC1D03"/>
    <w:rsid w:val="00DC2F7B"/>
    <w:rsid w:val="00DC3156"/>
    <w:rsid w:val="00DC3442"/>
    <w:rsid w:val="00DC5B0E"/>
    <w:rsid w:val="00DC64CE"/>
    <w:rsid w:val="00DC6D20"/>
    <w:rsid w:val="00DC6E85"/>
    <w:rsid w:val="00DC74C5"/>
    <w:rsid w:val="00DC7AC7"/>
    <w:rsid w:val="00DD058E"/>
    <w:rsid w:val="00DD13B1"/>
    <w:rsid w:val="00DD2E6C"/>
    <w:rsid w:val="00DD6045"/>
    <w:rsid w:val="00DD7386"/>
    <w:rsid w:val="00DE16B8"/>
    <w:rsid w:val="00DE3F21"/>
    <w:rsid w:val="00DE4549"/>
    <w:rsid w:val="00DE5B5B"/>
    <w:rsid w:val="00DE5E4F"/>
    <w:rsid w:val="00DF073F"/>
    <w:rsid w:val="00DF164A"/>
    <w:rsid w:val="00DF29C6"/>
    <w:rsid w:val="00DF335F"/>
    <w:rsid w:val="00DF440E"/>
    <w:rsid w:val="00DF54DE"/>
    <w:rsid w:val="00DF55E1"/>
    <w:rsid w:val="00DF5EEC"/>
    <w:rsid w:val="00E008E3"/>
    <w:rsid w:val="00E03157"/>
    <w:rsid w:val="00E0573B"/>
    <w:rsid w:val="00E057FE"/>
    <w:rsid w:val="00E06AAA"/>
    <w:rsid w:val="00E06F50"/>
    <w:rsid w:val="00E10B3A"/>
    <w:rsid w:val="00E10CE4"/>
    <w:rsid w:val="00E10D1E"/>
    <w:rsid w:val="00E10FEA"/>
    <w:rsid w:val="00E11905"/>
    <w:rsid w:val="00E13782"/>
    <w:rsid w:val="00E1409D"/>
    <w:rsid w:val="00E14611"/>
    <w:rsid w:val="00E14C6A"/>
    <w:rsid w:val="00E1533A"/>
    <w:rsid w:val="00E15705"/>
    <w:rsid w:val="00E15FDC"/>
    <w:rsid w:val="00E167DC"/>
    <w:rsid w:val="00E17088"/>
    <w:rsid w:val="00E212BB"/>
    <w:rsid w:val="00E22340"/>
    <w:rsid w:val="00E225C8"/>
    <w:rsid w:val="00E22BC9"/>
    <w:rsid w:val="00E23093"/>
    <w:rsid w:val="00E24C1D"/>
    <w:rsid w:val="00E27344"/>
    <w:rsid w:val="00E277BB"/>
    <w:rsid w:val="00E3041F"/>
    <w:rsid w:val="00E315B5"/>
    <w:rsid w:val="00E33614"/>
    <w:rsid w:val="00E33BC2"/>
    <w:rsid w:val="00E33CB8"/>
    <w:rsid w:val="00E35779"/>
    <w:rsid w:val="00E36AB5"/>
    <w:rsid w:val="00E37C27"/>
    <w:rsid w:val="00E40C4A"/>
    <w:rsid w:val="00E41160"/>
    <w:rsid w:val="00E413F1"/>
    <w:rsid w:val="00E421EE"/>
    <w:rsid w:val="00E42BED"/>
    <w:rsid w:val="00E4675F"/>
    <w:rsid w:val="00E46B02"/>
    <w:rsid w:val="00E51020"/>
    <w:rsid w:val="00E5189A"/>
    <w:rsid w:val="00E5212B"/>
    <w:rsid w:val="00E52558"/>
    <w:rsid w:val="00E5286D"/>
    <w:rsid w:val="00E54EAC"/>
    <w:rsid w:val="00E55852"/>
    <w:rsid w:val="00E55E06"/>
    <w:rsid w:val="00E56C17"/>
    <w:rsid w:val="00E571AA"/>
    <w:rsid w:val="00E57D5C"/>
    <w:rsid w:val="00E60030"/>
    <w:rsid w:val="00E619A1"/>
    <w:rsid w:val="00E64222"/>
    <w:rsid w:val="00E65C6F"/>
    <w:rsid w:val="00E66E33"/>
    <w:rsid w:val="00E674BE"/>
    <w:rsid w:val="00E704DB"/>
    <w:rsid w:val="00E723F7"/>
    <w:rsid w:val="00E72588"/>
    <w:rsid w:val="00E7309D"/>
    <w:rsid w:val="00E74CB3"/>
    <w:rsid w:val="00E80D4F"/>
    <w:rsid w:val="00E81036"/>
    <w:rsid w:val="00E8131D"/>
    <w:rsid w:val="00E83B67"/>
    <w:rsid w:val="00E85D3F"/>
    <w:rsid w:val="00E9097B"/>
    <w:rsid w:val="00E93AA2"/>
    <w:rsid w:val="00E9563C"/>
    <w:rsid w:val="00E96F67"/>
    <w:rsid w:val="00E97C23"/>
    <w:rsid w:val="00E97C53"/>
    <w:rsid w:val="00EA0179"/>
    <w:rsid w:val="00EA0DD8"/>
    <w:rsid w:val="00EA0E68"/>
    <w:rsid w:val="00EA2991"/>
    <w:rsid w:val="00EA4A81"/>
    <w:rsid w:val="00EA5E09"/>
    <w:rsid w:val="00EA70C4"/>
    <w:rsid w:val="00EA7289"/>
    <w:rsid w:val="00EB0685"/>
    <w:rsid w:val="00EB3E5D"/>
    <w:rsid w:val="00EB7B90"/>
    <w:rsid w:val="00EC0FF0"/>
    <w:rsid w:val="00EC12A3"/>
    <w:rsid w:val="00EC2538"/>
    <w:rsid w:val="00EC2D8D"/>
    <w:rsid w:val="00EC42E1"/>
    <w:rsid w:val="00EC4EFA"/>
    <w:rsid w:val="00ED0401"/>
    <w:rsid w:val="00ED2121"/>
    <w:rsid w:val="00ED2769"/>
    <w:rsid w:val="00ED2ABB"/>
    <w:rsid w:val="00ED3B71"/>
    <w:rsid w:val="00ED5A3D"/>
    <w:rsid w:val="00ED5B82"/>
    <w:rsid w:val="00ED64FC"/>
    <w:rsid w:val="00EE15B4"/>
    <w:rsid w:val="00EE4089"/>
    <w:rsid w:val="00EE4939"/>
    <w:rsid w:val="00EE5AC2"/>
    <w:rsid w:val="00EE5FA7"/>
    <w:rsid w:val="00EF010D"/>
    <w:rsid w:val="00EF0899"/>
    <w:rsid w:val="00EF0BC9"/>
    <w:rsid w:val="00EF0E0F"/>
    <w:rsid w:val="00EF1C44"/>
    <w:rsid w:val="00EF3240"/>
    <w:rsid w:val="00EF3C2C"/>
    <w:rsid w:val="00EF3C98"/>
    <w:rsid w:val="00EF4A4A"/>
    <w:rsid w:val="00EF4C14"/>
    <w:rsid w:val="00EF529D"/>
    <w:rsid w:val="00EF6E1A"/>
    <w:rsid w:val="00EF7258"/>
    <w:rsid w:val="00EF7602"/>
    <w:rsid w:val="00F00588"/>
    <w:rsid w:val="00F00C9C"/>
    <w:rsid w:val="00F0332C"/>
    <w:rsid w:val="00F0372D"/>
    <w:rsid w:val="00F0389E"/>
    <w:rsid w:val="00F03DAD"/>
    <w:rsid w:val="00F05BB2"/>
    <w:rsid w:val="00F05FAE"/>
    <w:rsid w:val="00F0643C"/>
    <w:rsid w:val="00F07BE2"/>
    <w:rsid w:val="00F12904"/>
    <w:rsid w:val="00F1341B"/>
    <w:rsid w:val="00F137FF"/>
    <w:rsid w:val="00F13EC7"/>
    <w:rsid w:val="00F14731"/>
    <w:rsid w:val="00F172E8"/>
    <w:rsid w:val="00F17746"/>
    <w:rsid w:val="00F20C9D"/>
    <w:rsid w:val="00F21119"/>
    <w:rsid w:val="00F2162E"/>
    <w:rsid w:val="00F22C55"/>
    <w:rsid w:val="00F22F96"/>
    <w:rsid w:val="00F22FC4"/>
    <w:rsid w:val="00F24846"/>
    <w:rsid w:val="00F258EE"/>
    <w:rsid w:val="00F2712E"/>
    <w:rsid w:val="00F272BB"/>
    <w:rsid w:val="00F27D1E"/>
    <w:rsid w:val="00F3083B"/>
    <w:rsid w:val="00F30F13"/>
    <w:rsid w:val="00F31A74"/>
    <w:rsid w:val="00F31ED2"/>
    <w:rsid w:val="00F32A0C"/>
    <w:rsid w:val="00F349CC"/>
    <w:rsid w:val="00F35520"/>
    <w:rsid w:val="00F35C3A"/>
    <w:rsid w:val="00F36C3F"/>
    <w:rsid w:val="00F409F5"/>
    <w:rsid w:val="00F43F50"/>
    <w:rsid w:val="00F45207"/>
    <w:rsid w:val="00F4569A"/>
    <w:rsid w:val="00F461A8"/>
    <w:rsid w:val="00F51A61"/>
    <w:rsid w:val="00F51ECA"/>
    <w:rsid w:val="00F527F4"/>
    <w:rsid w:val="00F53723"/>
    <w:rsid w:val="00F53A22"/>
    <w:rsid w:val="00F55ED8"/>
    <w:rsid w:val="00F57E79"/>
    <w:rsid w:val="00F61502"/>
    <w:rsid w:val="00F6556D"/>
    <w:rsid w:val="00F65987"/>
    <w:rsid w:val="00F66A1C"/>
    <w:rsid w:val="00F67326"/>
    <w:rsid w:val="00F70C1D"/>
    <w:rsid w:val="00F71BAF"/>
    <w:rsid w:val="00F7201A"/>
    <w:rsid w:val="00F72F22"/>
    <w:rsid w:val="00F742CD"/>
    <w:rsid w:val="00F746F5"/>
    <w:rsid w:val="00F76283"/>
    <w:rsid w:val="00F772F3"/>
    <w:rsid w:val="00F778D1"/>
    <w:rsid w:val="00F810F0"/>
    <w:rsid w:val="00F81C6C"/>
    <w:rsid w:val="00F81F31"/>
    <w:rsid w:val="00F821B4"/>
    <w:rsid w:val="00F8241F"/>
    <w:rsid w:val="00F83410"/>
    <w:rsid w:val="00F83B6B"/>
    <w:rsid w:val="00F858FB"/>
    <w:rsid w:val="00F86310"/>
    <w:rsid w:val="00F87C31"/>
    <w:rsid w:val="00F902CB"/>
    <w:rsid w:val="00F9059C"/>
    <w:rsid w:val="00F910AF"/>
    <w:rsid w:val="00F9158A"/>
    <w:rsid w:val="00F94CA3"/>
    <w:rsid w:val="00F94E12"/>
    <w:rsid w:val="00F958DF"/>
    <w:rsid w:val="00F9598B"/>
    <w:rsid w:val="00F9682B"/>
    <w:rsid w:val="00F9752E"/>
    <w:rsid w:val="00F97BDD"/>
    <w:rsid w:val="00F97CC5"/>
    <w:rsid w:val="00F97ED4"/>
    <w:rsid w:val="00FA13B4"/>
    <w:rsid w:val="00FA486D"/>
    <w:rsid w:val="00FA6674"/>
    <w:rsid w:val="00FB13D1"/>
    <w:rsid w:val="00FB1B2D"/>
    <w:rsid w:val="00FB28F9"/>
    <w:rsid w:val="00FB3D9A"/>
    <w:rsid w:val="00FB4A9C"/>
    <w:rsid w:val="00FB51AE"/>
    <w:rsid w:val="00FB6F2D"/>
    <w:rsid w:val="00FB7418"/>
    <w:rsid w:val="00FC13FA"/>
    <w:rsid w:val="00FC177E"/>
    <w:rsid w:val="00FC2DDA"/>
    <w:rsid w:val="00FC3EB9"/>
    <w:rsid w:val="00FC4460"/>
    <w:rsid w:val="00FC4E6E"/>
    <w:rsid w:val="00FC55DB"/>
    <w:rsid w:val="00FC5A26"/>
    <w:rsid w:val="00FC5A57"/>
    <w:rsid w:val="00FC7634"/>
    <w:rsid w:val="00FD26CC"/>
    <w:rsid w:val="00FD2E1A"/>
    <w:rsid w:val="00FD4176"/>
    <w:rsid w:val="00FD46FF"/>
    <w:rsid w:val="00FD47CA"/>
    <w:rsid w:val="00FD4AB6"/>
    <w:rsid w:val="00FD5D6E"/>
    <w:rsid w:val="00FD7956"/>
    <w:rsid w:val="00FD7F5D"/>
    <w:rsid w:val="00FD7FA3"/>
    <w:rsid w:val="00FE1887"/>
    <w:rsid w:val="00FE21B3"/>
    <w:rsid w:val="00FE2599"/>
    <w:rsid w:val="00FE2C74"/>
    <w:rsid w:val="00FE43C7"/>
    <w:rsid w:val="00FE4427"/>
    <w:rsid w:val="00FE4CDF"/>
    <w:rsid w:val="00FE501C"/>
    <w:rsid w:val="00FE6F96"/>
    <w:rsid w:val="00FE76FB"/>
    <w:rsid w:val="00FE7E27"/>
    <w:rsid w:val="00FF19BD"/>
    <w:rsid w:val="00FF3267"/>
    <w:rsid w:val="00FF3B14"/>
    <w:rsid w:val="00FF446E"/>
    <w:rsid w:val="00FF585D"/>
    <w:rsid w:val="00FF6E67"/>
    <w:rsid w:val="00FF79FA"/>
    <w:rsid w:val="00FF7AB9"/>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E04AF"/>
    <w:rsid w:val="3C544F86"/>
    <w:rsid w:val="3D385C34"/>
    <w:rsid w:val="3E8E3C47"/>
    <w:rsid w:val="3EE80197"/>
    <w:rsid w:val="41103EF0"/>
    <w:rsid w:val="41443989"/>
    <w:rsid w:val="41924392"/>
    <w:rsid w:val="419B2EE8"/>
    <w:rsid w:val="42924743"/>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6F721D53"/>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9"/>
    <w:pPr>
      <w:keepNext/>
      <w:keepLines/>
      <w:spacing w:beforeLines="50" w:line="560" w:lineRule="exact"/>
      <w:jc w:val="left"/>
      <w:outlineLvl w:val="0"/>
    </w:pPr>
    <w:rPr>
      <w:rFonts w:ascii="仿宋" w:hAnsi="宋体" w:eastAsia="仿宋"/>
      <w:b/>
      <w:bCs/>
      <w:kern w:val="44"/>
      <w:sz w:val="36"/>
      <w:szCs w:val="44"/>
    </w:rPr>
  </w:style>
  <w:style w:type="paragraph" w:styleId="3">
    <w:name w:val="heading 3"/>
    <w:basedOn w:val="4"/>
    <w:next w:val="1"/>
    <w:link w:val="25"/>
    <w:qFormat/>
    <w:uiPriority w:val="99"/>
    <w:pPr>
      <w:spacing w:before="260" w:after="260" w:line="416" w:lineRule="auto"/>
      <w:outlineLvl w:val="2"/>
    </w:pPr>
    <w:rPr>
      <w:b/>
      <w:sz w:val="32"/>
      <w:szCs w:val="32"/>
    </w:rPr>
  </w:style>
  <w:style w:type="paragraph" w:styleId="4">
    <w:name w:val="heading 4"/>
    <w:basedOn w:val="1"/>
    <w:next w:val="1"/>
    <w:unhideWhenUsed/>
    <w:qFormat/>
    <w:locked/>
    <w:uiPriority w:val="9"/>
    <w:pPr>
      <w:keepNext/>
      <w:keepLines/>
      <w:spacing w:beforeLines="100" w:line="377" w:lineRule="auto"/>
      <w:outlineLvl w:val="3"/>
    </w:pPr>
    <w:rPr>
      <w:rFonts w:ascii="Cambria" w:hAnsi="Cambria" w:eastAsia="黑体"/>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18"/>
    <w:qFormat/>
    <w:uiPriority w:val="99"/>
    <w:pPr>
      <w:spacing w:line="360" w:lineRule="auto"/>
      <w:ind w:firstLine="420"/>
    </w:pPr>
    <w:rPr>
      <w:sz w:val="24"/>
      <w:szCs w:val="20"/>
    </w:rPr>
  </w:style>
  <w:style w:type="paragraph" w:styleId="6">
    <w:name w:val="caption"/>
    <w:next w:val="1"/>
    <w:unhideWhenUsed/>
    <w:qFormat/>
    <w:locked/>
    <w:uiPriority w:val="35"/>
    <w:pPr>
      <w:ind w:firstLine="200" w:firstLineChars="200"/>
      <w:jc w:val="both"/>
    </w:pPr>
    <w:rPr>
      <w:rFonts w:ascii="Times New Roman" w:hAnsi="Times New Roman" w:eastAsia="黑体" w:cstheme="majorBidi"/>
      <w:b/>
      <w:kern w:val="2"/>
      <w:sz w:val="24"/>
      <w:lang w:val="en-US" w:eastAsia="zh-CN" w:bidi="ar-SA"/>
    </w:rPr>
  </w:style>
  <w:style w:type="paragraph" w:styleId="7">
    <w:name w:val="List Bullet 3"/>
    <w:basedOn w:val="1"/>
    <w:qFormat/>
    <w:uiPriority w:val="0"/>
    <w:pPr>
      <w:tabs>
        <w:tab w:val="left" w:pos="1200"/>
      </w:tabs>
      <w:adjustRightInd w:val="0"/>
      <w:snapToGrid w:val="0"/>
      <w:spacing w:line="360" w:lineRule="exact"/>
      <w:ind w:left="1200" w:hanging="360" w:firstLineChars="200"/>
      <w:jc w:val="left"/>
      <w:textAlignment w:val="baseline"/>
    </w:pPr>
    <w:rPr>
      <w:rFonts w:eastAsia="仿宋_GB2312"/>
      <w:snapToGrid w:val="0"/>
      <w:kern w:val="24"/>
      <w:sz w:val="24"/>
      <w:szCs w:val="20"/>
    </w:rPr>
  </w:style>
  <w:style w:type="paragraph" w:styleId="8">
    <w:name w:val="Body Text"/>
    <w:basedOn w:val="1"/>
    <w:link w:val="33"/>
    <w:qFormat/>
    <w:uiPriority w:val="99"/>
    <w:pPr>
      <w:spacing w:after="120"/>
    </w:pPr>
    <w:rPr>
      <w:sz w:val="24"/>
      <w:szCs w:val="20"/>
    </w:rPr>
  </w:style>
  <w:style w:type="paragraph" w:styleId="9">
    <w:name w:val="Body Text Indent"/>
    <w:basedOn w:val="1"/>
    <w:link w:val="39"/>
    <w:qFormat/>
    <w:uiPriority w:val="99"/>
    <w:pPr>
      <w:ind w:firstLine="645"/>
    </w:pPr>
    <w:rPr>
      <w:rFonts w:ascii="华文仿宋" w:hAnsi="华文仿宋" w:eastAsia="华文仿宋"/>
      <w:sz w:val="32"/>
    </w:rPr>
  </w:style>
  <w:style w:type="paragraph" w:styleId="10">
    <w:name w:val="Date"/>
    <w:basedOn w:val="1"/>
    <w:next w:val="1"/>
    <w:link w:val="37"/>
    <w:qFormat/>
    <w:uiPriority w:val="99"/>
    <w:pPr>
      <w:ind w:left="100" w:leftChars="2500"/>
    </w:pPr>
  </w:style>
  <w:style w:type="paragraph" w:styleId="11">
    <w:name w:val="Body Text Indent 2"/>
    <w:basedOn w:val="1"/>
    <w:link w:val="35"/>
    <w:qFormat/>
    <w:uiPriority w:val="99"/>
    <w:pPr>
      <w:spacing w:after="120" w:line="480" w:lineRule="auto"/>
      <w:ind w:left="420" w:leftChars="200"/>
    </w:pPr>
  </w:style>
  <w:style w:type="paragraph" w:styleId="12">
    <w:name w:val="Balloon Text"/>
    <w:basedOn w:val="1"/>
    <w:link w:val="38"/>
    <w:semiHidden/>
    <w:qFormat/>
    <w:uiPriority w:val="99"/>
    <w:rPr>
      <w:sz w:val="18"/>
      <w:szCs w:val="18"/>
    </w:rPr>
  </w:style>
  <w:style w:type="paragraph" w:styleId="13">
    <w:name w:val="footer"/>
    <w:basedOn w:val="1"/>
    <w:link w:val="36"/>
    <w:qFormat/>
    <w:uiPriority w:val="0"/>
    <w:pPr>
      <w:tabs>
        <w:tab w:val="center" w:pos="4153"/>
        <w:tab w:val="right" w:pos="8306"/>
      </w:tabs>
      <w:snapToGrid w:val="0"/>
      <w:jc w:val="left"/>
    </w:pPr>
    <w:rPr>
      <w:sz w:val="18"/>
      <w:szCs w:val="20"/>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20"/>
    </w:rPr>
  </w:style>
  <w:style w:type="paragraph" w:styleId="15">
    <w:name w:val="Body Text Indent 3"/>
    <w:basedOn w:val="1"/>
    <w:link w:val="40"/>
    <w:qFormat/>
    <w:uiPriority w:val="99"/>
    <w:pPr>
      <w:spacing w:after="120"/>
      <w:ind w:left="420" w:leftChars="200"/>
    </w:pPr>
    <w:rPr>
      <w:sz w:val="16"/>
      <w:szCs w:val="16"/>
    </w:rPr>
  </w:style>
  <w:style w:type="paragraph" w:styleId="16">
    <w:name w:val="Title"/>
    <w:basedOn w:val="1"/>
    <w:next w:val="1"/>
    <w:link w:val="65"/>
    <w:qFormat/>
    <w:uiPriority w:val="99"/>
    <w:pPr>
      <w:widowControl/>
      <w:spacing w:line="520" w:lineRule="exact"/>
      <w:jc w:val="left"/>
    </w:pPr>
    <w:rPr>
      <w:rFonts w:eastAsia="仿宋"/>
      <w:b/>
      <w:bCs/>
      <w:kern w:val="44"/>
      <w:sz w:val="32"/>
      <w:szCs w:val="32"/>
    </w:rPr>
  </w:style>
  <w:style w:type="paragraph" w:styleId="17">
    <w:name w:val="Body Text First Indent"/>
    <w:basedOn w:val="8"/>
    <w:link w:val="67"/>
    <w:qFormat/>
    <w:uiPriority w:val="99"/>
    <w:pPr>
      <w:widowControl/>
      <w:spacing w:line="520" w:lineRule="exact"/>
      <w:ind w:firstLine="420" w:firstLineChars="100"/>
      <w:jc w:val="left"/>
    </w:pPr>
    <w:rPr>
      <w:rFonts w:eastAsia="仿宋_GB2312"/>
      <w:kern w:val="0"/>
    </w:rPr>
  </w:style>
  <w:style w:type="paragraph" w:styleId="18">
    <w:name w:val="Body Text First Indent 2"/>
    <w:basedOn w:val="9"/>
    <w:link w:val="116"/>
    <w:qFormat/>
    <w:uiPriority w:val="0"/>
    <w:pPr>
      <w:spacing w:after="120" w:line="460" w:lineRule="exact"/>
      <w:ind w:left="420" w:leftChars="200" w:firstLine="420" w:firstLineChars="200"/>
      <w:jc w:val="left"/>
    </w:pPr>
    <w:rPr>
      <w:rFonts w:ascii="Times New Roman" w:hAnsi="宋体" w:eastAsia="宋体"/>
      <w:kern w:val="0"/>
      <w:sz w:val="24"/>
    </w:rPr>
  </w:style>
  <w:style w:type="table" w:styleId="20">
    <w:name w:val="Table Grid"/>
    <w:basedOn w:val="1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99"/>
    <w:rPr>
      <w:rFonts w:cs="Times New Roman"/>
    </w:rPr>
  </w:style>
  <w:style w:type="character" w:styleId="23">
    <w:name w:val="FollowedHyperlink"/>
    <w:qFormat/>
    <w:uiPriority w:val="99"/>
    <w:rPr>
      <w:color w:val="800080"/>
      <w:u w:val="single"/>
    </w:rPr>
  </w:style>
  <w:style w:type="character" w:customStyle="1" w:styleId="24">
    <w:name w:val="标题 1 Char"/>
    <w:basedOn w:val="21"/>
    <w:link w:val="2"/>
    <w:qFormat/>
    <w:locked/>
    <w:uiPriority w:val="99"/>
    <w:rPr>
      <w:rFonts w:ascii="仿宋" w:hAnsi="宋体" w:eastAsia="仿宋" w:cs="Times New Roman"/>
      <w:b/>
      <w:bCs/>
      <w:kern w:val="44"/>
      <w:sz w:val="44"/>
      <w:szCs w:val="44"/>
    </w:rPr>
  </w:style>
  <w:style w:type="character" w:customStyle="1" w:styleId="25">
    <w:name w:val="标题 3 Char"/>
    <w:basedOn w:val="21"/>
    <w:link w:val="3"/>
    <w:qFormat/>
    <w:locked/>
    <w:uiPriority w:val="99"/>
    <w:rPr>
      <w:rFonts w:cs="Times New Roman"/>
      <w:b/>
      <w:bCs/>
      <w:kern w:val="2"/>
      <w:sz w:val="32"/>
      <w:szCs w:val="32"/>
    </w:rPr>
  </w:style>
  <w:style w:type="character" w:customStyle="1" w:styleId="26">
    <w:name w:val="Header Char"/>
    <w:qFormat/>
    <w:locked/>
    <w:uiPriority w:val="99"/>
    <w:rPr>
      <w:kern w:val="2"/>
      <w:sz w:val="18"/>
    </w:rPr>
  </w:style>
  <w:style w:type="character" w:customStyle="1" w:styleId="27">
    <w:name w:val="Footer Char"/>
    <w:qFormat/>
    <w:locked/>
    <w:uiPriority w:val="99"/>
    <w:rPr>
      <w:kern w:val="2"/>
      <w:sz w:val="18"/>
    </w:rPr>
  </w:style>
  <w:style w:type="character" w:customStyle="1" w:styleId="28">
    <w:name w:val="正文文字110 Char Char"/>
    <w:link w:val="29"/>
    <w:qFormat/>
    <w:locked/>
    <w:uiPriority w:val="99"/>
    <w:rPr>
      <w:kern w:val="2"/>
      <w:sz w:val="24"/>
    </w:rPr>
  </w:style>
  <w:style w:type="paragraph" w:customStyle="1" w:styleId="29">
    <w:name w:val="正文文字110"/>
    <w:basedOn w:val="1"/>
    <w:link w:val="28"/>
    <w:qFormat/>
    <w:uiPriority w:val="99"/>
    <w:pPr>
      <w:spacing w:line="460" w:lineRule="exact"/>
      <w:ind w:firstLine="200" w:firstLineChars="200"/>
    </w:pPr>
    <w:rPr>
      <w:sz w:val="24"/>
      <w:szCs w:val="20"/>
    </w:rPr>
  </w:style>
  <w:style w:type="character" w:customStyle="1" w:styleId="30">
    <w:name w:val="样式 样式 报告书正文 + 首行缩进:  2 字符 + 蓝色 Char"/>
    <w:link w:val="31"/>
    <w:qFormat/>
    <w:locked/>
    <w:uiPriority w:val="99"/>
    <w:rPr>
      <w:color w:val="0000FF"/>
      <w:kern w:val="2"/>
      <w:sz w:val="24"/>
    </w:rPr>
  </w:style>
  <w:style w:type="paragraph" w:customStyle="1" w:styleId="31">
    <w:name w:val="样式 样式 报告书正文 + 首行缩进:  2 字符 + 蓝色"/>
    <w:basedOn w:val="1"/>
    <w:link w:val="30"/>
    <w:qFormat/>
    <w:uiPriority w:val="99"/>
    <w:pPr>
      <w:widowControl/>
      <w:adjustRightInd w:val="0"/>
      <w:jc w:val="left"/>
      <w:textAlignment w:val="baseline"/>
    </w:pPr>
    <w:rPr>
      <w:color w:val="0000FF"/>
      <w:sz w:val="24"/>
      <w:szCs w:val="20"/>
    </w:rPr>
  </w:style>
  <w:style w:type="character" w:customStyle="1" w:styleId="32">
    <w:name w:val="Body Text Char"/>
    <w:qFormat/>
    <w:locked/>
    <w:uiPriority w:val="99"/>
    <w:rPr>
      <w:kern w:val="2"/>
      <w:sz w:val="24"/>
    </w:rPr>
  </w:style>
  <w:style w:type="character" w:customStyle="1" w:styleId="33">
    <w:name w:val="正文文本 Char"/>
    <w:basedOn w:val="21"/>
    <w:link w:val="8"/>
    <w:semiHidden/>
    <w:qFormat/>
    <w:locked/>
    <w:uiPriority w:val="99"/>
    <w:rPr>
      <w:rFonts w:cs="Times New Roman"/>
      <w:sz w:val="24"/>
      <w:szCs w:val="24"/>
    </w:rPr>
  </w:style>
  <w:style w:type="character" w:customStyle="1" w:styleId="34">
    <w:name w:val="页眉 Char"/>
    <w:basedOn w:val="21"/>
    <w:link w:val="14"/>
    <w:semiHidden/>
    <w:qFormat/>
    <w:locked/>
    <w:uiPriority w:val="99"/>
    <w:rPr>
      <w:rFonts w:cs="Times New Roman"/>
      <w:sz w:val="18"/>
      <w:szCs w:val="18"/>
    </w:rPr>
  </w:style>
  <w:style w:type="character" w:customStyle="1" w:styleId="35">
    <w:name w:val="正文文本缩进 2 Char"/>
    <w:basedOn w:val="21"/>
    <w:link w:val="11"/>
    <w:semiHidden/>
    <w:qFormat/>
    <w:locked/>
    <w:uiPriority w:val="99"/>
    <w:rPr>
      <w:rFonts w:cs="Times New Roman"/>
      <w:sz w:val="24"/>
      <w:szCs w:val="24"/>
    </w:rPr>
  </w:style>
  <w:style w:type="character" w:customStyle="1" w:styleId="36">
    <w:name w:val="页脚 Char"/>
    <w:basedOn w:val="21"/>
    <w:link w:val="13"/>
    <w:qFormat/>
    <w:locked/>
    <w:uiPriority w:val="0"/>
    <w:rPr>
      <w:rFonts w:cs="Times New Roman"/>
      <w:sz w:val="18"/>
      <w:szCs w:val="18"/>
    </w:rPr>
  </w:style>
  <w:style w:type="character" w:customStyle="1" w:styleId="37">
    <w:name w:val="日期 Char"/>
    <w:basedOn w:val="21"/>
    <w:link w:val="10"/>
    <w:semiHidden/>
    <w:qFormat/>
    <w:locked/>
    <w:uiPriority w:val="99"/>
    <w:rPr>
      <w:rFonts w:cs="Times New Roman"/>
      <w:sz w:val="24"/>
      <w:szCs w:val="24"/>
    </w:rPr>
  </w:style>
  <w:style w:type="character" w:customStyle="1" w:styleId="38">
    <w:name w:val="批注框文本 Char"/>
    <w:basedOn w:val="21"/>
    <w:link w:val="12"/>
    <w:semiHidden/>
    <w:qFormat/>
    <w:locked/>
    <w:uiPriority w:val="99"/>
    <w:rPr>
      <w:rFonts w:cs="Times New Roman"/>
      <w:sz w:val="2"/>
    </w:rPr>
  </w:style>
  <w:style w:type="character" w:customStyle="1" w:styleId="39">
    <w:name w:val="正文文本缩进 Char"/>
    <w:basedOn w:val="21"/>
    <w:link w:val="9"/>
    <w:semiHidden/>
    <w:qFormat/>
    <w:locked/>
    <w:uiPriority w:val="99"/>
    <w:rPr>
      <w:rFonts w:cs="Times New Roman"/>
      <w:sz w:val="24"/>
      <w:szCs w:val="24"/>
    </w:rPr>
  </w:style>
  <w:style w:type="character" w:customStyle="1" w:styleId="40">
    <w:name w:val="正文文本缩进 3 Char"/>
    <w:basedOn w:val="21"/>
    <w:link w:val="15"/>
    <w:semiHidden/>
    <w:qFormat/>
    <w:locked/>
    <w:uiPriority w:val="99"/>
    <w:rPr>
      <w:rFonts w:cs="Times New Roman"/>
      <w:sz w:val="16"/>
      <w:szCs w:val="16"/>
    </w:rPr>
  </w:style>
  <w:style w:type="paragraph" w:customStyle="1" w:styleId="41">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42">
    <w:name w:val="gg_body"/>
    <w:basedOn w:val="1"/>
    <w:qFormat/>
    <w:uiPriority w:val="99"/>
    <w:pPr>
      <w:spacing w:line="460" w:lineRule="exact"/>
      <w:ind w:firstLine="200" w:firstLineChars="200"/>
    </w:pPr>
    <w:rPr>
      <w:rFonts w:ascii="宋体" w:hAnsi="宋体"/>
      <w:sz w:val="24"/>
      <w:u w:color="000000"/>
    </w:rPr>
  </w:style>
  <w:style w:type="paragraph" w:customStyle="1" w:styleId="43">
    <w:name w:val="表格1"/>
    <w:basedOn w:val="1"/>
    <w:qFormat/>
    <w:uiPriority w:val="99"/>
    <w:pPr>
      <w:adjustRightInd w:val="0"/>
      <w:spacing w:line="20" w:lineRule="atLeast"/>
      <w:jc w:val="center"/>
    </w:pPr>
    <w:rPr>
      <w:rFonts w:ascii="宋体"/>
      <w:kern w:val="0"/>
      <w:szCs w:val="21"/>
    </w:rPr>
  </w:style>
  <w:style w:type="paragraph" w:customStyle="1" w:styleId="44">
    <w:name w:val="Char"/>
    <w:basedOn w:val="1"/>
    <w:qFormat/>
    <w:uiPriority w:val="99"/>
  </w:style>
  <w:style w:type="paragraph" w:customStyle="1" w:styleId="45">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46">
    <w:name w:val="font21"/>
    <w:basedOn w:val="21"/>
    <w:qFormat/>
    <w:uiPriority w:val="99"/>
    <w:rPr>
      <w:rFonts w:ascii="宋体" w:hAnsi="宋体" w:eastAsia="宋体" w:cs="宋体"/>
      <w:color w:val="000000"/>
      <w:sz w:val="21"/>
      <w:szCs w:val="21"/>
      <w:u w:val="none"/>
    </w:rPr>
  </w:style>
  <w:style w:type="character" w:customStyle="1" w:styleId="47">
    <w:name w:val="font31"/>
    <w:basedOn w:val="21"/>
    <w:qFormat/>
    <w:uiPriority w:val="99"/>
    <w:rPr>
      <w:rFonts w:ascii="Times New Roman" w:hAnsi="Times New Roman" w:cs="Times New Roman"/>
      <w:color w:val="000000"/>
      <w:sz w:val="21"/>
      <w:szCs w:val="21"/>
      <w:u w:val="none"/>
    </w:rPr>
  </w:style>
  <w:style w:type="character" w:customStyle="1" w:styleId="48">
    <w:name w:val="font11"/>
    <w:basedOn w:val="21"/>
    <w:qFormat/>
    <w:uiPriority w:val="99"/>
    <w:rPr>
      <w:rFonts w:ascii="Times New Roman" w:hAnsi="Times New Roman" w:cs="Times New Roman"/>
      <w:color w:val="000000"/>
      <w:sz w:val="21"/>
      <w:szCs w:val="21"/>
      <w:u w:val="none"/>
      <w:vertAlign w:val="superscript"/>
    </w:rPr>
  </w:style>
  <w:style w:type="character" w:customStyle="1" w:styleId="49">
    <w:name w:val="表标题样式 Char"/>
    <w:link w:val="50"/>
    <w:qFormat/>
    <w:locked/>
    <w:uiPriority w:val="99"/>
    <w:rPr>
      <w:rFonts w:ascii="宋体"/>
      <w:b/>
      <w:kern w:val="2"/>
      <w:sz w:val="22"/>
    </w:rPr>
  </w:style>
  <w:style w:type="paragraph" w:customStyle="1" w:styleId="50">
    <w:name w:val="表标题样式"/>
    <w:basedOn w:val="1"/>
    <w:link w:val="49"/>
    <w:qFormat/>
    <w:uiPriority w:val="99"/>
    <w:pPr>
      <w:spacing w:line="520" w:lineRule="exact"/>
    </w:pPr>
    <w:rPr>
      <w:rFonts w:ascii="宋体"/>
      <w:b/>
      <w:sz w:val="22"/>
      <w:szCs w:val="20"/>
    </w:rPr>
  </w:style>
  <w:style w:type="character" w:customStyle="1" w:styleId="51">
    <w:name w:val="表格 Char"/>
    <w:link w:val="52"/>
    <w:qFormat/>
    <w:locked/>
    <w:uiPriority w:val="0"/>
    <w:rPr>
      <w:kern w:val="2"/>
      <w:sz w:val="21"/>
    </w:rPr>
  </w:style>
  <w:style w:type="paragraph" w:customStyle="1" w:styleId="52">
    <w:name w:val="表格"/>
    <w:basedOn w:val="1"/>
    <w:link w:val="51"/>
    <w:qFormat/>
    <w:uiPriority w:val="0"/>
    <w:pPr>
      <w:framePr w:wrap="around" w:vAnchor="text" w:hAnchor="text" w:y="1"/>
      <w:spacing w:line="240" w:lineRule="atLeast"/>
      <w:jc w:val="center"/>
    </w:pPr>
    <w:rPr>
      <w:szCs w:val="20"/>
    </w:rPr>
  </w:style>
  <w:style w:type="paragraph" w:customStyle="1" w:styleId="53">
    <w:name w:val="表格文本"/>
    <w:next w:val="1"/>
    <w:link w:val="88"/>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customStyle="1" w:styleId="54">
    <w:name w:val="图表名称"/>
    <w:basedOn w:val="16"/>
    <w:link w:val="87"/>
    <w:qFormat/>
    <w:uiPriority w:val="0"/>
    <w:pPr>
      <w:jc w:val="center"/>
    </w:pPr>
    <w:rPr>
      <w:rFonts w:eastAsia="黑体"/>
      <w:sz w:val="24"/>
    </w:rPr>
  </w:style>
  <w:style w:type="character" w:customStyle="1" w:styleId="55">
    <w:name w:val="正文首行缩进2 Char Char"/>
    <w:basedOn w:val="21"/>
    <w:link w:val="56"/>
    <w:qFormat/>
    <w:locked/>
    <w:uiPriority w:val="0"/>
    <w:rPr>
      <w:rFonts w:ascii="宋体" w:eastAsia="宋体" w:cs="Times New Roman"/>
      <w:spacing w:val="6"/>
      <w:sz w:val="24"/>
      <w:szCs w:val="24"/>
    </w:rPr>
  </w:style>
  <w:style w:type="paragraph" w:customStyle="1" w:styleId="56">
    <w:name w:val="正文首行缩进2"/>
    <w:basedOn w:val="1"/>
    <w:next w:val="1"/>
    <w:link w:val="55"/>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57">
    <w:name w:val="Title Char"/>
    <w:qFormat/>
    <w:locked/>
    <w:uiPriority w:val="99"/>
    <w:rPr>
      <w:rFonts w:eastAsia="仿宋"/>
      <w:b/>
      <w:kern w:val="44"/>
      <w:sz w:val="32"/>
    </w:rPr>
  </w:style>
  <w:style w:type="character" w:customStyle="1" w:styleId="58">
    <w:name w:val="表格标题 Char"/>
    <w:basedOn w:val="21"/>
    <w:link w:val="59"/>
    <w:qFormat/>
    <w:locked/>
    <w:uiPriority w:val="0"/>
    <w:rPr>
      <w:rFonts w:eastAsia="仿宋_GB2312" w:cs="Times New Roman"/>
      <w:sz w:val="24"/>
      <w:szCs w:val="24"/>
      <w:lang w:val="en-US" w:eastAsia="zh-CN" w:bidi="ar-SA"/>
    </w:rPr>
  </w:style>
  <w:style w:type="paragraph" w:customStyle="1" w:styleId="59">
    <w:name w:val="表格标题"/>
    <w:link w:val="58"/>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60">
    <w:name w:val="Body Text First Indent Char"/>
    <w:qFormat/>
    <w:locked/>
    <w:uiPriority w:val="99"/>
    <w:rPr>
      <w:rFonts w:eastAsia="仿宋_GB2312"/>
      <w:sz w:val="24"/>
    </w:rPr>
  </w:style>
  <w:style w:type="character" w:customStyle="1" w:styleId="61">
    <w:name w:val="表中文字 Char Char"/>
    <w:qFormat/>
    <w:uiPriority w:val="0"/>
    <w:rPr>
      <w:rFonts w:ascii="楷体_GB2312" w:eastAsia="楷体_GB2312"/>
      <w:sz w:val="24"/>
      <w:lang w:val="en-US" w:eastAsia="zh-CN"/>
    </w:rPr>
  </w:style>
  <w:style w:type="character" w:customStyle="1" w:styleId="62">
    <w:name w:val="标题3 Char Char"/>
    <w:basedOn w:val="21"/>
    <w:link w:val="63"/>
    <w:qFormat/>
    <w:locked/>
    <w:uiPriority w:val="99"/>
    <w:rPr>
      <w:rFonts w:ascii="宋体" w:eastAsia="宋体" w:cs="Times New Roman"/>
      <w:bCs/>
      <w:spacing w:val="8"/>
      <w:kern w:val="2"/>
      <w:sz w:val="24"/>
      <w:szCs w:val="24"/>
    </w:rPr>
  </w:style>
  <w:style w:type="paragraph" w:customStyle="1" w:styleId="63">
    <w:name w:val="标题3"/>
    <w:basedOn w:val="3"/>
    <w:link w:val="62"/>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64">
    <w:name w:val="Title Char1"/>
    <w:basedOn w:val="21"/>
    <w:link w:val="16"/>
    <w:qFormat/>
    <w:locked/>
    <w:uiPriority w:val="99"/>
    <w:rPr>
      <w:rFonts w:ascii="Cambria" w:hAnsi="Cambria" w:cs="Times New Roman"/>
      <w:b/>
      <w:bCs/>
      <w:sz w:val="32"/>
      <w:szCs w:val="32"/>
    </w:rPr>
  </w:style>
  <w:style w:type="character" w:customStyle="1" w:styleId="65">
    <w:name w:val="标题 Char"/>
    <w:basedOn w:val="21"/>
    <w:link w:val="16"/>
    <w:qFormat/>
    <w:locked/>
    <w:uiPriority w:val="99"/>
    <w:rPr>
      <w:rFonts w:ascii="Cambria" w:hAnsi="Cambria" w:cs="Times New Roman"/>
      <w:b/>
      <w:bCs/>
      <w:kern w:val="2"/>
      <w:sz w:val="32"/>
      <w:szCs w:val="32"/>
    </w:rPr>
  </w:style>
  <w:style w:type="character" w:customStyle="1" w:styleId="66">
    <w:name w:val="Body Text First Indent Char1"/>
    <w:basedOn w:val="32"/>
    <w:link w:val="17"/>
    <w:semiHidden/>
    <w:qFormat/>
    <w:locked/>
    <w:uiPriority w:val="99"/>
    <w:rPr>
      <w:rFonts w:cs="Times New Roman"/>
      <w:szCs w:val="24"/>
    </w:rPr>
  </w:style>
  <w:style w:type="character" w:customStyle="1" w:styleId="67">
    <w:name w:val="正文首行缩进 Char"/>
    <w:basedOn w:val="32"/>
    <w:link w:val="17"/>
    <w:qFormat/>
    <w:locked/>
    <w:uiPriority w:val="99"/>
    <w:rPr>
      <w:rFonts w:cs="Times New Roman"/>
      <w:szCs w:val="24"/>
    </w:rPr>
  </w:style>
  <w:style w:type="paragraph" w:customStyle="1" w:styleId="68">
    <w:name w:val="默认段落字体 Para Char Char Char Char Char Char Char Char Char Char"/>
    <w:basedOn w:val="1"/>
    <w:qFormat/>
    <w:uiPriority w:val="99"/>
    <w:rPr>
      <w:rFonts w:ascii="Arial" w:hAnsi="Arial" w:cs="Arial"/>
      <w:sz w:val="20"/>
      <w:szCs w:val="20"/>
    </w:rPr>
  </w:style>
  <w:style w:type="paragraph" w:customStyle="1" w:styleId="69">
    <w:name w:val="表头编号"/>
    <w:basedOn w:val="54"/>
    <w:next w:val="53"/>
    <w:qFormat/>
    <w:uiPriority w:val="99"/>
    <w:pPr>
      <w:adjustRightInd w:val="0"/>
      <w:snapToGrid w:val="0"/>
      <w:ind w:firstLine="482"/>
      <w:jc w:val="left"/>
    </w:pPr>
  </w:style>
  <w:style w:type="paragraph" w:customStyle="1" w:styleId="70">
    <w:name w:val="List Paragraph1"/>
    <w:basedOn w:val="1"/>
    <w:qFormat/>
    <w:uiPriority w:val="99"/>
    <w:pPr>
      <w:ind w:firstLine="420" w:firstLineChars="200"/>
    </w:pPr>
    <w:rPr>
      <w:rFonts w:ascii="Calibri" w:hAnsi="Calibri"/>
      <w:szCs w:val="22"/>
    </w:rPr>
  </w:style>
  <w:style w:type="paragraph" w:customStyle="1" w:styleId="71">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72">
    <w:name w:val="样式 样式 (符号) 宋体 四号 + 首行缩进:  2 字符"/>
    <w:basedOn w:val="1"/>
    <w:qFormat/>
    <w:uiPriority w:val="99"/>
    <w:pPr>
      <w:ind w:firstLine="480"/>
    </w:pPr>
    <w:rPr>
      <w:rFonts w:hAnsi="仿宋_GB2312" w:cs="仿宋_GB2312"/>
      <w:sz w:val="24"/>
      <w:szCs w:val="20"/>
    </w:rPr>
  </w:style>
  <w:style w:type="paragraph" w:customStyle="1" w:styleId="73">
    <w:name w:val="表头样式"/>
    <w:basedOn w:val="54"/>
    <w:qFormat/>
    <w:uiPriority w:val="99"/>
    <w:pPr>
      <w:jc w:val="left"/>
    </w:pPr>
    <w:rPr>
      <w:rFonts w:eastAsia="宋体"/>
      <w:szCs w:val="21"/>
    </w:rPr>
  </w:style>
  <w:style w:type="paragraph" w:customStyle="1" w:styleId="74">
    <w:name w:val="报告文本"/>
    <w:basedOn w:val="1"/>
    <w:qFormat/>
    <w:uiPriority w:val="99"/>
    <w:pPr>
      <w:spacing w:line="440" w:lineRule="exact"/>
    </w:pPr>
    <w:rPr>
      <w:szCs w:val="22"/>
    </w:rPr>
  </w:style>
  <w:style w:type="paragraph" w:customStyle="1" w:styleId="75">
    <w:name w:val="！！正文"/>
    <w:basedOn w:val="76"/>
    <w:qFormat/>
    <w:uiPriority w:val="0"/>
    <w:pPr>
      <w:autoSpaceDE w:val="0"/>
      <w:spacing w:line="480" w:lineRule="exact"/>
      <w:ind w:firstLine="200" w:firstLineChars="200"/>
      <w:jc w:val="both"/>
      <w:textAlignment w:val="center"/>
    </w:pPr>
  </w:style>
  <w:style w:type="paragraph" w:styleId="76">
    <w:name w:val="No Spacing"/>
    <w:qFormat/>
    <w:uiPriority w:val="1"/>
    <w:rPr>
      <w:rFonts w:ascii="Times New Roman" w:hAnsi="Times New Roman" w:eastAsia="宋体" w:cs="Times New Roman"/>
      <w:sz w:val="24"/>
      <w:szCs w:val="22"/>
      <w:lang w:val="en-US" w:eastAsia="zh-CN" w:bidi="ar-SA"/>
    </w:rPr>
  </w:style>
  <w:style w:type="paragraph" w:customStyle="1" w:styleId="77">
    <w:name w:val="B二级标题"/>
    <w:basedOn w:val="76"/>
    <w:qFormat/>
    <w:uiPriority w:val="0"/>
    <w:pPr>
      <w:spacing w:line="480" w:lineRule="exact"/>
      <w:outlineLvl w:val="1"/>
    </w:pPr>
    <w:rPr>
      <w:b/>
      <w:sz w:val="30"/>
    </w:rPr>
  </w:style>
  <w:style w:type="paragraph" w:customStyle="1" w:styleId="78">
    <w:name w:val="C三级标题"/>
    <w:basedOn w:val="76"/>
    <w:qFormat/>
    <w:uiPriority w:val="0"/>
    <w:pPr>
      <w:spacing w:line="520" w:lineRule="exact"/>
      <w:outlineLvl w:val="2"/>
    </w:pPr>
    <w:rPr>
      <w:b/>
      <w:sz w:val="28"/>
    </w:rPr>
  </w:style>
  <w:style w:type="paragraph" w:customStyle="1" w:styleId="79">
    <w:name w:val="！四级标题"/>
    <w:basedOn w:val="76"/>
    <w:qFormat/>
    <w:uiPriority w:val="0"/>
    <w:pPr>
      <w:spacing w:line="520" w:lineRule="exact"/>
      <w:outlineLvl w:val="3"/>
    </w:pPr>
    <w:rPr>
      <w:b/>
    </w:rPr>
  </w:style>
  <w:style w:type="paragraph" w:customStyle="1" w:styleId="80">
    <w:name w:val="！表头"/>
    <w:basedOn w:val="76"/>
    <w:qFormat/>
    <w:uiPriority w:val="0"/>
    <w:pPr>
      <w:jc w:val="center"/>
    </w:pPr>
    <w:rPr>
      <w:b/>
    </w:rPr>
  </w:style>
  <w:style w:type="paragraph" w:customStyle="1" w:styleId="81">
    <w:name w:val="！表格字体"/>
    <w:basedOn w:val="76"/>
    <w:qFormat/>
    <w:uiPriority w:val="0"/>
    <w:pPr>
      <w:snapToGrid w:val="0"/>
      <w:spacing w:line="240" w:lineRule="atLeast"/>
    </w:pPr>
    <w:rPr>
      <w:sz w:val="21"/>
    </w:rPr>
  </w:style>
  <w:style w:type="paragraph" w:customStyle="1" w:styleId="82">
    <w:name w:val="！三级标题"/>
    <w:basedOn w:val="76"/>
    <w:qFormat/>
    <w:uiPriority w:val="0"/>
    <w:pPr>
      <w:spacing w:line="415" w:lineRule="auto"/>
      <w:outlineLvl w:val="2"/>
    </w:pPr>
    <w:rPr>
      <w:b/>
      <w:sz w:val="28"/>
    </w:rPr>
  </w:style>
  <w:style w:type="character" w:customStyle="1" w:styleId="83">
    <w:name w:val="表格标题-w Char"/>
    <w:link w:val="84"/>
    <w:qFormat/>
    <w:uiPriority w:val="0"/>
    <w:rPr>
      <w:b/>
      <w:kern w:val="2"/>
      <w:sz w:val="24"/>
    </w:rPr>
  </w:style>
  <w:style w:type="paragraph" w:customStyle="1" w:styleId="84">
    <w:name w:val="表格标题-w"/>
    <w:basedOn w:val="1"/>
    <w:next w:val="1"/>
    <w:link w:val="83"/>
    <w:qFormat/>
    <w:uiPriority w:val="0"/>
    <w:pPr>
      <w:spacing w:line="480" w:lineRule="exact"/>
    </w:pPr>
    <w:rPr>
      <w:b/>
      <w:sz w:val="24"/>
      <w:szCs w:val="20"/>
    </w:rPr>
  </w:style>
  <w:style w:type="character" w:customStyle="1" w:styleId="85">
    <w:name w:val="表格内文字-w Char"/>
    <w:link w:val="86"/>
    <w:qFormat/>
    <w:uiPriority w:val="0"/>
    <w:rPr>
      <w:kern w:val="2"/>
      <w:sz w:val="21"/>
    </w:rPr>
  </w:style>
  <w:style w:type="paragraph" w:customStyle="1" w:styleId="86">
    <w:name w:val="表格内文字-w"/>
    <w:basedOn w:val="1"/>
    <w:link w:val="85"/>
    <w:qFormat/>
    <w:uiPriority w:val="0"/>
    <w:pPr>
      <w:spacing w:line="240" w:lineRule="atLeast"/>
      <w:jc w:val="center"/>
    </w:pPr>
    <w:rPr>
      <w:szCs w:val="20"/>
    </w:rPr>
  </w:style>
  <w:style w:type="character" w:customStyle="1" w:styleId="87">
    <w:name w:val="图表名称 Char"/>
    <w:basedOn w:val="65"/>
    <w:link w:val="54"/>
    <w:qFormat/>
    <w:uiPriority w:val="0"/>
    <w:rPr>
      <w:rFonts w:eastAsia="黑体"/>
      <w:kern w:val="44"/>
      <w:sz w:val="24"/>
    </w:rPr>
  </w:style>
  <w:style w:type="character" w:customStyle="1" w:styleId="88">
    <w:name w:val="表格文本 Char"/>
    <w:link w:val="53"/>
    <w:qFormat/>
    <w:uiPriority w:val="0"/>
    <w:rPr>
      <w:rFonts w:eastAsia="仿宋"/>
      <w:color w:val="000000"/>
      <w:kern w:val="21"/>
      <w:sz w:val="24"/>
      <w:szCs w:val="21"/>
    </w:rPr>
  </w:style>
  <w:style w:type="character" w:customStyle="1" w:styleId="89">
    <w:name w:val="表格文字 Char"/>
    <w:link w:val="90"/>
    <w:qFormat/>
    <w:uiPriority w:val="0"/>
    <w:rPr>
      <w:rFonts w:ascii="宋体"/>
      <w:kern w:val="21"/>
      <w:sz w:val="21"/>
    </w:rPr>
  </w:style>
  <w:style w:type="paragraph" w:customStyle="1" w:styleId="90">
    <w:name w:val="表格文字"/>
    <w:basedOn w:val="1"/>
    <w:link w:val="89"/>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91">
    <w:name w:val="表头 Char1"/>
    <w:basedOn w:val="21"/>
    <w:qFormat/>
    <w:uiPriority w:val="99"/>
    <w:rPr>
      <w:rFonts w:ascii="仿宋_GB2312" w:hAnsi="宋体" w:eastAsia="宋体" w:cs="仿宋_GB2312"/>
      <w:b/>
      <w:bCs/>
      <w:spacing w:val="-12"/>
      <w:position w:val="-18"/>
      <w:sz w:val="21"/>
      <w:szCs w:val="21"/>
      <w:lang w:val="en-US" w:eastAsia="zh-CN"/>
    </w:rPr>
  </w:style>
  <w:style w:type="paragraph" w:styleId="92">
    <w:name w:val="List Paragraph"/>
    <w:basedOn w:val="1"/>
    <w:unhideWhenUsed/>
    <w:qFormat/>
    <w:uiPriority w:val="1"/>
    <w:pPr>
      <w:ind w:firstLine="420" w:firstLineChars="200"/>
    </w:pPr>
  </w:style>
  <w:style w:type="character" w:customStyle="1" w:styleId="93">
    <w:name w:val="Char Char Char Char Char1"/>
    <w:link w:val="94"/>
    <w:qFormat/>
    <w:uiPriority w:val="0"/>
    <w:rPr>
      <w:rFonts w:ascii="宋体" w:hAnsi="宋体" w:cs="宋体"/>
      <w:kern w:val="2"/>
      <w:sz w:val="24"/>
      <w:szCs w:val="24"/>
    </w:rPr>
  </w:style>
  <w:style w:type="paragraph" w:customStyle="1" w:styleId="94">
    <w:name w:val="Char Char Char Char"/>
    <w:basedOn w:val="1"/>
    <w:link w:val="93"/>
    <w:qFormat/>
    <w:uiPriority w:val="0"/>
    <w:pPr>
      <w:spacing w:line="360" w:lineRule="auto"/>
      <w:ind w:firstLine="200" w:firstLineChars="200"/>
    </w:pPr>
    <w:rPr>
      <w:rFonts w:ascii="宋体" w:hAnsi="宋体" w:cs="宋体"/>
      <w:sz w:val="24"/>
    </w:rPr>
  </w:style>
  <w:style w:type="character" w:customStyle="1" w:styleId="95">
    <w:name w:val="表头文字小 Char"/>
    <w:link w:val="96"/>
    <w:qFormat/>
    <w:uiPriority w:val="0"/>
    <w:rPr>
      <w:rFonts w:ascii="宋体" w:hAnsi="宋体"/>
      <w:color w:val="000000"/>
      <w:spacing w:val="6"/>
      <w:kern w:val="2"/>
      <w:sz w:val="18"/>
      <w:szCs w:val="21"/>
    </w:rPr>
  </w:style>
  <w:style w:type="paragraph" w:customStyle="1" w:styleId="96">
    <w:name w:val="表头文字小"/>
    <w:basedOn w:val="1"/>
    <w:link w:val="95"/>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97">
    <w:name w:val="样式 xns表格 + 行距: 最小值 0 磅"/>
    <w:basedOn w:val="1"/>
    <w:qFormat/>
    <w:uiPriority w:val="0"/>
    <w:pPr>
      <w:spacing w:line="0" w:lineRule="atLeast"/>
      <w:jc w:val="center"/>
    </w:pPr>
    <w:rPr>
      <w:rFonts w:ascii="宋体" w:eastAsia="仿宋_GB2312" w:cs="宋体"/>
      <w:color w:val="FF00FF"/>
      <w:szCs w:val="20"/>
    </w:rPr>
  </w:style>
  <w:style w:type="paragraph" w:customStyle="1" w:styleId="98">
    <w:name w:val="样式 样式 正文首行缩进 + 首行缩进:  1 字符 + 宋体"/>
    <w:basedOn w:val="1"/>
    <w:qFormat/>
    <w:uiPriority w:val="0"/>
    <w:pPr>
      <w:ind w:firstLine="480" w:firstLineChars="200"/>
      <w:jc w:val="left"/>
    </w:pPr>
    <w:rPr>
      <w:rFonts w:ascii="宋体"/>
      <w:color w:val="0000FF"/>
    </w:rPr>
  </w:style>
  <w:style w:type="paragraph" w:customStyle="1" w:styleId="99">
    <w:name w:val="08表格-20"/>
    <w:basedOn w:val="1"/>
    <w:next w:val="1"/>
    <w:qFormat/>
    <w:uiPriority w:val="8"/>
    <w:pPr>
      <w:spacing w:line="240" w:lineRule="exact"/>
      <w:jc w:val="center"/>
    </w:pPr>
    <w:rPr>
      <w:rFonts w:ascii="宋体" w:hAnsi="宋体"/>
      <w:szCs w:val="20"/>
    </w:rPr>
  </w:style>
  <w:style w:type="character" w:customStyle="1" w:styleId="100">
    <w:name w:val="JJ表内 字符"/>
    <w:link w:val="101"/>
    <w:qFormat/>
    <w:uiPriority w:val="0"/>
    <w:rPr>
      <w:rFonts w:eastAsia="仿宋_GB2312"/>
      <w:kern w:val="2"/>
      <w:sz w:val="21"/>
      <w:szCs w:val="22"/>
    </w:rPr>
  </w:style>
  <w:style w:type="paragraph" w:customStyle="1" w:styleId="101">
    <w:name w:val="JJ表内"/>
    <w:basedOn w:val="1"/>
    <w:link w:val="100"/>
    <w:qFormat/>
    <w:uiPriority w:val="0"/>
    <w:pPr>
      <w:spacing w:line="0" w:lineRule="atLeast"/>
      <w:jc w:val="center"/>
    </w:pPr>
    <w:rPr>
      <w:rFonts w:eastAsia="仿宋_GB2312"/>
      <w:szCs w:val="22"/>
    </w:rPr>
  </w:style>
  <w:style w:type="paragraph" w:customStyle="1" w:styleId="102">
    <w:name w:val="样式2"/>
    <w:basedOn w:val="1"/>
    <w:qFormat/>
    <w:uiPriority w:val="0"/>
    <w:pPr>
      <w:autoSpaceDE w:val="0"/>
      <w:autoSpaceDN w:val="0"/>
      <w:adjustRightInd w:val="0"/>
      <w:spacing w:afterLines="50"/>
      <w:jc w:val="center"/>
    </w:pPr>
    <w:rPr>
      <w:rFonts w:ascii="宋体"/>
      <w:kern w:val="0"/>
      <w:sz w:val="24"/>
    </w:rPr>
  </w:style>
  <w:style w:type="character" w:customStyle="1" w:styleId="103">
    <w:name w:val="标准样式 Char1"/>
    <w:link w:val="104"/>
    <w:qFormat/>
    <w:uiPriority w:val="0"/>
    <w:rPr>
      <w:rFonts w:ascii="Calibri" w:hAnsi="Calibri"/>
      <w:kern w:val="2"/>
      <w:sz w:val="28"/>
    </w:rPr>
  </w:style>
  <w:style w:type="paragraph" w:customStyle="1" w:styleId="104">
    <w:name w:val="标准样式"/>
    <w:basedOn w:val="1"/>
    <w:link w:val="103"/>
    <w:qFormat/>
    <w:uiPriority w:val="0"/>
    <w:pPr>
      <w:spacing w:line="600" w:lineRule="exact"/>
      <w:ind w:firstLine="567"/>
    </w:pPr>
    <w:rPr>
      <w:rFonts w:ascii="Calibri" w:hAnsi="Calibri"/>
      <w:sz w:val="28"/>
      <w:szCs w:val="20"/>
    </w:rPr>
  </w:style>
  <w:style w:type="paragraph" w:customStyle="1" w:styleId="105">
    <w:name w:val="表名"/>
    <w:basedOn w:val="1"/>
    <w:qFormat/>
    <w:uiPriority w:val="0"/>
    <w:pPr>
      <w:jc w:val="center"/>
    </w:pPr>
    <w:rPr>
      <w:rFonts w:eastAsia="黑体"/>
      <w:szCs w:val="20"/>
    </w:rPr>
  </w:style>
  <w:style w:type="paragraph" w:customStyle="1" w:styleId="106">
    <w:name w:val="07表头"/>
    <w:basedOn w:val="1"/>
    <w:next w:val="1"/>
    <w:qFormat/>
    <w:uiPriority w:val="7"/>
    <w:pPr>
      <w:spacing w:line="500" w:lineRule="exact"/>
      <w:jc w:val="center"/>
    </w:pPr>
    <w:rPr>
      <w:rFonts w:eastAsia="仿宋_GB2312"/>
      <w:b/>
      <w:sz w:val="24"/>
      <w:szCs w:val="20"/>
    </w:rPr>
  </w:style>
  <w:style w:type="paragraph" w:customStyle="1" w:styleId="107">
    <w:name w:val="表头（水保用）"/>
    <w:basedOn w:val="1"/>
    <w:link w:val="108"/>
    <w:qFormat/>
    <w:uiPriority w:val="0"/>
    <w:pPr>
      <w:spacing w:line="400" w:lineRule="exact"/>
      <w:jc w:val="center"/>
    </w:pPr>
    <w:rPr>
      <w:rFonts w:eastAsia="仿宋_GB2312" w:cstheme="minorBidi"/>
      <w:b/>
      <w:szCs w:val="22"/>
    </w:rPr>
  </w:style>
  <w:style w:type="character" w:customStyle="1" w:styleId="108">
    <w:name w:val="表头（水保用） 字符"/>
    <w:basedOn w:val="21"/>
    <w:link w:val="107"/>
    <w:qFormat/>
    <w:uiPriority w:val="0"/>
    <w:rPr>
      <w:rFonts w:eastAsia="仿宋_GB2312" w:cstheme="minorBidi"/>
      <w:b/>
      <w:kern w:val="2"/>
      <w:sz w:val="21"/>
      <w:szCs w:val="22"/>
    </w:rPr>
  </w:style>
  <w:style w:type="paragraph" w:customStyle="1" w:styleId="109">
    <w:name w:val="表格内容格式"/>
    <w:basedOn w:val="1"/>
    <w:qFormat/>
    <w:uiPriority w:val="0"/>
    <w:pPr>
      <w:snapToGrid w:val="0"/>
      <w:spacing w:line="360" w:lineRule="auto"/>
      <w:jc w:val="center"/>
    </w:pPr>
    <w:rPr>
      <w:rFonts w:eastAsia="仿宋_GB2312"/>
      <w:color w:val="000000"/>
      <w:kern w:val="0"/>
      <w:sz w:val="20"/>
      <w:szCs w:val="21"/>
    </w:rPr>
  </w:style>
  <w:style w:type="paragraph" w:customStyle="1" w:styleId="110">
    <w:name w:val="样式 表格文字 + 宋体"/>
    <w:basedOn w:val="90"/>
    <w:qFormat/>
    <w:uiPriority w:val="0"/>
    <w:pPr>
      <w:widowControl/>
      <w:tabs>
        <w:tab w:val="left" w:pos="-24"/>
      </w:tabs>
      <w:adjustRightInd/>
      <w:spacing w:before="0" w:line="0" w:lineRule="atLeast"/>
      <w:ind w:firstLine="0" w:firstLineChars="0"/>
      <w:jc w:val="center"/>
    </w:pPr>
    <w:rPr>
      <w:rFonts w:hAnsi="宋体"/>
      <w:color w:val="000000"/>
      <w:kern w:val="0"/>
      <w:u w:color="000000"/>
    </w:rPr>
  </w:style>
  <w:style w:type="character" w:customStyle="1" w:styleId="111">
    <w:name w:val="表文 Char2"/>
    <w:link w:val="112"/>
    <w:qFormat/>
    <w:uiPriority w:val="0"/>
    <w:rPr>
      <w:rFonts w:eastAsia="仿宋_GB2312"/>
      <w:sz w:val="18"/>
    </w:rPr>
  </w:style>
  <w:style w:type="paragraph" w:customStyle="1" w:styleId="112">
    <w:name w:val="表文"/>
    <w:basedOn w:val="1"/>
    <w:link w:val="111"/>
    <w:qFormat/>
    <w:uiPriority w:val="0"/>
    <w:pPr>
      <w:autoSpaceDE w:val="0"/>
      <w:autoSpaceDN w:val="0"/>
      <w:adjustRightInd w:val="0"/>
      <w:jc w:val="center"/>
      <w:textAlignment w:val="baseline"/>
    </w:pPr>
    <w:rPr>
      <w:rFonts w:eastAsia="仿宋_GB2312"/>
      <w:kern w:val="0"/>
      <w:sz w:val="18"/>
      <w:szCs w:val="20"/>
    </w:rPr>
  </w:style>
  <w:style w:type="paragraph" w:customStyle="1" w:styleId="113">
    <w:name w:val="表名1"/>
    <w:basedOn w:val="1"/>
    <w:qFormat/>
    <w:uiPriority w:val="0"/>
    <w:pPr>
      <w:adjustRightInd w:val="0"/>
      <w:snapToGrid w:val="0"/>
      <w:spacing w:beforeLines="100"/>
      <w:jc w:val="center"/>
    </w:pPr>
    <w:rPr>
      <w:rFonts w:eastAsia="仿宋_GB2312"/>
      <w:b/>
      <w:snapToGrid w:val="0"/>
      <w:sz w:val="24"/>
      <w:szCs w:val="22"/>
    </w:rPr>
  </w:style>
  <w:style w:type="character" w:customStyle="1" w:styleId="114">
    <w:name w:val="表格内容 Char1"/>
    <w:link w:val="115"/>
    <w:qFormat/>
    <w:uiPriority w:val="0"/>
    <w:rPr>
      <w:rFonts w:eastAsia="仿宋_GB2312"/>
      <w:szCs w:val="21"/>
    </w:rPr>
  </w:style>
  <w:style w:type="paragraph" w:customStyle="1" w:styleId="115">
    <w:name w:val="表格内容"/>
    <w:next w:val="1"/>
    <w:link w:val="114"/>
    <w:qFormat/>
    <w:uiPriority w:val="0"/>
    <w:pPr>
      <w:adjustRightInd w:val="0"/>
      <w:jc w:val="center"/>
      <w:textAlignment w:val="center"/>
    </w:pPr>
    <w:rPr>
      <w:rFonts w:ascii="Times New Roman" w:hAnsi="Times New Roman" w:eastAsia="仿宋_GB2312" w:cs="Times New Roman"/>
      <w:szCs w:val="21"/>
      <w:lang w:val="en-US" w:eastAsia="zh-CN" w:bidi="ar-SA"/>
    </w:rPr>
  </w:style>
  <w:style w:type="character" w:customStyle="1" w:styleId="116">
    <w:name w:val="正文首行缩进 2 Char"/>
    <w:basedOn w:val="39"/>
    <w:link w:val="18"/>
    <w:qFormat/>
    <w:uiPriority w:val="0"/>
    <w:rPr>
      <w:rFonts w:hAnsi="宋体"/>
    </w:rPr>
  </w:style>
  <w:style w:type="paragraph" w:customStyle="1" w:styleId="117">
    <w:name w:val="章标题"/>
    <w:basedOn w:val="1"/>
    <w:next w:val="1"/>
    <w:qFormat/>
    <w:uiPriority w:val="0"/>
    <w:pPr>
      <w:widowControl/>
      <w:spacing w:before="158" w:after="153" w:line="323" w:lineRule="atLeast"/>
      <w:jc w:val="center"/>
      <w:textAlignment w:val="baseline"/>
    </w:pPr>
    <w:rPr>
      <w:rFonts w:ascii="Arial" w:eastAsia="黑体"/>
      <w:color w:val="000000"/>
      <w:kern w:val="0"/>
      <w:sz w:val="31"/>
      <w:szCs w:val="20"/>
      <w:u w:color="000000"/>
    </w:rPr>
  </w:style>
  <w:style w:type="character" w:customStyle="1" w:styleId="118">
    <w:name w:val="正文缩进 Char"/>
    <w:link w:val="5"/>
    <w:qFormat/>
    <w:uiPriority w:val="99"/>
    <w:rPr>
      <w:kern w:val="2"/>
      <w:sz w:val="24"/>
    </w:rPr>
  </w:style>
  <w:style w:type="character" w:customStyle="1" w:styleId="119">
    <w:name w:val="xl51 Char Char"/>
    <w:link w:val="120"/>
    <w:qFormat/>
    <w:uiPriority w:val="0"/>
    <w:rPr>
      <w:rFonts w:ascii="Arial Narrow"/>
      <w:color w:val="00FF00"/>
      <w:u w:color="000000"/>
    </w:rPr>
  </w:style>
  <w:style w:type="paragraph" w:customStyle="1" w:styleId="120">
    <w:name w:val="xl51"/>
    <w:basedOn w:val="1"/>
    <w:link w:val="119"/>
    <w:qFormat/>
    <w:uiPriority w:val="0"/>
    <w:pPr>
      <w:widowControl/>
      <w:spacing w:before="102" w:after="102" w:line="351" w:lineRule="atLeast"/>
      <w:ind w:firstLine="419" w:firstLineChars="200"/>
      <w:jc w:val="center"/>
      <w:textAlignment w:val="baseline"/>
    </w:pPr>
    <w:rPr>
      <w:rFonts w:ascii="Arial Narrow"/>
      <w:color w:val="00FF00"/>
      <w:kern w:val="0"/>
      <w:sz w:val="20"/>
      <w:szCs w:val="20"/>
      <w:u w:color="000000"/>
    </w:rPr>
  </w:style>
  <w:style w:type="paragraph" w:customStyle="1" w:styleId="121">
    <w:name w:val="表格名称"/>
    <w:basedOn w:val="120"/>
    <w:link w:val="122"/>
    <w:qFormat/>
    <w:uiPriority w:val="0"/>
    <w:pPr>
      <w:widowControl w:val="0"/>
      <w:tabs>
        <w:tab w:val="left" w:pos="-24"/>
      </w:tabs>
      <w:snapToGrid w:val="0"/>
      <w:spacing w:before="0" w:after="0" w:line="500" w:lineRule="exact"/>
      <w:ind w:firstLine="0"/>
      <w:outlineLvl w:val="4"/>
    </w:pPr>
    <w:rPr>
      <w:rFonts w:ascii="宋体" w:hAnsi="宋体" w:cstheme="minorBidi"/>
      <w:b/>
      <w:bCs/>
      <w:color w:val="0000FF"/>
      <w:kern w:val="2"/>
      <w:sz w:val="24"/>
      <w:szCs w:val="22"/>
    </w:rPr>
  </w:style>
  <w:style w:type="character" w:customStyle="1" w:styleId="122">
    <w:name w:val="表格名称 Char Char"/>
    <w:link w:val="121"/>
    <w:qFormat/>
    <w:uiPriority w:val="0"/>
    <w:rPr>
      <w:rFonts w:ascii="宋体" w:hAnsi="宋体" w:cstheme="minorBidi"/>
      <w:b/>
      <w:bCs/>
      <w:color w:val="0000FF"/>
      <w:kern w:val="2"/>
      <w:sz w:val="24"/>
      <w:szCs w:val="22"/>
      <w:u w:color="000000"/>
    </w:rPr>
  </w:style>
  <w:style w:type="character" w:customStyle="1" w:styleId="123">
    <w:name w:val="表格 Char Char"/>
    <w:qFormat/>
    <w:uiPriority w:val="0"/>
    <w:rPr>
      <w:rFonts w:ascii="宋体" w:hAnsi="宋体" w:eastAsia="宋体"/>
    </w:rPr>
  </w:style>
  <w:style w:type="paragraph" w:customStyle="1" w:styleId="124">
    <w:name w:val="样式 正文缩进正文缩进 Char Char Char Char Char正文缩进 Char Char Char Char正..."/>
    <w:basedOn w:val="5"/>
    <w:qFormat/>
    <w:uiPriority w:val="0"/>
    <w:pPr>
      <w:widowControl/>
      <w:ind w:firstLine="480" w:firstLineChars="200"/>
      <w:jc w:val="left"/>
    </w:pPr>
    <w:rPr>
      <w:rFonts w:hAnsi="宋体"/>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510633-6ACF-4697-933F-786A1D4F1BFE}">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10</Pages>
  <Words>1491</Words>
  <Characters>1635</Characters>
  <Lines>36</Lines>
  <Paragraphs>10</Paragraphs>
  <TotalTime>1952</TotalTime>
  <ScaleCrop>false</ScaleCrop>
  <LinksUpToDate>false</LinksUpToDate>
  <CharactersWithSpaces>1723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2019-09-26T01:06:00Z</dcterms:created>
  <dc:creator>陈*何*马</dc:creator>
  <cp:lastModifiedBy>安然弱水</cp:lastModifiedBy>
  <cp:lastPrinted>2022-07-01T01:35:00Z</cp:lastPrinted>
  <dcterms:modified xsi:type="dcterms:W3CDTF">2024-12-05T01:40:17Z</dcterms:modified>
  <dc:title>石柱土家族自治县水利局</dc:title>
  <cp:revision>493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661FEE0202554B2DAD358B7D66AA3EA1_12</vt:lpwstr>
  </property>
</Properties>
</file>