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CBBAF">
      <w:pPr>
        <w:spacing w:line="580" w:lineRule="exact"/>
        <w:rPr>
          <w:rFonts w:ascii="方正仿宋_GBK" w:eastAsia="方正仿宋_GBK"/>
          <w:color w:val="FF0000"/>
          <w:sz w:val="32"/>
          <w:szCs w:val="32"/>
        </w:rPr>
      </w:pPr>
    </w:p>
    <w:p w14:paraId="394DE19B">
      <w:pPr>
        <w:spacing w:line="580" w:lineRule="exact"/>
        <w:rPr>
          <w:rFonts w:ascii="方正仿宋_GBK" w:eastAsia="方正仿宋_GBK"/>
          <w:color w:val="FF0000"/>
          <w:sz w:val="32"/>
          <w:szCs w:val="32"/>
        </w:rPr>
      </w:pPr>
    </w:p>
    <w:p w14:paraId="25D4E814">
      <w:pPr>
        <w:spacing w:line="580" w:lineRule="exact"/>
        <w:rPr>
          <w:rFonts w:ascii="方正仿宋_GBK" w:eastAsia="方正仿宋_GBK"/>
          <w:color w:val="FF0000"/>
          <w:sz w:val="32"/>
          <w:szCs w:val="32"/>
        </w:rPr>
      </w:pPr>
    </w:p>
    <w:p w14:paraId="51BFDC73">
      <w:pPr>
        <w:ind w:firstLine="358" w:firstLineChars="112"/>
        <w:rPr>
          <w:rFonts w:ascii="方正仿宋_GBK" w:eastAsia="方正仿宋_GBK"/>
          <w:color w:val="FF0000"/>
          <w:sz w:val="32"/>
          <w:szCs w:val="32"/>
        </w:rPr>
      </w:pPr>
      <w:r>
        <w:rPr>
          <w:rFonts w:ascii="方正仿宋_GBK" w:eastAsia="方正仿宋_GBK"/>
          <w:color w:val="FF0000"/>
          <w:sz w:val="32"/>
          <w:szCs w:val="32"/>
        </w:rPr>
        <w:pict>
          <v:shape id="_x0000_i1025" o:spt="136" type="#_x0000_t136" style="height:52.5pt;width:421.5pt;" fillcolor="#FF0000" filled="t" stroked="t" coordsize="21600,21600">
            <v:path/>
            <v:fill on="t" focussize="0,0"/>
            <v:stroke color="#FF0000"/>
            <v:imagedata o:title=""/>
            <o:lock v:ext="edit"/>
            <v:textpath on="t" fitshape="t" fitpath="t" trim="t" xscale="f" string="石柱土家族自治县水利局电子公文" style="font-family:方正小标宋_GBK;font-size:20pt;v-text-align:center;"/>
            <w10:wrap type="none"/>
            <w10:anchorlock/>
          </v:shape>
        </w:pict>
      </w:r>
    </w:p>
    <w:p w14:paraId="26AC521A">
      <w:pPr>
        <w:spacing w:line="560" w:lineRule="exact"/>
        <w:rPr>
          <w:rFonts w:ascii="方正仿宋_GBK" w:eastAsia="方正仿宋_GBK"/>
          <w:color w:val="FF0000"/>
          <w:sz w:val="32"/>
          <w:szCs w:val="32"/>
        </w:rPr>
      </w:pPr>
    </w:p>
    <w:p w14:paraId="1F0A0C04">
      <w:pPr>
        <w:spacing w:line="560" w:lineRule="exact"/>
        <w:rPr>
          <w:rFonts w:ascii="方正仿宋_GBK" w:eastAsia="方正仿宋_GBK"/>
          <w:color w:val="FF0000"/>
          <w:sz w:val="32"/>
          <w:szCs w:val="32"/>
        </w:rPr>
      </w:pPr>
    </w:p>
    <w:p w14:paraId="2E34A8C7">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石柱水利许可〔2022〕3号</w:t>
      </w:r>
    </w:p>
    <w:p w14:paraId="0F5234AC">
      <w:pPr>
        <w:jc w:val="center"/>
        <w:rPr>
          <w:sz w:val="32"/>
          <w:szCs w:val="32"/>
        </w:rPr>
      </w:pPr>
      <w:r>
        <w:rPr>
          <w:rFonts w:ascii="方正仿宋_GBK" w:eastAsia="方正仿宋_GBK"/>
          <w:color w:val="FF0000"/>
          <w:sz w:val="32"/>
          <w:szCs w:val="32"/>
        </w:rPr>
        <w:pict>
          <v:line id="_x0000_s1034" o:spid="_x0000_s1034" o:spt="20" style="position:absolute;left:0pt;margin-left:9pt;margin-top:2.8pt;height:0pt;width:441pt;z-index:251659264;mso-width-relative:page;mso-height-relative:page;" stroked="t" coordsize="21600,21600">
            <v:path arrowok="t"/>
            <v:fill focussize="0,0"/>
            <v:stroke weight="2.25pt" color="#FF0000"/>
            <v:imagedata o:title=""/>
            <o:lock v:ext="edit"/>
          </v:line>
        </w:pict>
      </w:r>
    </w:p>
    <w:p w14:paraId="02E92B12">
      <w:pPr>
        <w:rPr>
          <w:sz w:val="44"/>
          <w:szCs w:val="44"/>
        </w:rPr>
      </w:pPr>
    </w:p>
    <w:p w14:paraId="256D1EBD">
      <w:pPr>
        <w:spacing w:line="640" w:lineRule="exact"/>
        <w:jc w:val="center"/>
        <w:rPr>
          <w:rFonts w:ascii="方正小标宋_GBK" w:eastAsia="方正小标宋_GBK"/>
          <w:sz w:val="44"/>
          <w:szCs w:val="44"/>
        </w:rPr>
      </w:pPr>
      <w:r>
        <w:rPr>
          <w:rFonts w:hint="eastAsia" w:ascii="方正小标宋_GBK" w:eastAsia="方正小标宋_GBK"/>
          <w:sz w:val="44"/>
          <w:szCs w:val="44"/>
        </w:rPr>
        <w:t>石柱土家族自治县水利局</w:t>
      </w:r>
    </w:p>
    <w:p w14:paraId="4F546077">
      <w:pPr>
        <w:spacing w:line="640" w:lineRule="exact"/>
        <w:jc w:val="center"/>
        <w:rPr>
          <w:rFonts w:ascii="方正小标宋_GBK" w:eastAsia="方正小标宋_GBK"/>
          <w:sz w:val="44"/>
          <w:szCs w:val="44"/>
        </w:rPr>
      </w:pPr>
      <w:r>
        <w:rPr>
          <w:rFonts w:hint="eastAsia" w:ascii="方正小标宋_GBK" w:eastAsia="方正小标宋_GBK"/>
          <w:sz w:val="44"/>
          <w:szCs w:val="44"/>
        </w:rPr>
        <w:t>关于丰石高速公路石柱西互通至南宾工业园区B区连接道路水土保持方案报告书</w:t>
      </w:r>
    </w:p>
    <w:p w14:paraId="322BB77F">
      <w:pPr>
        <w:spacing w:line="640" w:lineRule="exact"/>
        <w:jc w:val="center"/>
        <w:rPr>
          <w:rFonts w:ascii="方正小标宋_GBK" w:eastAsia="方正小标宋_GBK"/>
          <w:sz w:val="44"/>
          <w:szCs w:val="44"/>
        </w:rPr>
      </w:pPr>
      <w:r>
        <w:rPr>
          <w:rFonts w:hint="eastAsia" w:ascii="方正小标宋_GBK" w:eastAsia="方正小标宋_GBK"/>
          <w:sz w:val="44"/>
          <w:szCs w:val="44"/>
        </w:rPr>
        <w:t>准予行政许可的决定</w:t>
      </w:r>
    </w:p>
    <w:p w14:paraId="4CE310D2">
      <w:pPr>
        <w:rPr>
          <w:rFonts w:ascii="方正仿宋_GBK" w:hAnsi="宋体" w:eastAsia="方正仿宋_GBK" w:cs="宋体"/>
          <w:sz w:val="32"/>
          <w:szCs w:val="32"/>
        </w:rPr>
      </w:pPr>
    </w:p>
    <w:p w14:paraId="04BD1C89">
      <w:pPr>
        <w:rPr>
          <w:rFonts w:ascii="方正仿宋_GBK" w:hAnsi="宋体" w:eastAsia="方正仿宋_GBK" w:cs="宋体"/>
          <w:sz w:val="32"/>
          <w:szCs w:val="32"/>
        </w:rPr>
      </w:pPr>
    </w:p>
    <w:p w14:paraId="0756EAD3">
      <w:pPr>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石柱土家族自治县裕兴实业有限公司：</w:t>
      </w:r>
    </w:p>
    <w:p w14:paraId="741D2891">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你司报来</w:t>
      </w:r>
      <w:r>
        <w:rPr>
          <w:rFonts w:hint="eastAsia" w:ascii="方正仿宋_GBK" w:hAnsi="仿宋" w:eastAsia="方正仿宋_GBK" w:cs="仿宋"/>
          <w:sz w:val="32"/>
          <w:szCs w:val="32"/>
        </w:rPr>
        <w:t>《</w:t>
      </w:r>
      <w:r>
        <w:rPr>
          <w:rFonts w:hint="eastAsia" w:ascii="方正仿宋_GBK" w:hAnsi="方正仿宋_GBK" w:eastAsia="方正仿宋_GBK" w:cs="方正仿宋_GBK"/>
          <w:kern w:val="0"/>
          <w:sz w:val="32"/>
          <w:szCs w:val="32"/>
        </w:rPr>
        <w:t>丰石高速公路石柱西互通至南宾工业园区B区连接道路水土保持方案报告书》（以下简称《报告书》）的送审稿及相关材料已收悉。2022年1月16日，我局组织专家对《报告书》（送审稿）进行了技术审查，根据专家组提出的修改意见进行修改完善，经专家组复核后形成《报告书》（报批稿）报送我局。经审查，该申请符合法定条件</w:t>
      </w:r>
      <w:r>
        <w:rPr>
          <w:rFonts w:hint="eastAsia" w:ascii="方正仿宋_GBK" w:eastAsia="方正仿宋_GBK"/>
          <w:snapToGrid w:val="0"/>
          <w:color w:val="000000"/>
          <w:sz w:val="32"/>
          <w:szCs w:val="32"/>
        </w:rPr>
        <w:t>，</w:t>
      </w:r>
      <w:r>
        <w:rPr>
          <w:rFonts w:hint="eastAsia" w:ascii="方正仿宋_GBK" w:hAnsi="方正仿宋_GBK" w:eastAsia="方正仿宋_GBK" w:cs="方正仿宋_GBK"/>
          <w:kern w:val="0"/>
          <w:sz w:val="32"/>
          <w:szCs w:val="32"/>
        </w:rPr>
        <w:t>根据《中华人民共和国行政许可法》第三十八条、《水行政许可实施办法》第三十二条第一项规定，结合专家组的评审意见(见附件2）决定准予行政许可。</w:t>
      </w:r>
    </w:p>
    <w:p w14:paraId="2BB2C77E">
      <w:pPr>
        <w:pStyle w:val="91"/>
        <w:numPr>
          <w:ilvl w:val="0"/>
          <w:numId w:val="1"/>
        </w:numPr>
        <w:spacing w:line="560" w:lineRule="exact"/>
        <w:ind w:firstLineChars="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项目概况</w:t>
      </w:r>
    </w:p>
    <w:p w14:paraId="143DF90B">
      <w:pPr>
        <w:adjustRightInd w:val="0"/>
        <w:snapToGrid w:val="0"/>
        <w:spacing w:line="560" w:lineRule="exact"/>
        <w:ind w:firstLine="640" w:firstLineChars="200"/>
        <w:rPr>
          <w:rFonts w:ascii="方正仿宋_GBK" w:hAnsi="宋体" w:eastAsia="方正仿宋_GBK" w:cs="宋体"/>
          <w:kern w:val="0"/>
          <w:sz w:val="32"/>
          <w:szCs w:val="32"/>
        </w:rPr>
      </w:pPr>
      <w:bookmarkStart w:id="0" w:name="_Hlk90636542"/>
      <w:r>
        <w:rPr>
          <w:rFonts w:hint="eastAsia" w:ascii="方正仿宋_GBK" w:hAnsi="宋体" w:eastAsia="方正仿宋_GBK" w:cs="宋体"/>
          <w:kern w:val="0"/>
          <w:sz w:val="32"/>
          <w:szCs w:val="32"/>
        </w:rPr>
        <w:t>项目总占地</w:t>
      </w:r>
      <w:r>
        <w:rPr>
          <w:rFonts w:ascii="方正仿宋_GBK" w:hAnsi="宋体" w:eastAsia="方正仿宋_GBK" w:cs="宋体"/>
          <w:kern w:val="0"/>
          <w:sz w:val="32"/>
          <w:szCs w:val="32"/>
        </w:rPr>
        <w:t>75.47</w:t>
      </w:r>
      <w:r>
        <w:rPr>
          <w:rFonts w:hint="eastAsia" w:ascii="方正仿宋_GBK" w:hAnsi="宋体" w:eastAsia="方正仿宋_GBK" w:cs="宋体"/>
          <w:kern w:val="0"/>
          <w:sz w:val="32"/>
          <w:szCs w:val="32"/>
        </w:rPr>
        <w:t>hm2，其中永久占地面积</w:t>
      </w:r>
      <w:r>
        <w:rPr>
          <w:rFonts w:ascii="方正仿宋_GBK" w:hAnsi="宋体" w:eastAsia="方正仿宋_GBK" w:cs="宋体"/>
          <w:kern w:val="0"/>
          <w:sz w:val="32"/>
          <w:szCs w:val="32"/>
        </w:rPr>
        <w:t>16.91</w:t>
      </w:r>
      <w:r>
        <w:rPr>
          <w:rFonts w:hint="eastAsia" w:ascii="方正仿宋_GBK" w:hAnsi="宋体" w:eastAsia="方正仿宋_GBK" w:cs="宋体"/>
          <w:kern w:val="0"/>
          <w:sz w:val="32"/>
          <w:szCs w:val="32"/>
        </w:rPr>
        <w:t>hm</w:t>
      </w:r>
      <w:r>
        <w:rPr>
          <w:rFonts w:ascii="宋体" w:hAnsi="宋体" w:cs="宋体"/>
          <w:kern w:val="0"/>
          <w:sz w:val="32"/>
          <w:szCs w:val="32"/>
        </w:rPr>
        <w:t>²</w:t>
      </w:r>
      <w:r>
        <w:rPr>
          <w:rFonts w:hint="eastAsia" w:ascii="方正仿宋_GBK" w:hAnsi="宋体" w:eastAsia="方正仿宋_GBK" w:cs="宋体"/>
          <w:kern w:val="0"/>
          <w:sz w:val="32"/>
          <w:szCs w:val="32"/>
        </w:rPr>
        <w:t>，临时占地面积</w:t>
      </w:r>
      <w:r>
        <w:rPr>
          <w:rFonts w:ascii="方正仿宋_GBK" w:hAnsi="宋体" w:eastAsia="方正仿宋_GBK" w:cs="宋体"/>
          <w:kern w:val="0"/>
          <w:sz w:val="32"/>
          <w:szCs w:val="32"/>
        </w:rPr>
        <w:t>58.56</w:t>
      </w:r>
      <w:r>
        <w:rPr>
          <w:rFonts w:hint="eastAsia" w:ascii="方正仿宋_GBK" w:hAnsi="宋体" w:eastAsia="方正仿宋_GBK" w:cs="宋体"/>
          <w:kern w:val="0"/>
          <w:sz w:val="32"/>
          <w:szCs w:val="32"/>
        </w:rPr>
        <w:t>hm</w:t>
      </w:r>
      <w:r>
        <w:rPr>
          <w:rFonts w:ascii="宋体" w:hAnsi="宋体" w:cs="宋体"/>
          <w:kern w:val="0"/>
          <w:sz w:val="32"/>
          <w:szCs w:val="32"/>
        </w:rPr>
        <w:t>²</w:t>
      </w:r>
      <w:r>
        <w:rPr>
          <w:rFonts w:hint="eastAsia" w:ascii="方正仿宋_GBK" w:hAnsi="宋体" w:eastAsia="方正仿宋_GBK" w:cs="宋体"/>
          <w:kern w:val="0"/>
          <w:sz w:val="32"/>
          <w:szCs w:val="32"/>
        </w:rPr>
        <w:t>（含已移交第三方项目施工建设1</w:t>
      </w:r>
      <w:r>
        <w:rPr>
          <w:rFonts w:ascii="方正仿宋_GBK" w:hAnsi="宋体" w:eastAsia="方正仿宋_GBK" w:cs="宋体"/>
          <w:kern w:val="0"/>
          <w:sz w:val="32"/>
          <w:szCs w:val="32"/>
        </w:rPr>
        <w:t>.14</w:t>
      </w:r>
      <w:r>
        <w:rPr>
          <w:rFonts w:hint="eastAsia" w:ascii="方正仿宋_GBK" w:hAnsi="宋体" w:eastAsia="方正仿宋_GBK" w:cs="宋体"/>
          <w:kern w:val="0"/>
          <w:sz w:val="32"/>
          <w:szCs w:val="32"/>
        </w:rPr>
        <w:t>hm</w:t>
      </w:r>
      <w:r>
        <w:rPr>
          <w:rFonts w:ascii="宋体" w:hAnsi="宋体" w:cs="宋体"/>
          <w:kern w:val="0"/>
          <w:sz w:val="32"/>
          <w:szCs w:val="32"/>
        </w:rPr>
        <w:t>²</w:t>
      </w:r>
      <w:r>
        <w:rPr>
          <w:rFonts w:hint="eastAsia" w:ascii="方正仿宋_GBK" w:hAnsi="宋体" w:eastAsia="方正仿宋_GBK" w:cs="宋体"/>
          <w:kern w:val="0"/>
          <w:sz w:val="32"/>
          <w:szCs w:val="32"/>
        </w:rPr>
        <w:t>范围）。项目土石方挖方</w:t>
      </w:r>
      <w:r>
        <w:rPr>
          <w:rFonts w:ascii="方正仿宋_GBK" w:hAnsi="宋体" w:eastAsia="方正仿宋_GBK" w:cs="宋体"/>
          <w:kern w:val="0"/>
          <w:sz w:val="32"/>
          <w:szCs w:val="32"/>
        </w:rPr>
        <w:t>557.85</w:t>
      </w:r>
      <w:r>
        <w:rPr>
          <w:rFonts w:hint="eastAsia" w:ascii="方正仿宋_GBK" w:hAnsi="宋体" w:eastAsia="方正仿宋_GBK" w:cs="宋体"/>
          <w:kern w:val="0"/>
          <w:sz w:val="32"/>
          <w:szCs w:val="32"/>
        </w:rPr>
        <w:t>万</w:t>
      </w:r>
      <w:r>
        <w:rPr>
          <w:rFonts w:hint="eastAsia" w:cs="宋体" w:asciiTheme="majorEastAsia" w:hAnsiTheme="majorEastAsia" w:eastAsiaTheme="majorEastAsia"/>
          <w:kern w:val="0"/>
          <w:sz w:val="32"/>
          <w:szCs w:val="32"/>
        </w:rPr>
        <w:t>m³</w:t>
      </w:r>
      <w:r>
        <w:rPr>
          <w:rFonts w:hint="eastAsia" w:ascii="方正仿宋_GBK" w:hAnsi="宋体" w:eastAsia="方正仿宋_GBK" w:cs="宋体"/>
          <w:kern w:val="0"/>
          <w:sz w:val="32"/>
          <w:szCs w:val="32"/>
        </w:rPr>
        <w:t>（含表土剥离</w:t>
      </w:r>
      <w:r>
        <w:rPr>
          <w:rFonts w:ascii="方正仿宋_GBK" w:hAnsi="宋体" w:eastAsia="方正仿宋_GBK" w:cs="宋体"/>
          <w:kern w:val="0"/>
          <w:sz w:val="32"/>
          <w:szCs w:val="32"/>
        </w:rPr>
        <w:t>3.90</w:t>
      </w:r>
      <w:r>
        <w:rPr>
          <w:rFonts w:hint="eastAsia" w:ascii="方正仿宋_GBK" w:hAnsi="宋体" w:eastAsia="方正仿宋_GBK" w:cs="宋体"/>
          <w:kern w:val="0"/>
          <w:sz w:val="32"/>
          <w:szCs w:val="32"/>
        </w:rPr>
        <w:t>万</w:t>
      </w:r>
      <w:r>
        <w:rPr>
          <w:rFonts w:hint="eastAsia" w:cs="宋体" w:asciiTheme="majorEastAsia" w:hAnsiTheme="majorEastAsia" w:eastAsiaTheme="majorEastAsia"/>
          <w:kern w:val="0"/>
          <w:sz w:val="32"/>
          <w:szCs w:val="32"/>
        </w:rPr>
        <w:t>m³</w:t>
      </w:r>
      <w:r>
        <w:rPr>
          <w:rFonts w:hint="eastAsia" w:ascii="方正仿宋_GBK" w:hAnsi="宋体" w:eastAsia="方正仿宋_GBK" w:cs="宋体"/>
          <w:kern w:val="0"/>
          <w:sz w:val="32"/>
          <w:szCs w:val="32"/>
        </w:rPr>
        <w:t>），填方</w:t>
      </w:r>
      <w:r>
        <w:rPr>
          <w:rFonts w:ascii="方正仿宋_GBK" w:hAnsi="宋体" w:eastAsia="方正仿宋_GBK" w:cs="宋体"/>
          <w:kern w:val="0"/>
          <w:sz w:val="32"/>
          <w:szCs w:val="32"/>
        </w:rPr>
        <w:t>395.03</w:t>
      </w:r>
      <w:r>
        <w:rPr>
          <w:rFonts w:hint="eastAsia" w:ascii="方正仿宋_GBK" w:hAnsi="宋体" w:eastAsia="方正仿宋_GBK" w:cs="宋体"/>
          <w:kern w:val="0"/>
          <w:sz w:val="32"/>
          <w:szCs w:val="32"/>
        </w:rPr>
        <w:t>万m3（含表土回覆</w:t>
      </w:r>
      <w:r>
        <w:rPr>
          <w:rFonts w:ascii="方正仿宋_GBK" w:hAnsi="宋体" w:eastAsia="方正仿宋_GBK" w:cs="宋体"/>
          <w:kern w:val="0"/>
          <w:sz w:val="32"/>
          <w:szCs w:val="32"/>
        </w:rPr>
        <w:t>3.90</w:t>
      </w:r>
      <w:r>
        <w:rPr>
          <w:rFonts w:hint="eastAsia" w:ascii="方正仿宋_GBK" w:hAnsi="宋体" w:eastAsia="方正仿宋_GBK" w:cs="宋体"/>
          <w:kern w:val="0"/>
          <w:sz w:val="32"/>
          <w:szCs w:val="32"/>
        </w:rPr>
        <w:t>万</w:t>
      </w:r>
      <w:r>
        <w:rPr>
          <w:rFonts w:hint="eastAsia" w:cs="宋体" w:asciiTheme="majorEastAsia" w:hAnsiTheme="majorEastAsia" w:eastAsiaTheme="majorEastAsia"/>
          <w:kern w:val="0"/>
          <w:sz w:val="32"/>
          <w:szCs w:val="32"/>
        </w:rPr>
        <w:t>m³</w:t>
      </w:r>
      <w:r>
        <w:rPr>
          <w:rFonts w:hint="eastAsia" w:ascii="方正仿宋_GBK" w:hAnsi="宋体" w:eastAsia="方正仿宋_GBK" w:cs="宋体"/>
          <w:kern w:val="0"/>
          <w:sz w:val="32"/>
          <w:szCs w:val="32"/>
        </w:rPr>
        <w:t>），余方</w:t>
      </w:r>
      <w:r>
        <w:rPr>
          <w:rFonts w:ascii="方正仿宋_GBK" w:hAnsi="宋体" w:eastAsia="方正仿宋_GBK" w:cs="宋体"/>
          <w:kern w:val="0"/>
          <w:sz w:val="32"/>
          <w:szCs w:val="32"/>
        </w:rPr>
        <w:t>162.82</w:t>
      </w:r>
      <w:r>
        <w:rPr>
          <w:rFonts w:hint="eastAsia" w:ascii="方正仿宋_GBK" w:hAnsi="宋体" w:eastAsia="方正仿宋_GBK" w:cs="宋体"/>
          <w:kern w:val="0"/>
          <w:sz w:val="32"/>
          <w:szCs w:val="32"/>
        </w:rPr>
        <w:t>万</w:t>
      </w:r>
      <w:r>
        <w:rPr>
          <w:rFonts w:hint="eastAsia" w:cs="宋体" w:asciiTheme="majorEastAsia" w:hAnsiTheme="majorEastAsia" w:eastAsiaTheme="majorEastAsia"/>
          <w:kern w:val="0"/>
          <w:sz w:val="32"/>
          <w:szCs w:val="32"/>
        </w:rPr>
        <w:t>m³</w:t>
      </w:r>
      <w:r>
        <w:rPr>
          <w:rFonts w:hint="eastAsia" w:ascii="方正仿宋_GBK" w:hAnsi="宋体" w:eastAsia="方正仿宋_GBK" w:cs="宋体"/>
          <w:kern w:val="0"/>
          <w:sz w:val="32"/>
          <w:szCs w:val="32"/>
        </w:rPr>
        <w:t>。项目余方</w:t>
      </w:r>
      <w:r>
        <w:rPr>
          <w:rFonts w:ascii="方正仿宋_GBK" w:hAnsi="宋体" w:eastAsia="方正仿宋_GBK" w:cs="宋体"/>
          <w:kern w:val="0"/>
          <w:sz w:val="32"/>
          <w:szCs w:val="32"/>
        </w:rPr>
        <w:t>11.12</w:t>
      </w:r>
      <w:r>
        <w:rPr>
          <w:rFonts w:hint="eastAsia" w:ascii="方正仿宋_GBK" w:hAnsi="宋体" w:eastAsia="方正仿宋_GBK" w:cs="宋体"/>
          <w:kern w:val="0"/>
          <w:sz w:val="32"/>
          <w:szCs w:val="32"/>
        </w:rPr>
        <w:t>万</w:t>
      </w:r>
      <w:r>
        <w:rPr>
          <w:rFonts w:hint="eastAsia" w:cs="宋体" w:asciiTheme="majorEastAsia" w:hAnsiTheme="majorEastAsia" w:eastAsiaTheme="majorEastAsia"/>
          <w:kern w:val="0"/>
          <w:sz w:val="32"/>
          <w:szCs w:val="32"/>
        </w:rPr>
        <w:t>m³</w:t>
      </w:r>
      <w:r>
        <w:rPr>
          <w:rFonts w:hint="eastAsia" w:ascii="方正仿宋_GBK" w:hAnsi="宋体" w:eastAsia="方正仿宋_GBK" w:cs="宋体"/>
          <w:kern w:val="0"/>
          <w:sz w:val="32"/>
          <w:szCs w:val="32"/>
        </w:rPr>
        <w:t>运至石柱县南宾中学应急避险迁建项目作为场地回填利用，剩余余方</w:t>
      </w:r>
      <w:r>
        <w:rPr>
          <w:rFonts w:ascii="方正仿宋_GBK" w:hAnsi="宋体" w:eastAsia="方正仿宋_GBK" w:cs="宋体"/>
          <w:kern w:val="0"/>
          <w:sz w:val="32"/>
          <w:szCs w:val="32"/>
        </w:rPr>
        <w:t>151.70</w:t>
      </w:r>
      <w:r>
        <w:rPr>
          <w:rFonts w:hint="eastAsia" w:ascii="方正仿宋_GBK" w:hAnsi="宋体" w:eastAsia="方正仿宋_GBK" w:cs="宋体"/>
          <w:kern w:val="0"/>
          <w:sz w:val="32"/>
          <w:szCs w:val="32"/>
        </w:rPr>
        <w:t>万</w:t>
      </w:r>
      <w:r>
        <w:rPr>
          <w:rFonts w:hint="eastAsia" w:cs="宋体" w:asciiTheme="majorEastAsia" w:hAnsiTheme="majorEastAsia" w:eastAsiaTheme="majorEastAsia"/>
          <w:kern w:val="0"/>
          <w:sz w:val="32"/>
          <w:szCs w:val="32"/>
        </w:rPr>
        <w:t>m³</w:t>
      </w:r>
      <w:r>
        <w:rPr>
          <w:rFonts w:hint="eastAsia" w:ascii="方正仿宋_GBK" w:hAnsi="宋体" w:eastAsia="方正仿宋_GBK" w:cs="宋体"/>
          <w:kern w:val="0"/>
          <w:sz w:val="32"/>
          <w:szCs w:val="32"/>
        </w:rPr>
        <w:t>运至项目设计的1</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弃渣场、</w:t>
      </w:r>
      <w:r>
        <w:rPr>
          <w:rFonts w:ascii="方正仿宋_GBK" w:hAnsi="宋体" w:eastAsia="方正仿宋_GBK" w:cs="宋体"/>
          <w:kern w:val="0"/>
          <w:sz w:val="32"/>
          <w:szCs w:val="32"/>
        </w:rPr>
        <w:t>3#</w:t>
      </w:r>
      <w:r>
        <w:rPr>
          <w:rFonts w:hint="eastAsia" w:ascii="方正仿宋_GBK" w:hAnsi="宋体" w:eastAsia="方正仿宋_GBK" w:cs="宋体"/>
          <w:kern w:val="0"/>
          <w:sz w:val="32"/>
          <w:szCs w:val="32"/>
        </w:rPr>
        <w:t>弃渣场内。</w:t>
      </w:r>
    </w:p>
    <w:p w14:paraId="7B0906E9">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项目已于</w:t>
      </w:r>
      <w:r>
        <w:rPr>
          <w:rFonts w:ascii="方正仿宋_GBK" w:hAnsi="宋体" w:eastAsia="方正仿宋_GBK" w:cs="宋体"/>
          <w:kern w:val="0"/>
          <w:sz w:val="32"/>
          <w:szCs w:val="32"/>
        </w:rPr>
        <w:t>2019</w:t>
      </w:r>
      <w:r>
        <w:rPr>
          <w:rFonts w:hint="eastAsia" w:ascii="方正仿宋_GBK" w:hAnsi="宋体" w:eastAsia="方正仿宋_GBK" w:cs="宋体"/>
          <w:kern w:val="0"/>
          <w:sz w:val="32"/>
          <w:szCs w:val="32"/>
        </w:rPr>
        <w:t>年</w:t>
      </w:r>
      <w:r>
        <w:rPr>
          <w:rFonts w:ascii="方正仿宋_GBK" w:hAnsi="宋体" w:eastAsia="方正仿宋_GBK" w:cs="宋体"/>
          <w:kern w:val="0"/>
          <w:sz w:val="32"/>
          <w:szCs w:val="32"/>
        </w:rPr>
        <w:t>7</w:t>
      </w:r>
      <w:r>
        <w:rPr>
          <w:rFonts w:hint="eastAsia" w:ascii="方正仿宋_GBK" w:hAnsi="宋体" w:eastAsia="方正仿宋_GBK" w:cs="宋体"/>
          <w:kern w:val="0"/>
          <w:sz w:val="32"/>
          <w:szCs w:val="32"/>
        </w:rPr>
        <w:t>月进场施工，计划</w:t>
      </w:r>
      <w:r>
        <w:rPr>
          <w:rFonts w:ascii="方正仿宋_GBK" w:hAnsi="宋体" w:eastAsia="方正仿宋_GBK" w:cs="宋体"/>
          <w:kern w:val="0"/>
          <w:sz w:val="32"/>
          <w:szCs w:val="32"/>
        </w:rPr>
        <w:t>2022</w:t>
      </w:r>
      <w:r>
        <w:rPr>
          <w:rFonts w:hint="eastAsia" w:ascii="方正仿宋_GBK" w:hAnsi="宋体" w:eastAsia="方正仿宋_GBK" w:cs="宋体"/>
          <w:kern w:val="0"/>
          <w:sz w:val="32"/>
          <w:szCs w:val="32"/>
        </w:rPr>
        <w:t>年</w:t>
      </w:r>
      <w:r>
        <w:rPr>
          <w:rFonts w:ascii="方正仿宋_GBK" w:hAnsi="宋体" w:eastAsia="方正仿宋_GBK" w:cs="宋体"/>
          <w:kern w:val="0"/>
          <w:sz w:val="32"/>
          <w:szCs w:val="32"/>
        </w:rPr>
        <w:t>6</w:t>
      </w:r>
      <w:r>
        <w:rPr>
          <w:rFonts w:hint="eastAsia" w:ascii="方正仿宋_GBK" w:hAnsi="宋体" w:eastAsia="方正仿宋_GBK" w:cs="宋体"/>
          <w:kern w:val="0"/>
          <w:sz w:val="32"/>
          <w:szCs w:val="32"/>
        </w:rPr>
        <w:t>月完工，工期共计</w:t>
      </w:r>
      <w:r>
        <w:rPr>
          <w:rFonts w:ascii="方正仿宋_GBK" w:hAnsi="宋体" w:eastAsia="方正仿宋_GBK" w:cs="宋体"/>
          <w:kern w:val="0"/>
          <w:sz w:val="32"/>
          <w:szCs w:val="32"/>
        </w:rPr>
        <w:t>36</w:t>
      </w:r>
      <w:r>
        <w:rPr>
          <w:rFonts w:hint="eastAsia" w:ascii="方正仿宋_GBK" w:hAnsi="宋体" w:eastAsia="方正仿宋_GBK" w:cs="宋体"/>
          <w:kern w:val="0"/>
          <w:sz w:val="32"/>
          <w:szCs w:val="32"/>
        </w:rPr>
        <w:t>个月。项目总投资为总投资</w:t>
      </w:r>
      <w:r>
        <w:rPr>
          <w:rFonts w:ascii="方正仿宋_GBK" w:hAnsi="宋体" w:eastAsia="方正仿宋_GBK" w:cs="宋体"/>
          <w:kern w:val="0"/>
          <w:sz w:val="32"/>
          <w:szCs w:val="32"/>
        </w:rPr>
        <w:t>88607.11</w:t>
      </w:r>
      <w:r>
        <w:rPr>
          <w:rFonts w:hint="eastAsia" w:ascii="方正仿宋_GBK" w:hAnsi="宋体" w:eastAsia="方正仿宋_GBK" w:cs="宋体"/>
          <w:kern w:val="0"/>
          <w:sz w:val="32"/>
          <w:szCs w:val="32"/>
        </w:rPr>
        <w:t>万</w:t>
      </w:r>
      <w:r>
        <w:rPr>
          <w:rFonts w:ascii="方正仿宋_GBK" w:hAnsi="宋体" w:eastAsia="方正仿宋_GBK" w:cs="宋体"/>
          <w:kern w:val="0"/>
          <w:sz w:val="32"/>
          <w:szCs w:val="32"/>
        </w:rPr>
        <w:t>元，</w:t>
      </w:r>
      <w:r>
        <w:rPr>
          <w:rFonts w:hint="eastAsia" w:ascii="方正仿宋_GBK" w:hAnsi="宋体" w:eastAsia="方正仿宋_GBK" w:cs="宋体"/>
          <w:kern w:val="0"/>
          <w:sz w:val="32"/>
          <w:szCs w:val="32"/>
        </w:rPr>
        <w:t>土建投资</w:t>
      </w:r>
      <w:r>
        <w:rPr>
          <w:rFonts w:ascii="方正仿宋_GBK" w:hAnsi="宋体" w:eastAsia="方正仿宋_GBK" w:cs="宋体"/>
          <w:kern w:val="0"/>
          <w:sz w:val="32"/>
          <w:szCs w:val="32"/>
        </w:rPr>
        <w:t>70453.59</w:t>
      </w:r>
      <w:r>
        <w:rPr>
          <w:rFonts w:hint="eastAsia" w:ascii="方正仿宋_GBK" w:hAnsi="宋体" w:eastAsia="方正仿宋_GBK" w:cs="宋体"/>
          <w:kern w:val="0"/>
          <w:sz w:val="32"/>
          <w:szCs w:val="32"/>
        </w:rPr>
        <w:t>万元，资金来源为业主自筹及贷款。</w:t>
      </w:r>
    </w:p>
    <w:bookmarkEnd w:id="0"/>
    <w:p w14:paraId="6E43643D">
      <w:pPr>
        <w:spacing w:line="560" w:lineRule="exact"/>
        <w:ind w:right="369"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二、水土保持方案总体意见</w:t>
      </w:r>
    </w:p>
    <w:p w14:paraId="1732822F">
      <w:pPr>
        <w:autoSpaceDE w:val="0"/>
        <w:autoSpaceDN w:val="0"/>
        <w:spacing w:line="560" w:lineRule="exact"/>
        <w:ind w:firstLine="640" w:firstLineChars="200"/>
        <w:rPr>
          <w:rFonts w:ascii="方正仿宋_GBK" w:hAnsi="宋体" w:eastAsia="方正仿宋_GBK" w:cs="宋体"/>
          <w:kern w:val="0"/>
          <w:sz w:val="32"/>
          <w:szCs w:val="32"/>
        </w:rPr>
      </w:pPr>
      <w:r>
        <w:rPr>
          <w:rFonts w:hint="eastAsia" w:ascii="方正仿宋_GBK" w:hAnsi="方正仿宋_GBK" w:eastAsia="方正仿宋_GBK" w:cs="方正仿宋_GBK"/>
          <w:kern w:val="0"/>
          <w:sz w:val="32"/>
          <w:szCs w:val="32"/>
        </w:rPr>
        <w:t>（一）</w:t>
      </w:r>
      <w:r>
        <w:rPr>
          <w:rFonts w:hint="eastAsia" w:ascii="方正仿宋_GBK" w:hAnsi="宋体" w:eastAsia="方正仿宋_GBK" w:cs="宋体"/>
          <w:kern w:val="0"/>
          <w:sz w:val="32"/>
          <w:szCs w:val="32"/>
        </w:rPr>
        <w:t>基本同意工程建设生产期水土流失防治责任范围为75.47h</w:t>
      </w:r>
      <w:r>
        <w:rPr>
          <w:rFonts w:ascii="方正仿宋_GBK" w:hAnsi="宋体" w:eastAsia="方正仿宋_GBK" w:cs="宋体"/>
          <w:kern w:val="0"/>
          <w:sz w:val="32"/>
          <w:szCs w:val="32"/>
        </w:rPr>
        <w:t>m</w:t>
      </w:r>
      <w:r>
        <w:rPr>
          <w:rFonts w:ascii="方正仿宋_GBK" w:hAnsi="宋体" w:eastAsia="方正仿宋_GBK" w:cs="宋体"/>
          <w:kern w:val="0"/>
          <w:sz w:val="32"/>
          <w:szCs w:val="32"/>
          <w:vertAlign w:val="superscript"/>
        </w:rPr>
        <w:t>2</w:t>
      </w:r>
      <w:r>
        <w:rPr>
          <w:rFonts w:hint="eastAsia" w:ascii="方正仿宋_GBK" w:hAnsi="方正仿宋_GBK" w:eastAsia="方正仿宋_GBK" w:cs="方正仿宋_GBK"/>
          <w:kern w:val="0"/>
          <w:sz w:val="32"/>
          <w:szCs w:val="32"/>
        </w:rPr>
        <w:t>。</w:t>
      </w:r>
    </w:p>
    <w:p w14:paraId="43798715">
      <w:pPr>
        <w:autoSpaceDE w:val="0"/>
        <w:autoSpaceDN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（二）同意水土流失防治执行西南紫色土区建设类项目一级标准。</w:t>
      </w:r>
    </w:p>
    <w:p w14:paraId="1584C9C0">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（三）基本同意水土流失防治指标为：水土流失防治指标为水土流失治理度97%，渣土挡护率94%，土壤流失控制比1.0，林草植被恢复率97%，林草覆盖率27%，表土保护率92%。</w:t>
      </w:r>
    </w:p>
    <w:p w14:paraId="3C437FF6">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（四）基本同意水土流失防治分区和分区防治措施布设。</w:t>
      </w:r>
    </w:p>
    <w:p w14:paraId="06FEF092">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（五）基本同意土石方调配方案。</w:t>
      </w:r>
    </w:p>
    <w:p w14:paraId="520AAF0A">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（六）基本同意水土保持方案实施进度安排。</w:t>
      </w:r>
    </w:p>
    <w:p w14:paraId="2AB39BF9">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（七）基本同意水土保持监测时段、内容和方法。</w:t>
      </w:r>
    </w:p>
    <w:p w14:paraId="04415DAC">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（八）</w:t>
      </w:r>
      <w:r>
        <w:rPr>
          <w:rFonts w:ascii="方正仿宋_GBK" w:hAnsi="方正仿宋_GBK" w:eastAsia="方正仿宋_GBK" w:cs="方正仿宋_GBK"/>
          <w:kern w:val="0"/>
          <w:sz w:val="32"/>
          <w:szCs w:val="32"/>
        </w:rPr>
        <w:t>基本同意方案设计水平年为 202</w:t>
      </w:r>
      <w:r>
        <w:rPr>
          <w:rFonts w:hint="eastAsia" w:ascii="方正仿宋_GBK" w:hAnsi="方正仿宋_GBK" w:eastAsia="方正仿宋_GBK" w:cs="方正仿宋_GBK"/>
          <w:kern w:val="0"/>
          <w:sz w:val="32"/>
          <w:szCs w:val="32"/>
        </w:rPr>
        <w:t>2</w:t>
      </w:r>
      <w:r>
        <w:rPr>
          <w:rFonts w:ascii="方正仿宋_GBK" w:hAnsi="方正仿宋_GBK" w:eastAsia="方正仿宋_GBK" w:cs="方正仿宋_GBK"/>
          <w:kern w:val="0"/>
          <w:sz w:val="32"/>
          <w:szCs w:val="32"/>
        </w:rPr>
        <w:t>年</w:t>
      </w:r>
      <w:r>
        <w:rPr>
          <w:rFonts w:hint="eastAsia" w:ascii="方正仿宋_GBK" w:hAnsi="方正仿宋_GBK" w:eastAsia="方正仿宋_GBK" w:cs="方正仿宋_GBK"/>
          <w:kern w:val="0"/>
          <w:sz w:val="32"/>
          <w:szCs w:val="32"/>
        </w:rPr>
        <w:t>。</w:t>
      </w:r>
    </w:p>
    <w:p w14:paraId="08D439D2">
      <w:pPr>
        <w:spacing w:line="560" w:lineRule="exact"/>
        <w:ind w:firstLine="640" w:firstLineChars="200"/>
        <w:outlineLvl w:val="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三、水土保持方案投资</w:t>
      </w:r>
    </w:p>
    <w:p w14:paraId="6C882A83">
      <w:pPr>
        <w:adjustRightInd w:val="0"/>
        <w:snapToGrid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项目</w:t>
      </w:r>
      <w:r>
        <w:rPr>
          <w:rFonts w:ascii="方正仿宋_GBK" w:hAnsi="方正仿宋_GBK" w:eastAsia="方正仿宋_GBK" w:cs="方正仿宋_GBK"/>
          <w:kern w:val="0"/>
          <w:sz w:val="32"/>
          <w:szCs w:val="32"/>
        </w:rPr>
        <w:t>水土保持总投资为1698.14万元，其中主体设计已列水土保持投资1359.</w:t>
      </w:r>
      <w:r>
        <w:rPr>
          <w:rFonts w:hint="eastAsia" w:ascii="方正仿宋_GBK" w:hAnsi="方正仿宋_GBK" w:eastAsia="方正仿宋_GBK" w:cs="方正仿宋_GBK"/>
          <w:kern w:val="0"/>
          <w:sz w:val="32"/>
          <w:szCs w:val="32"/>
        </w:rPr>
        <w:t>2</w:t>
      </w:r>
      <w:r>
        <w:rPr>
          <w:rFonts w:ascii="方正仿宋_GBK" w:hAnsi="方正仿宋_GBK" w:eastAsia="方正仿宋_GBK" w:cs="方正仿宋_GBK"/>
          <w:kern w:val="0"/>
          <w:sz w:val="32"/>
          <w:szCs w:val="32"/>
        </w:rPr>
        <w:t>3万元，方案新增水土保持投资338.91万元。方案新增投资中：</w:t>
      </w:r>
      <w:r>
        <w:rPr>
          <w:rFonts w:hint="eastAsia" w:ascii="方正仿宋_GBK" w:hAnsi="方正仿宋_GBK" w:eastAsia="方正仿宋_GBK" w:cs="方正仿宋_GBK"/>
          <w:kern w:val="0"/>
          <w:sz w:val="32"/>
          <w:szCs w:val="32"/>
        </w:rPr>
        <w:t>工程措施投资</w:t>
      </w:r>
      <w:r>
        <w:rPr>
          <w:rFonts w:ascii="方正仿宋_GBK" w:hAnsi="方正仿宋_GBK" w:eastAsia="方正仿宋_GBK" w:cs="方正仿宋_GBK"/>
          <w:kern w:val="0"/>
          <w:sz w:val="32"/>
          <w:szCs w:val="32"/>
        </w:rPr>
        <w:t>132.42</w:t>
      </w:r>
      <w:r>
        <w:rPr>
          <w:rFonts w:hint="eastAsia" w:ascii="方正仿宋_GBK" w:hAnsi="方正仿宋_GBK" w:eastAsia="方正仿宋_GBK" w:cs="方正仿宋_GBK"/>
          <w:kern w:val="0"/>
          <w:sz w:val="32"/>
          <w:szCs w:val="32"/>
        </w:rPr>
        <w:t>万元，监测</w:t>
      </w:r>
      <w:r>
        <w:rPr>
          <w:rFonts w:ascii="方正仿宋_GBK" w:hAnsi="方正仿宋_GBK" w:eastAsia="方正仿宋_GBK" w:cs="方正仿宋_GBK"/>
          <w:kern w:val="0"/>
          <w:sz w:val="32"/>
          <w:szCs w:val="32"/>
        </w:rPr>
        <w:t>措施投资22.05万元，施工临时</w:t>
      </w:r>
      <w:r>
        <w:rPr>
          <w:rFonts w:hint="eastAsia" w:ascii="方正仿宋_GBK" w:hAnsi="方正仿宋_GBK" w:eastAsia="方正仿宋_GBK" w:cs="方正仿宋_GBK"/>
          <w:kern w:val="0"/>
          <w:sz w:val="32"/>
          <w:szCs w:val="32"/>
        </w:rPr>
        <w:t>措施</w:t>
      </w:r>
      <w:r>
        <w:rPr>
          <w:rFonts w:ascii="方正仿宋_GBK" w:hAnsi="方正仿宋_GBK" w:eastAsia="方正仿宋_GBK" w:cs="方正仿宋_GBK"/>
          <w:kern w:val="0"/>
          <w:sz w:val="32"/>
          <w:szCs w:val="32"/>
        </w:rPr>
        <w:t>投资48.20万元，独立费用24.38万元，基本预备费13.20万元，</w:t>
      </w:r>
      <w:r>
        <w:rPr>
          <w:rFonts w:hint="eastAsia" w:ascii="方正仿宋_GBK" w:hAnsi="方正仿宋_GBK" w:eastAsia="方正仿宋_GBK" w:cs="方正仿宋_GBK"/>
          <w:kern w:val="0"/>
          <w:sz w:val="32"/>
          <w:szCs w:val="32"/>
        </w:rPr>
        <w:t>水土保持补偿费</w:t>
      </w:r>
      <w:r>
        <w:rPr>
          <w:rFonts w:ascii="方正仿宋_GBK" w:hAnsi="方正仿宋_GBK" w:eastAsia="方正仿宋_GBK" w:cs="方正仿宋_GBK"/>
          <w:kern w:val="0"/>
          <w:sz w:val="32"/>
          <w:szCs w:val="32"/>
        </w:rPr>
        <w:t>105.658</w:t>
      </w:r>
      <w:r>
        <w:rPr>
          <w:rFonts w:hint="eastAsia" w:ascii="方正仿宋_GBK" w:hAnsi="方正仿宋_GBK" w:eastAsia="方正仿宋_GBK" w:cs="方正仿宋_GBK"/>
          <w:kern w:val="0"/>
          <w:sz w:val="32"/>
          <w:szCs w:val="32"/>
        </w:rPr>
        <w:t>万元。</w:t>
      </w:r>
    </w:p>
    <w:p w14:paraId="5D4C03CB">
      <w:pPr>
        <w:autoSpaceDE w:val="0"/>
        <w:autoSpaceDN w:val="0"/>
        <w:spacing w:line="56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四、建设单位在项目建设中应全面落实《中华人民共和国水土保持法》《重庆市实施&lt;中华人民共和国水土保持法&gt;办法》的各项要求，并重点做好以下工作：</w:t>
      </w:r>
    </w:p>
    <w:p w14:paraId="76BFB331">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（一）按照批复的水土保持方案，加强施工组织和管理工作，切实落实水土保持“三同时”制度。</w:t>
      </w:r>
    </w:p>
    <w:p w14:paraId="1B109DC2">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（二）严格按方案落实各项水土保持措施。</w:t>
      </w:r>
    </w:p>
    <w:p w14:paraId="57DD5C05">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（三）切实做好水土保持监测工作，加强水土流失动态监控，并按规定向我局提交监测实施方案、季度报告及总结报告。</w:t>
      </w:r>
    </w:p>
    <w:p w14:paraId="678D3BBB">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（四）落实好水土保持监理工作，确保水土保持工程建设进度和质量。</w:t>
      </w:r>
    </w:p>
    <w:p w14:paraId="5D5A494D">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（五）本工程的地点、规模如发生重大变化，应及时补充或修改水土保持方案报我局审批。方案实施过程中，水土保持措施如需作出重大变更的，也必须报我局批准。</w:t>
      </w:r>
    </w:p>
    <w:p w14:paraId="3D68160C">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（六）项目动工前和生产期应及时申请缴纳水土保持补偿费。在工程建设过程中，严格按照批准的水土保持方案，完成各项水土保持措施，并接受我局监督检查。</w:t>
      </w:r>
    </w:p>
    <w:p w14:paraId="3B0CC49D">
      <w:pPr>
        <w:autoSpaceDE w:val="0"/>
        <w:autoSpaceDN w:val="0"/>
        <w:spacing w:line="560" w:lineRule="exact"/>
        <w:ind w:firstLine="630"/>
        <w:rPr>
          <w:rFonts w:ascii="方正黑体_GBK" w:hAnsi="方正黑体_GBK" w:eastAsia="方正黑体_GBK" w:cs="方正黑体_GBK"/>
          <w:b/>
          <w:kern w:val="0"/>
          <w:sz w:val="32"/>
          <w:szCs w:val="32"/>
        </w:rPr>
      </w:pPr>
      <w:r>
        <w:rPr>
          <w:rFonts w:hint="eastAsia" w:ascii="方正黑体_GBK" w:hAnsi="方正黑体_GBK" w:eastAsia="方正黑体_GBK" w:cs="方正黑体_GBK"/>
          <w:b/>
          <w:kern w:val="0"/>
          <w:sz w:val="32"/>
          <w:szCs w:val="32"/>
        </w:rPr>
        <w:t>五、</w:t>
      </w:r>
      <w:r>
        <w:rPr>
          <w:rFonts w:hint="eastAsia" w:ascii="方正仿宋_GBK" w:hAnsi="方正仿宋_GBK" w:eastAsia="方正仿宋_GBK" w:cs="方正仿宋_GBK"/>
          <w:b/>
          <w:kern w:val="0"/>
          <w:sz w:val="32"/>
          <w:szCs w:val="32"/>
        </w:rPr>
        <w:t>该许可文件只作为该项目水土保持方案许可。</w:t>
      </w:r>
    </w:p>
    <w:p w14:paraId="661F33F4">
      <w:pPr>
        <w:autoSpaceDE w:val="0"/>
        <w:autoSpaceDN w:val="0"/>
        <w:spacing w:line="560" w:lineRule="exact"/>
        <w:ind w:firstLine="630"/>
        <w:rPr>
          <w:rFonts w:ascii="方正黑体_GBK" w:hAnsi="方正黑体_GBK" w:eastAsia="方正黑体_GBK" w:cs="方正黑体_GBK"/>
          <w:b/>
          <w:kern w:val="0"/>
          <w:sz w:val="32"/>
          <w:szCs w:val="32"/>
        </w:rPr>
      </w:pPr>
      <w:r>
        <w:rPr>
          <w:rFonts w:hint="eastAsia" w:ascii="方正黑体_GBK" w:hAnsi="方正黑体_GBK" w:eastAsia="方正黑体_GBK" w:cs="方正黑体_GBK"/>
          <w:b/>
          <w:kern w:val="0"/>
          <w:sz w:val="32"/>
          <w:szCs w:val="32"/>
        </w:rPr>
        <w:t>六、</w:t>
      </w:r>
      <w:r>
        <w:rPr>
          <w:rFonts w:hint="eastAsia" w:ascii="方正仿宋_GBK" w:hAnsi="宋体" w:eastAsia="方正仿宋_GBK"/>
          <w:b/>
          <w:kern w:val="0"/>
          <w:sz w:val="32"/>
          <w:szCs w:val="32"/>
        </w:rPr>
        <w:t>本行政许可决定有效期为3年，自签发之日起计算，期满后若该工程未开工建设，本行政许可决定自行失效,确需延期的,项目业主应在有效期届满前30日内提出延期申请。</w:t>
      </w:r>
    </w:p>
    <w:p w14:paraId="616E0E74">
      <w:pPr>
        <w:autoSpaceDE w:val="0"/>
        <w:autoSpaceDN w:val="0"/>
        <w:spacing w:line="560" w:lineRule="exact"/>
        <w:ind w:firstLine="630"/>
        <w:rPr>
          <w:rFonts w:ascii="方正黑体_GBK" w:hAnsi="方正黑体_GBK" w:eastAsia="方正黑体_GBK" w:cs="方正黑体_GBK"/>
          <w:b/>
          <w:kern w:val="0"/>
          <w:sz w:val="32"/>
          <w:szCs w:val="32"/>
        </w:rPr>
      </w:pPr>
    </w:p>
    <w:p w14:paraId="1D51F3F7">
      <w:pPr>
        <w:autoSpaceDE w:val="0"/>
        <w:autoSpaceDN w:val="0"/>
        <w:spacing w:line="560" w:lineRule="exact"/>
        <w:ind w:left="1065" w:leftChars="50" w:hanging="960" w:hangingChars="300"/>
        <w:jc w:val="left"/>
        <w:textAlignment w:val="baseline"/>
        <w:rPr>
          <w:b/>
          <w:sz w:val="24"/>
          <w:szCs w:val="20"/>
        </w:rPr>
      </w:pPr>
      <w:r>
        <w:rPr>
          <w:rFonts w:hint="eastAsia" w:ascii="方正仿宋_GBK" w:hAnsi="方正仿宋_GBK" w:eastAsia="方正仿宋_GBK" w:cs="方正仿宋_GBK"/>
          <w:kern w:val="0"/>
          <w:sz w:val="32"/>
          <w:szCs w:val="32"/>
        </w:rPr>
        <w:t>附件：1. 丰石高速公路石柱西互通至南宾工业园区B区连接道路</w:t>
      </w:r>
      <w:r>
        <w:rPr>
          <w:rFonts w:ascii="方正仿宋_GBK" w:hAnsi="方正仿宋_GBK" w:eastAsia="方正仿宋_GBK" w:cs="方正仿宋_GBK"/>
          <w:kern w:val="0"/>
          <w:sz w:val="32"/>
          <w:szCs w:val="32"/>
        </w:rPr>
        <w:t>水土保持方案特性表</w:t>
      </w:r>
    </w:p>
    <w:p w14:paraId="09EA9E13">
      <w:pPr>
        <w:autoSpaceDE w:val="0"/>
        <w:autoSpaceDN w:val="0"/>
        <w:spacing w:line="560" w:lineRule="exact"/>
        <w:ind w:left="945" w:leftChars="450" w:firstLine="160" w:firstLineChars="50"/>
        <w:jc w:val="left"/>
        <w:textAlignment w:val="baseline"/>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 丰石高速公路石柱西互通至南宾工业园区B区连接道路水土保持方案报告书审查意见</w:t>
      </w:r>
    </w:p>
    <w:p w14:paraId="3268C7D1">
      <w:pPr>
        <w:spacing w:line="560" w:lineRule="exact"/>
        <w:ind w:firstLine="4800" w:firstLineChars="1500"/>
        <w:rPr>
          <w:rFonts w:ascii="方正仿宋_GBK" w:hAnsi="方正仿宋_GBK" w:eastAsia="方正仿宋_GBK" w:cs="方正仿宋_GBK"/>
          <w:kern w:val="0"/>
          <w:sz w:val="32"/>
          <w:szCs w:val="32"/>
        </w:rPr>
      </w:pPr>
    </w:p>
    <w:p w14:paraId="0B546CCF">
      <w:pPr>
        <w:spacing w:line="560" w:lineRule="exact"/>
        <w:rPr>
          <w:rFonts w:ascii="方正仿宋_GBK" w:hAnsi="方正仿宋_GBK" w:eastAsia="方正仿宋_GBK" w:cs="方正仿宋_GBK"/>
          <w:kern w:val="0"/>
          <w:sz w:val="32"/>
          <w:szCs w:val="32"/>
        </w:rPr>
      </w:pPr>
    </w:p>
    <w:p w14:paraId="606FA137">
      <w:pPr>
        <w:spacing w:line="560" w:lineRule="exact"/>
        <w:ind w:firstLine="4800" w:firstLineChars="1500"/>
        <w:rPr>
          <w:rFonts w:ascii="方正仿宋_GBK" w:hAnsi="方正仿宋_GBK" w:eastAsia="方正仿宋_GBK" w:cs="方正仿宋_GBK"/>
          <w:kern w:val="0"/>
          <w:sz w:val="32"/>
          <w:szCs w:val="32"/>
        </w:rPr>
      </w:pPr>
    </w:p>
    <w:p w14:paraId="06512FED">
      <w:pPr>
        <w:spacing w:line="560" w:lineRule="exact"/>
        <w:ind w:firstLine="4800" w:firstLineChars="15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石柱土家族自治县水利局</w:t>
      </w:r>
    </w:p>
    <w:p w14:paraId="1628FDF4">
      <w:pPr>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2022年1月24日</w:t>
      </w:r>
    </w:p>
    <w:p w14:paraId="6D6A07CB">
      <w:pPr>
        <w:spacing w:line="560" w:lineRule="exact"/>
        <w:rPr>
          <w:rFonts w:ascii="方正仿宋_GBK" w:hAnsi="方正仿宋_GBK" w:eastAsia="方正仿宋_GBK" w:cs="方正仿宋_GBK"/>
          <w:kern w:val="0"/>
          <w:sz w:val="32"/>
          <w:szCs w:val="32"/>
        </w:rPr>
      </w:pPr>
    </w:p>
    <w:p w14:paraId="6DDA4AD6">
      <w:pPr>
        <w:spacing w:line="560" w:lineRule="exact"/>
        <w:rPr>
          <w:rFonts w:ascii="方正仿宋_GBK" w:hAnsi="方正仿宋_GBK" w:eastAsia="方正仿宋_GBK" w:cs="方正仿宋_GBK"/>
          <w:kern w:val="0"/>
          <w:sz w:val="32"/>
          <w:szCs w:val="32"/>
        </w:rPr>
      </w:pPr>
    </w:p>
    <w:p w14:paraId="2219BC90">
      <w:pPr>
        <w:spacing w:line="560" w:lineRule="exact"/>
        <w:rPr>
          <w:rFonts w:ascii="方正仿宋_GBK" w:hAnsi="方正仿宋_GBK" w:eastAsia="方正仿宋_GBK" w:cs="方正仿宋_GBK"/>
          <w:kern w:val="0"/>
          <w:sz w:val="32"/>
          <w:szCs w:val="32"/>
        </w:rPr>
      </w:pPr>
    </w:p>
    <w:p w14:paraId="092D52EE">
      <w:pPr>
        <w:spacing w:line="520" w:lineRule="exact"/>
        <w:rPr>
          <w:rFonts w:ascii="方正仿宋_GBK" w:hAnsi="方正仿宋_GBK" w:eastAsia="方正仿宋_GBK" w:cs="方正仿宋_GBK"/>
          <w:kern w:val="0"/>
          <w:sz w:val="32"/>
          <w:szCs w:val="32"/>
        </w:rPr>
      </w:pPr>
    </w:p>
    <w:p w14:paraId="4D44115C">
      <w:pPr>
        <w:spacing w:line="520" w:lineRule="exact"/>
        <w:rPr>
          <w:rFonts w:ascii="方正仿宋_GBK" w:hAnsi="方正仿宋_GBK" w:eastAsia="方正仿宋_GBK" w:cs="方正仿宋_GBK"/>
          <w:kern w:val="0"/>
          <w:sz w:val="32"/>
          <w:szCs w:val="32"/>
        </w:rPr>
      </w:pPr>
    </w:p>
    <w:p w14:paraId="4EE2027C">
      <w:pPr>
        <w:spacing w:line="520" w:lineRule="exact"/>
        <w:ind w:firstLine="240" w:firstLineChars="100"/>
        <w:rPr>
          <w:rFonts w:ascii="方正仿宋_GBK" w:eastAsia="方正仿宋_GBK"/>
          <w:spacing w:val="-20"/>
          <w:sz w:val="28"/>
          <w:szCs w:val="28"/>
        </w:rPr>
      </w:pPr>
      <w:r>
        <w:rPr>
          <w:rFonts w:ascii="方正仿宋_GBK" w:hAnsi="宋体" w:eastAsia="方正仿宋_GBK" w:cs="宋体"/>
          <w:spacing w:val="-20"/>
          <w:kern w:val="0"/>
          <w:sz w:val="28"/>
          <w:szCs w:val="28"/>
        </w:rPr>
        <w:pict>
          <v:line id="直线 39" o:spid="_x0000_s1031" o:spt="20" style="position:absolute;left:0pt;margin-left:0pt;margin-top:3pt;height:0pt;width:450pt;z-index:251660288;mso-width-relative:page;mso-height-relative:page;" coordsize="21600,21600">
            <v:path arrowok="t"/>
            <v:fill focussize="0,0"/>
            <v:stroke/>
            <v:imagedata o:title=""/>
            <o:lock v:ext="edit"/>
          </v:line>
        </w:pict>
      </w:r>
      <w:r>
        <w:rPr>
          <w:rFonts w:hint="eastAsia" w:ascii="方正仿宋_GBK" w:eastAsia="方正仿宋_GBK"/>
          <w:spacing w:val="-20"/>
          <w:sz w:val="28"/>
          <w:szCs w:val="28"/>
        </w:rPr>
        <w:t>抄送：</w:t>
      </w:r>
      <w:r>
        <w:rPr>
          <w:rFonts w:hint="eastAsia" w:ascii="方正仿宋_GBK" w:eastAsia="方正仿宋_GBK"/>
          <w:sz w:val="28"/>
          <w:szCs w:val="28"/>
        </w:rPr>
        <w:t>刘学彬局长，曹方游副局长，县水保站，</w:t>
      </w:r>
      <w:bookmarkStart w:id="14" w:name="_GoBack"/>
      <w:bookmarkEnd w:id="14"/>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238F878F">
      <w:pPr>
        <w:spacing w:line="520" w:lineRule="exact"/>
        <w:ind w:firstLine="280" w:firstLineChars="100"/>
        <w:rPr>
          <w:rFonts w:ascii="方正仿宋_GBK" w:eastAsia="方正仿宋_GBK"/>
          <w:sz w:val="28"/>
          <w:szCs w:val="28"/>
        </w:rPr>
      </w:pPr>
      <w:r>
        <w:rPr>
          <w:rFonts w:ascii="方正仿宋_GBK" w:eastAsia="方正仿宋_GBK"/>
          <w:sz w:val="28"/>
          <w:szCs w:val="28"/>
        </w:rPr>
        <w:pict>
          <v:line id="直线 32" o:spid="_x0000_s1032" o:spt="20" style="position:absolute;left:0pt;margin-left:0pt;margin-top:25.75pt;height:0pt;width:450pt;z-index:251661312;mso-width-relative:page;mso-height-relative:page;" coordsize="21600,21600">
            <v:path arrowok="t"/>
            <v:fill focussize="0,0"/>
            <v:stroke/>
            <v:imagedata o:title=""/>
            <o:lock v:ext="edit"/>
          </v:line>
        </w:pict>
      </w:r>
      <w:r>
        <w:rPr>
          <w:rFonts w:ascii="方正仿宋_GBK" w:eastAsia="方正仿宋_GBK"/>
          <w:sz w:val="28"/>
          <w:szCs w:val="28"/>
        </w:rPr>
        <w:pict>
          <v:line id="直线 31" o:spid="_x0000_s1033" o:spt="20" style="position:absolute;left:0pt;margin-left:0pt;margin-top:0.5pt;height:0pt;width:450pt;z-index:251662336;mso-width-relative:page;mso-height-relative:page;" coordsize="21600,21600">
            <v:path arrowok="t"/>
            <v:fill focussize="0,0"/>
            <v:stroke/>
            <v:imagedata o:title=""/>
            <o:lock v:ext="edit"/>
          </v:line>
        </w:pict>
      </w:r>
      <w:r>
        <w:rPr>
          <w:rFonts w:hint="eastAsia" w:ascii="方正仿宋_GBK" w:eastAsia="方正仿宋_GBK"/>
          <w:sz w:val="28"/>
          <w:szCs w:val="28"/>
        </w:rPr>
        <w:t>石柱土家族自治县水利局办公室             2022年1月24日印发</w:t>
      </w:r>
    </w:p>
    <w:p w14:paraId="05C278AE">
      <w:pPr>
        <w:pStyle w:val="101"/>
        <w:spacing w:afterLines="0" w:line="280" w:lineRule="exact"/>
        <w:jc w:val="both"/>
        <w:rPr>
          <w:rFonts w:ascii="方正小标宋_GBK" w:eastAsia="方正小标宋_GBK"/>
          <w:sz w:val="28"/>
          <w:szCs w:val="28"/>
        </w:rPr>
      </w:pPr>
    </w:p>
    <w:p w14:paraId="6FEB5EFA">
      <w:pPr>
        <w:snapToGrid w:val="0"/>
        <w:spacing w:line="300" w:lineRule="exact"/>
        <w:ind w:firstLine="199" w:firstLineChars="83"/>
        <w:rPr>
          <w:rFonts w:ascii="方正仿宋_GBK" w:hAnsi="宋体" w:eastAsia="方正仿宋_GBK" w:cs="宋体"/>
          <w:color w:val="000000" w:themeColor="text1"/>
          <w:sz w:val="24"/>
        </w:rPr>
      </w:pPr>
      <w:r>
        <w:rPr>
          <w:rFonts w:hint="eastAsia" w:ascii="方正仿宋_GBK" w:hAnsi="仿宋" w:eastAsia="方正仿宋_GBK"/>
          <w:sz w:val="24"/>
        </w:rPr>
        <w:t xml:space="preserve">附件1                </w:t>
      </w:r>
    </w:p>
    <w:p w14:paraId="224AE928">
      <w:pPr>
        <w:pStyle w:val="118"/>
        <w:spacing w:line="240" w:lineRule="exact"/>
      </w:pPr>
      <w:r>
        <w:t>水土保持方案特性表</w:t>
      </w:r>
    </w:p>
    <w:tbl>
      <w:tblPr>
        <w:tblStyle w:val="19"/>
        <w:tblW w:w="928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99"/>
        <w:gridCol w:w="915"/>
        <w:gridCol w:w="159"/>
        <w:gridCol w:w="1075"/>
        <w:gridCol w:w="349"/>
        <w:gridCol w:w="570"/>
        <w:gridCol w:w="1108"/>
        <w:gridCol w:w="558"/>
        <w:gridCol w:w="1001"/>
        <w:gridCol w:w="284"/>
        <w:gridCol w:w="795"/>
        <w:gridCol w:w="459"/>
        <w:gridCol w:w="1514"/>
      </w:tblGrid>
      <w:tr w14:paraId="1E0611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414" w:type="dxa"/>
            <w:gridSpan w:val="2"/>
            <w:tcBorders>
              <w:top w:val="single" w:color="auto" w:sz="2" w:space="0"/>
              <w:left w:val="single" w:color="auto" w:sz="2" w:space="0"/>
              <w:bottom w:val="single" w:color="auto" w:sz="2" w:space="0"/>
              <w:right w:val="single" w:color="auto" w:sz="2" w:space="0"/>
            </w:tcBorders>
            <w:vAlign w:val="center"/>
          </w:tcPr>
          <w:p w14:paraId="02568C58">
            <w:pPr>
              <w:pStyle w:val="113"/>
              <w:spacing w:line="240" w:lineRule="exact"/>
            </w:pPr>
            <w:r>
              <w:t>项目名称</w:t>
            </w:r>
          </w:p>
        </w:tc>
        <w:tc>
          <w:tcPr>
            <w:tcW w:w="5104" w:type="dxa"/>
            <w:gridSpan w:val="8"/>
            <w:tcBorders>
              <w:top w:val="single" w:color="auto" w:sz="2" w:space="0"/>
              <w:left w:val="single" w:color="auto" w:sz="2" w:space="0"/>
              <w:bottom w:val="single" w:color="auto" w:sz="2" w:space="0"/>
              <w:right w:val="single" w:color="auto" w:sz="2" w:space="0"/>
            </w:tcBorders>
            <w:vAlign w:val="center"/>
          </w:tcPr>
          <w:p w14:paraId="7D683CDF">
            <w:pPr>
              <w:pStyle w:val="113"/>
              <w:spacing w:line="240" w:lineRule="exact"/>
            </w:pPr>
            <w:r>
              <w:rPr>
                <w:rFonts w:hint="eastAsia"/>
              </w:rPr>
              <w:t>丰石高速公路石柱西互通至南宾工业园区B区连接道路</w:t>
            </w:r>
          </w:p>
        </w:tc>
        <w:tc>
          <w:tcPr>
            <w:tcW w:w="1254" w:type="dxa"/>
            <w:gridSpan w:val="2"/>
            <w:tcBorders>
              <w:top w:val="single" w:color="auto" w:sz="2" w:space="0"/>
              <w:left w:val="single" w:color="auto" w:sz="2" w:space="0"/>
              <w:bottom w:val="single" w:color="auto" w:sz="2" w:space="0"/>
              <w:right w:val="single" w:color="auto" w:sz="2" w:space="0"/>
            </w:tcBorders>
            <w:vAlign w:val="center"/>
          </w:tcPr>
          <w:p w14:paraId="4CAAD36B">
            <w:pPr>
              <w:pStyle w:val="113"/>
              <w:spacing w:line="240" w:lineRule="exact"/>
            </w:pPr>
            <w:r>
              <w:t>流域管理机构</w:t>
            </w:r>
          </w:p>
        </w:tc>
        <w:tc>
          <w:tcPr>
            <w:tcW w:w="1514" w:type="dxa"/>
            <w:tcBorders>
              <w:top w:val="single" w:color="auto" w:sz="2" w:space="0"/>
              <w:left w:val="single" w:color="auto" w:sz="2" w:space="0"/>
              <w:bottom w:val="single" w:color="auto" w:sz="2" w:space="0"/>
              <w:right w:val="single" w:color="auto" w:sz="2" w:space="0"/>
            </w:tcBorders>
            <w:vAlign w:val="center"/>
          </w:tcPr>
          <w:p w14:paraId="198AF301">
            <w:pPr>
              <w:pStyle w:val="113"/>
              <w:spacing w:line="240" w:lineRule="exact"/>
            </w:pPr>
            <w:r>
              <w:t>长江水利</w:t>
            </w:r>
          </w:p>
          <w:p w14:paraId="34AC4998">
            <w:pPr>
              <w:pStyle w:val="113"/>
              <w:spacing w:line="240" w:lineRule="exact"/>
            </w:pPr>
            <w:r>
              <w:t>委员会</w:t>
            </w:r>
          </w:p>
        </w:tc>
      </w:tr>
      <w:tr w14:paraId="4F3835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414" w:type="dxa"/>
            <w:gridSpan w:val="2"/>
            <w:tcBorders>
              <w:top w:val="single" w:color="auto" w:sz="2" w:space="0"/>
              <w:left w:val="single" w:color="auto" w:sz="2" w:space="0"/>
              <w:bottom w:val="single" w:color="auto" w:sz="2" w:space="0"/>
              <w:right w:val="single" w:color="auto" w:sz="2" w:space="0"/>
            </w:tcBorders>
            <w:vAlign w:val="center"/>
          </w:tcPr>
          <w:p w14:paraId="68A01AAC">
            <w:pPr>
              <w:pStyle w:val="113"/>
              <w:spacing w:line="240" w:lineRule="exact"/>
            </w:pPr>
            <w:r>
              <w:t>涉及省区</w:t>
            </w:r>
          </w:p>
        </w:tc>
        <w:tc>
          <w:tcPr>
            <w:tcW w:w="2153" w:type="dxa"/>
            <w:gridSpan w:val="4"/>
            <w:tcBorders>
              <w:top w:val="single" w:color="auto" w:sz="2" w:space="0"/>
              <w:left w:val="single" w:color="auto" w:sz="2" w:space="0"/>
              <w:bottom w:val="single" w:color="auto" w:sz="2" w:space="0"/>
              <w:right w:val="single" w:color="auto" w:sz="2" w:space="0"/>
            </w:tcBorders>
            <w:vAlign w:val="center"/>
          </w:tcPr>
          <w:p w14:paraId="0C567167">
            <w:pPr>
              <w:pStyle w:val="113"/>
              <w:spacing w:line="240" w:lineRule="exact"/>
            </w:pPr>
            <w:r>
              <w:t>重庆</w:t>
            </w:r>
          </w:p>
        </w:tc>
        <w:tc>
          <w:tcPr>
            <w:tcW w:w="1666" w:type="dxa"/>
            <w:gridSpan w:val="2"/>
            <w:tcBorders>
              <w:top w:val="single" w:color="auto" w:sz="2" w:space="0"/>
              <w:left w:val="single" w:color="auto" w:sz="2" w:space="0"/>
              <w:bottom w:val="single" w:color="auto" w:sz="2" w:space="0"/>
              <w:right w:val="single" w:color="auto" w:sz="4" w:space="0"/>
            </w:tcBorders>
            <w:vAlign w:val="center"/>
          </w:tcPr>
          <w:p w14:paraId="0FA6193D">
            <w:pPr>
              <w:pStyle w:val="113"/>
              <w:spacing w:line="240" w:lineRule="exact"/>
            </w:pPr>
            <w:r>
              <w:t>涉及地市或个数</w:t>
            </w:r>
          </w:p>
        </w:tc>
        <w:tc>
          <w:tcPr>
            <w:tcW w:w="1285" w:type="dxa"/>
            <w:gridSpan w:val="2"/>
            <w:tcBorders>
              <w:top w:val="single" w:color="auto" w:sz="2" w:space="0"/>
              <w:left w:val="single" w:color="auto" w:sz="2" w:space="0"/>
              <w:bottom w:val="single" w:color="auto" w:sz="2" w:space="0"/>
              <w:right w:val="single" w:color="auto" w:sz="4" w:space="0"/>
            </w:tcBorders>
            <w:vAlign w:val="center"/>
          </w:tcPr>
          <w:p w14:paraId="681D7BD6">
            <w:pPr>
              <w:pStyle w:val="113"/>
              <w:spacing w:line="240" w:lineRule="exact"/>
            </w:pPr>
            <w:r>
              <w:t>/</w:t>
            </w:r>
          </w:p>
        </w:tc>
        <w:tc>
          <w:tcPr>
            <w:tcW w:w="1254" w:type="dxa"/>
            <w:gridSpan w:val="2"/>
            <w:tcBorders>
              <w:top w:val="single" w:color="auto" w:sz="2" w:space="0"/>
              <w:left w:val="single" w:color="auto" w:sz="4" w:space="0"/>
              <w:bottom w:val="single" w:color="auto" w:sz="2" w:space="0"/>
              <w:right w:val="single" w:color="auto" w:sz="2" w:space="0"/>
            </w:tcBorders>
            <w:vAlign w:val="center"/>
          </w:tcPr>
          <w:p w14:paraId="4E12873A">
            <w:pPr>
              <w:pStyle w:val="113"/>
              <w:spacing w:line="240" w:lineRule="exact"/>
            </w:pPr>
            <w:r>
              <w:t>涉及县或个数</w:t>
            </w:r>
          </w:p>
        </w:tc>
        <w:tc>
          <w:tcPr>
            <w:tcW w:w="1514" w:type="dxa"/>
            <w:tcBorders>
              <w:top w:val="single" w:color="auto" w:sz="2" w:space="0"/>
              <w:left w:val="single" w:color="auto" w:sz="2" w:space="0"/>
              <w:bottom w:val="single" w:color="auto" w:sz="2" w:space="0"/>
              <w:right w:val="single" w:color="auto" w:sz="2" w:space="0"/>
            </w:tcBorders>
            <w:vAlign w:val="center"/>
          </w:tcPr>
          <w:p w14:paraId="7FF4D2A8">
            <w:pPr>
              <w:pStyle w:val="113"/>
              <w:spacing w:line="240" w:lineRule="exact"/>
            </w:pPr>
            <w:r>
              <w:rPr>
                <w:rFonts w:hint="eastAsia"/>
              </w:rPr>
              <w:t>石柱县</w:t>
            </w:r>
          </w:p>
        </w:tc>
      </w:tr>
      <w:tr w14:paraId="2321E5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414" w:type="dxa"/>
            <w:gridSpan w:val="2"/>
            <w:tcBorders>
              <w:top w:val="single" w:color="auto" w:sz="2" w:space="0"/>
              <w:left w:val="single" w:color="auto" w:sz="2" w:space="0"/>
              <w:bottom w:val="single" w:color="auto" w:sz="2" w:space="0"/>
              <w:right w:val="single" w:color="auto" w:sz="2" w:space="0"/>
            </w:tcBorders>
            <w:vAlign w:val="center"/>
          </w:tcPr>
          <w:p w14:paraId="1B097499">
            <w:pPr>
              <w:pStyle w:val="113"/>
              <w:spacing w:line="240" w:lineRule="exact"/>
            </w:pPr>
            <w:r>
              <w:t>项目规模</w:t>
            </w:r>
          </w:p>
        </w:tc>
        <w:tc>
          <w:tcPr>
            <w:tcW w:w="2153" w:type="dxa"/>
            <w:gridSpan w:val="4"/>
            <w:vAlign w:val="center"/>
          </w:tcPr>
          <w:p w14:paraId="0AFDACA3">
            <w:pPr>
              <w:pStyle w:val="113"/>
              <w:spacing w:line="240" w:lineRule="exact"/>
            </w:pPr>
            <w:r>
              <w:rPr>
                <w:rFonts w:hint="eastAsia"/>
              </w:rPr>
              <w:t>城市主干道，设计速度50km/h，全长4.32km，路幅宽32m，双向六车道</w:t>
            </w:r>
          </w:p>
        </w:tc>
        <w:tc>
          <w:tcPr>
            <w:tcW w:w="1666" w:type="dxa"/>
            <w:gridSpan w:val="2"/>
            <w:tcBorders>
              <w:top w:val="single" w:color="auto" w:sz="2" w:space="0"/>
              <w:left w:val="single" w:color="auto" w:sz="4" w:space="0"/>
              <w:bottom w:val="single" w:color="auto" w:sz="2" w:space="0"/>
              <w:right w:val="single" w:color="auto" w:sz="4" w:space="0"/>
            </w:tcBorders>
            <w:vAlign w:val="center"/>
          </w:tcPr>
          <w:p w14:paraId="62B5B8DC">
            <w:pPr>
              <w:pStyle w:val="113"/>
              <w:spacing w:line="240" w:lineRule="exact"/>
            </w:pPr>
            <w:r>
              <w:t>总投资</w:t>
            </w:r>
            <w:r>
              <w:rPr>
                <w:rFonts w:hint="eastAsia"/>
              </w:rPr>
              <w:t>（万元）</w:t>
            </w:r>
          </w:p>
        </w:tc>
        <w:tc>
          <w:tcPr>
            <w:tcW w:w="1285" w:type="dxa"/>
            <w:gridSpan w:val="2"/>
            <w:tcBorders>
              <w:top w:val="single" w:color="auto" w:sz="2" w:space="0"/>
              <w:left w:val="single" w:color="auto" w:sz="4" w:space="0"/>
              <w:bottom w:val="single" w:color="auto" w:sz="2" w:space="0"/>
              <w:right w:val="single" w:color="auto" w:sz="4" w:space="0"/>
            </w:tcBorders>
            <w:vAlign w:val="center"/>
          </w:tcPr>
          <w:p w14:paraId="68DC89E6">
            <w:pPr>
              <w:pStyle w:val="113"/>
              <w:spacing w:line="240" w:lineRule="exact"/>
            </w:pPr>
            <w:r>
              <w:rPr>
                <w:bCs/>
              </w:rPr>
              <w:t>88607.11</w:t>
            </w:r>
          </w:p>
        </w:tc>
        <w:tc>
          <w:tcPr>
            <w:tcW w:w="1254" w:type="dxa"/>
            <w:gridSpan w:val="2"/>
            <w:tcBorders>
              <w:top w:val="single" w:color="auto" w:sz="2" w:space="0"/>
              <w:left w:val="single" w:color="auto" w:sz="4" w:space="0"/>
              <w:bottom w:val="single" w:color="auto" w:sz="2" w:space="0"/>
              <w:right w:val="single" w:color="auto" w:sz="2" w:space="0"/>
            </w:tcBorders>
            <w:vAlign w:val="center"/>
          </w:tcPr>
          <w:p w14:paraId="313FAA73">
            <w:pPr>
              <w:pStyle w:val="113"/>
              <w:spacing w:line="240" w:lineRule="exact"/>
            </w:pPr>
            <w:r>
              <w:t>土建投资</w:t>
            </w:r>
            <w:r>
              <w:rPr>
                <w:rFonts w:hint="eastAsia"/>
              </w:rPr>
              <w:t>（万元）</w:t>
            </w:r>
          </w:p>
        </w:tc>
        <w:tc>
          <w:tcPr>
            <w:tcW w:w="1514" w:type="dxa"/>
            <w:tcBorders>
              <w:top w:val="single" w:color="auto" w:sz="2" w:space="0"/>
              <w:left w:val="single" w:color="auto" w:sz="2" w:space="0"/>
              <w:bottom w:val="single" w:color="auto" w:sz="2" w:space="0"/>
              <w:right w:val="single" w:color="auto" w:sz="2" w:space="0"/>
            </w:tcBorders>
            <w:vAlign w:val="center"/>
          </w:tcPr>
          <w:p w14:paraId="7E1821EB">
            <w:pPr>
              <w:pStyle w:val="113"/>
              <w:spacing w:line="240" w:lineRule="exact"/>
            </w:pPr>
            <w:r>
              <w:t>70453.59</w:t>
            </w:r>
          </w:p>
        </w:tc>
      </w:tr>
      <w:tr w14:paraId="29C425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414" w:type="dxa"/>
            <w:gridSpan w:val="2"/>
            <w:tcBorders>
              <w:top w:val="single" w:color="auto" w:sz="2" w:space="0"/>
              <w:left w:val="single" w:color="auto" w:sz="2" w:space="0"/>
              <w:bottom w:val="single" w:color="auto" w:sz="2" w:space="0"/>
              <w:right w:val="single" w:color="auto" w:sz="2" w:space="0"/>
            </w:tcBorders>
            <w:vAlign w:val="center"/>
          </w:tcPr>
          <w:p w14:paraId="734BB940">
            <w:pPr>
              <w:pStyle w:val="113"/>
              <w:spacing w:line="240" w:lineRule="exact"/>
            </w:pPr>
            <w:r>
              <w:t>动工时间</w:t>
            </w:r>
          </w:p>
        </w:tc>
        <w:tc>
          <w:tcPr>
            <w:tcW w:w="2153" w:type="dxa"/>
            <w:gridSpan w:val="4"/>
            <w:tcBorders>
              <w:top w:val="single" w:color="auto" w:sz="2" w:space="0"/>
              <w:left w:val="single" w:color="auto" w:sz="2" w:space="0"/>
              <w:bottom w:val="single" w:color="auto" w:sz="2" w:space="0"/>
              <w:right w:val="single" w:color="auto" w:sz="2" w:space="0"/>
            </w:tcBorders>
            <w:vAlign w:val="center"/>
          </w:tcPr>
          <w:p w14:paraId="1F8C84FF">
            <w:pPr>
              <w:pStyle w:val="113"/>
              <w:spacing w:line="240" w:lineRule="exact"/>
            </w:pPr>
            <w:r>
              <w:t>2019年7月</w:t>
            </w:r>
          </w:p>
        </w:tc>
        <w:tc>
          <w:tcPr>
            <w:tcW w:w="1108" w:type="dxa"/>
            <w:tcBorders>
              <w:top w:val="single" w:color="auto" w:sz="2" w:space="0"/>
              <w:left w:val="single" w:color="auto" w:sz="2" w:space="0"/>
              <w:bottom w:val="single" w:color="auto" w:sz="2" w:space="0"/>
              <w:right w:val="single" w:color="auto" w:sz="2" w:space="0"/>
            </w:tcBorders>
            <w:vAlign w:val="center"/>
          </w:tcPr>
          <w:p w14:paraId="05E6242B">
            <w:pPr>
              <w:pStyle w:val="113"/>
              <w:spacing w:line="240" w:lineRule="exact"/>
            </w:pPr>
            <w:r>
              <w:t>完工时间</w:t>
            </w:r>
          </w:p>
        </w:tc>
        <w:tc>
          <w:tcPr>
            <w:tcW w:w="1559" w:type="dxa"/>
            <w:gridSpan w:val="2"/>
            <w:tcBorders>
              <w:top w:val="single" w:color="auto" w:sz="2" w:space="0"/>
              <w:left w:val="single" w:color="auto" w:sz="2" w:space="0"/>
              <w:bottom w:val="single" w:color="auto" w:sz="2" w:space="0"/>
              <w:right w:val="single" w:color="auto" w:sz="2" w:space="0"/>
            </w:tcBorders>
            <w:vAlign w:val="center"/>
          </w:tcPr>
          <w:p w14:paraId="0F838B45">
            <w:pPr>
              <w:pStyle w:val="113"/>
              <w:spacing w:line="240" w:lineRule="exact"/>
            </w:pPr>
            <w:r>
              <w:t>20</w:t>
            </w:r>
            <w:r>
              <w:rPr>
                <w:rFonts w:hint="eastAsia"/>
              </w:rPr>
              <w:t>2</w:t>
            </w:r>
            <w:r>
              <w:t>2年6月</w:t>
            </w:r>
          </w:p>
        </w:tc>
        <w:tc>
          <w:tcPr>
            <w:tcW w:w="1538" w:type="dxa"/>
            <w:gridSpan w:val="3"/>
            <w:tcBorders>
              <w:top w:val="single" w:color="auto" w:sz="2" w:space="0"/>
              <w:left w:val="single" w:color="auto" w:sz="2" w:space="0"/>
              <w:bottom w:val="single" w:color="auto" w:sz="2" w:space="0"/>
              <w:right w:val="single" w:color="auto" w:sz="2" w:space="0"/>
            </w:tcBorders>
            <w:vAlign w:val="center"/>
          </w:tcPr>
          <w:p w14:paraId="350C8DB1">
            <w:pPr>
              <w:pStyle w:val="113"/>
              <w:spacing w:line="240" w:lineRule="exact"/>
            </w:pPr>
            <w:r>
              <w:t>设计水平年</w:t>
            </w:r>
          </w:p>
        </w:tc>
        <w:tc>
          <w:tcPr>
            <w:tcW w:w="1514" w:type="dxa"/>
            <w:tcBorders>
              <w:top w:val="single" w:color="auto" w:sz="2" w:space="0"/>
              <w:left w:val="single" w:color="auto" w:sz="2" w:space="0"/>
              <w:bottom w:val="single" w:color="auto" w:sz="2" w:space="0"/>
              <w:right w:val="single" w:color="auto" w:sz="2" w:space="0"/>
            </w:tcBorders>
            <w:vAlign w:val="center"/>
          </w:tcPr>
          <w:p w14:paraId="57C33B6C">
            <w:pPr>
              <w:pStyle w:val="113"/>
              <w:spacing w:line="240" w:lineRule="exact"/>
            </w:pPr>
            <w:r>
              <w:t>20</w:t>
            </w:r>
            <w:r>
              <w:rPr>
                <w:rFonts w:hint="eastAsia"/>
              </w:rPr>
              <w:t>2</w:t>
            </w:r>
            <w:r>
              <w:t>2年</w:t>
            </w:r>
          </w:p>
        </w:tc>
      </w:tr>
      <w:tr w14:paraId="3C7310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414" w:type="dxa"/>
            <w:gridSpan w:val="2"/>
            <w:tcBorders>
              <w:top w:val="single" w:color="auto" w:sz="2" w:space="0"/>
              <w:left w:val="single" w:color="auto" w:sz="2" w:space="0"/>
              <w:bottom w:val="single" w:color="auto" w:sz="2" w:space="0"/>
              <w:right w:val="single" w:color="auto" w:sz="2" w:space="0"/>
            </w:tcBorders>
            <w:vAlign w:val="center"/>
          </w:tcPr>
          <w:p w14:paraId="0BE0D403">
            <w:pPr>
              <w:pStyle w:val="113"/>
              <w:spacing w:line="240" w:lineRule="exact"/>
            </w:pPr>
            <w:r>
              <w:t>工程占地（hm</w:t>
            </w:r>
            <w:r>
              <w:rPr>
                <w:vertAlign w:val="superscript"/>
              </w:rPr>
              <w:t>2</w:t>
            </w:r>
            <w:r>
              <w:t>）</w:t>
            </w:r>
          </w:p>
        </w:tc>
        <w:tc>
          <w:tcPr>
            <w:tcW w:w="1583" w:type="dxa"/>
            <w:gridSpan w:val="3"/>
            <w:tcBorders>
              <w:top w:val="single" w:color="auto" w:sz="2" w:space="0"/>
              <w:left w:val="single" w:color="auto" w:sz="2" w:space="0"/>
              <w:bottom w:val="single" w:color="auto" w:sz="2" w:space="0"/>
              <w:right w:val="single" w:color="auto" w:sz="4" w:space="0"/>
            </w:tcBorders>
            <w:vAlign w:val="center"/>
          </w:tcPr>
          <w:p w14:paraId="1E614EA8">
            <w:pPr>
              <w:pStyle w:val="113"/>
              <w:spacing w:line="240" w:lineRule="exact"/>
            </w:pPr>
            <w:r>
              <w:t>75.47</w:t>
            </w:r>
          </w:p>
        </w:tc>
        <w:tc>
          <w:tcPr>
            <w:tcW w:w="1678" w:type="dxa"/>
            <w:gridSpan w:val="2"/>
            <w:tcBorders>
              <w:top w:val="single" w:color="auto" w:sz="2" w:space="0"/>
              <w:left w:val="single" w:color="auto" w:sz="4" w:space="0"/>
              <w:bottom w:val="single" w:color="auto" w:sz="2" w:space="0"/>
              <w:right w:val="single" w:color="auto" w:sz="2" w:space="0"/>
            </w:tcBorders>
            <w:vAlign w:val="center"/>
          </w:tcPr>
          <w:p w14:paraId="71D14764">
            <w:pPr>
              <w:pStyle w:val="113"/>
              <w:spacing w:line="240" w:lineRule="exact"/>
            </w:pPr>
            <w:r>
              <w:t>永久占地（hm</w:t>
            </w:r>
            <w:r>
              <w:rPr>
                <w:vertAlign w:val="superscript"/>
              </w:rPr>
              <w:t>2</w:t>
            </w:r>
            <w:r>
              <w:t>）</w:t>
            </w:r>
          </w:p>
        </w:tc>
        <w:tc>
          <w:tcPr>
            <w:tcW w:w="1559" w:type="dxa"/>
            <w:gridSpan w:val="2"/>
            <w:tcBorders>
              <w:top w:val="single" w:color="auto" w:sz="2" w:space="0"/>
              <w:left w:val="single" w:color="auto" w:sz="2" w:space="0"/>
              <w:bottom w:val="single" w:color="auto" w:sz="2" w:space="0"/>
              <w:right w:val="single" w:color="auto" w:sz="2" w:space="0"/>
            </w:tcBorders>
            <w:vAlign w:val="center"/>
          </w:tcPr>
          <w:p w14:paraId="7FF3B81A">
            <w:pPr>
              <w:pStyle w:val="113"/>
              <w:spacing w:line="240" w:lineRule="exact"/>
            </w:pPr>
            <w:r>
              <w:t>16.91</w:t>
            </w:r>
          </w:p>
        </w:tc>
        <w:tc>
          <w:tcPr>
            <w:tcW w:w="1538" w:type="dxa"/>
            <w:gridSpan w:val="3"/>
            <w:tcBorders>
              <w:top w:val="single" w:color="auto" w:sz="2" w:space="0"/>
              <w:left w:val="single" w:color="auto" w:sz="2" w:space="0"/>
              <w:bottom w:val="single" w:color="auto" w:sz="2" w:space="0"/>
              <w:right w:val="single" w:color="auto" w:sz="2" w:space="0"/>
            </w:tcBorders>
            <w:vAlign w:val="center"/>
          </w:tcPr>
          <w:p w14:paraId="7E0CA0DA">
            <w:pPr>
              <w:pStyle w:val="113"/>
              <w:spacing w:line="240" w:lineRule="exact"/>
            </w:pPr>
            <w:r>
              <w:t>临时占地（hm</w:t>
            </w:r>
            <w:r>
              <w:rPr>
                <w:vertAlign w:val="superscript"/>
              </w:rPr>
              <w:t>2</w:t>
            </w:r>
            <w:r>
              <w:t>）</w:t>
            </w:r>
          </w:p>
        </w:tc>
        <w:tc>
          <w:tcPr>
            <w:tcW w:w="1514" w:type="dxa"/>
            <w:tcBorders>
              <w:top w:val="single" w:color="auto" w:sz="2" w:space="0"/>
              <w:left w:val="single" w:color="auto" w:sz="2" w:space="0"/>
              <w:bottom w:val="single" w:color="auto" w:sz="2" w:space="0"/>
              <w:right w:val="single" w:color="auto" w:sz="2" w:space="0"/>
            </w:tcBorders>
            <w:vAlign w:val="center"/>
          </w:tcPr>
          <w:p w14:paraId="06E24220">
            <w:pPr>
              <w:pStyle w:val="113"/>
              <w:spacing w:line="240" w:lineRule="exact"/>
            </w:pPr>
            <w:r>
              <w:t>58.56</w:t>
            </w:r>
          </w:p>
        </w:tc>
      </w:tr>
      <w:tr w14:paraId="78F5E7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567" w:type="dxa"/>
            <w:gridSpan w:val="6"/>
            <w:vMerge w:val="restart"/>
            <w:tcBorders>
              <w:top w:val="single" w:color="auto" w:sz="2" w:space="0"/>
              <w:left w:val="single" w:color="auto" w:sz="2" w:space="0"/>
              <w:bottom w:val="single" w:color="auto" w:sz="2" w:space="0"/>
              <w:right w:val="single" w:color="auto" w:sz="2" w:space="0"/>
            </w:tcBorders>
            <w:vAlign w:val="center"/>
          </w:tcPr>
          <w:p w14:paraId="113E3F68">
            <w:pPr>
              <w:pStyle w:val="113"/>
              <w:spacing w:line="240" w:lineRule="exact"/>
              <w:rPr>
                <w:u w:color="000000"/>
              </w:rPr>
            </w:pPr>
            <w:r>
              <w:rPr>
                <w:u w:color="000000"/>
              </w:rPr>
              <w:t>土石方量（万m</w:t>
            </w:r>
            <w:r>
              <w:rPr>
                <w:u w:color="000000"/>
                <w:vertAlign w:val="superscript"/>
              </w:rPr>
              <w:t>3</w:t>
            </w:r>
            <w:r>
              <w:rPr>
                <w:u w:color="000000"/>
              </w:rPr>
              <w:t>）</w:t>
            </w:r>
          </w:p>
        </w:tc>
        <w:tc>
          <w:tcPr>
            <w:tcW w:w="1108" w:type="dxa"/>
            <w:tcBorders>
              <w:top w:val="single" w:color="auto" w:sz="2" w:space="0"/>
              <w:left w:val="single" w:color="auto" w:sz="2" w:space="0"/>
              <w:bottom w:val="single" w:color="auto" w:sz="2" w:space="0"/>
              <w:right w:val="single" w:color="auto" w:sz="2" w:space="0"/>
            </w:tcBorders>
            <w:vAlign w:val="center"/>
          </w:tcPr>
          <w:p w14:paraId="3C99EF4F">
            <w:pPr>
              <w:pStyle w:val="113"/>
              <w:spacing w:line="240" w:lineRule="exact"/>
            </w:pPr>
            <w:r>
              <w:t>挖方</w:t>
            </w:r>
          </w:p>
        </w:tc>
        <w:tc>
          <w:tcPr>
            <w:tcW w:w="1559" w:type="dxa"/>
            <w:gridSpan w:val="2"/>
            <w:tcBorders>
              <w:top w:val="single" w:color="auto" w:sz="2" w:space="0"/>
              <w:left w:val="single" w:color="auto" w:sz="2" w:space="0"/>
              <w:bottom w:val="single" w:color="auto" w:sz="2" w:space="0"/>
              <w:right w:val="single" w:color="auto" w:sz="2" w:space="0"/>
            </w:tcBorders>
            <w:vAlign w:val="center"/>
          </w:tcPr>
          <w:p w14:paraId="6F14B0D4">
            <w:pPr>
              <w:pStyle w:val="113"/>
              <w:spacing w:line="240" w:lineRule="exact"/>
            </w:pPr>
            <w:r>
              <w:t>填方</w:t>
            </w:r>
          </w:p>
        </w:tc>
        <w:tc>
          <w:tcPr>
            <w:tcW w:w="1538" w:type="dxa"/>
            <w:gridSpan w:val="3"/>
            <w:tcBorders>
              <w:top w:val="single" w:color="auto" w:sz="2" w:space="0"/>
              <w:left w:val="single" w:color="auto" w:sz="2" w:space="0"/>
              <w:bottom w:val="single" w:color="auto" w:sz="2" w:space="0"/>
              <w:right w:val="single" w:color="auto" w:sz="2" w:space="0"/>
            </w:tcBorders>
            <w:vAlign w:val="center"/>
          </w:tcPr>
          <w:p w14:paraId="03575BCA">
            <w:pPr>
              <w:pStyle w:val="113"/>
              <w:spacing w:line="240" w:lineRule="exact"/>
            </w:pPr>
            <w:r>
              <w:t>借方</w:t>
            </w:r>
          </w:p>
        </w:tc>
        <w:tc>
          <w:tcPr>
            <w:tcW w:w="1514" w:type="dxa"/>
            <w:tcBorders>
              <w:top w:val="single" w:color="auto" w:sz="2" w:space="0"/>
              <w:left w:val="single" w:color="auto" w:sz="2" w:space="0"/>
              <w:bottom w:val="single" w:color="auto" w:sz="2" w:space="0"/>
              <w:right w:val="single" w:color="auto" w:sz="2" w:space="0"/>
            </w:tcBorders>
            <w:vAlign w:val="center"/>
          </w:tcPr>
          <w:p w14:paraId="35ED6159">
            <w:pPr>
              <w:pStyle w:val="113"/>
              <w:spacing w:line="240" w:lineRule="exact"/>
            </w:pPr>
            <w:r>
              <w:rPr>
                <w:rFonts w:hint="eastAsia"/>
              </w:rPr>
              <w:t>余</w:t>
            </w:r>
            <w:r>
              <w:t>方</w:t>
            </w:r>
          </w:p>
        </w:tc>
      </w:tr>
      <w:tr w14:paraId="4FB373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567" w:type="dxa"/>
            <w:gridSpan w:val="6"/>
            <w:vMerge w:val="continue"/>
            <w:tcBorders>
              <w:top w:val="single" w:color="auto" w:sz="2" w:space="0"/>
              <w:left w:val="single" w:color="auto" w:sz="2" w:space="0"/>
              <w:bottom w:val="single" w:color="auto" w:sz="2" w:space="0"/>
              <w:right w:val="single" w:color="auto" w:sz="2" w:space="0"/>
            </w:tcBorders>
            <w:vAlign w:val="center"/>
          </w:tcPr>
          <w:p w14:paraId="6C38F18D">
            <w:pPr>
              <w:pStyle w:val="113"/>
              <w:spacing w:line="240" w:lineRule="exact"/>
              <w:rPr>
                <w:position w:val="-24"/>
                <w:u w:color="000000"/>
              </w:rPr>
            </w:pPr>
          </w:p>
        </w:tc>
        <w:tc>
          <w:tcPr>
            <w:tcW w:w="1108" w:type="dxa"/>
            <w:tcBorders>
              <w:top w:val="single" w:color="auto" w:sz="2" w:space="0"/>
              <w:left w:val="single" w:color="auto" w:sz="2" w:space="0"/>
              <w:bottom w:val="single" w:color="auto" w:sz="2" w:space="0"/>
              <w:right w:val="single" w:color="auto" w:sz="2" w:space="0"/>
            </w:tcBorders>
            <w:shd w:val="clear" w:color="auto" w:fill="auto"/>
            <w:vAlign w:val="center"/>
          </w:tcPr>
          <w:p w14:paraId="7862CAE1">
            <w:pPr>
              <w:pStyle w:val="113"/>
              <w:spacing w:line="240" w:lineRule="exact"/>
            </w:pPr>
            <w:r>
              <w:t>557.85</w:t>
            </w:r>
          </w:p>
        </w:tc>
        <w:tc>
          <w:tcPr>
            <w:tcW w:w="1559"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5664332E">
            <w:pPr>
              <w:pStyle w:val="113"/>
              <w:spacing w:line="240" w:lineRule="exact"/>
            </w:pPr>
            <w:r>
              <w:t>395.03</w:t>
            </w:r>
          </w:p>
        </w:tc>
        <w:tc>
          <w:tcPr>
            <w:tcW w:w="1538"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1DBB424C">
            <w:pPr>
              <w:pStyle w:val="113"/>
              <w:spacing w:line="240" w:lineRule="exact"/>
            </w:pPr>
            <w:r>
              <w:rPr>
                <w:rFonts w:hint="eastAsia"/>
              </w:rPr>
              <w:t>0</w:t>
            </w:r>
          </w:p>
        </w:tc>
        <w:tc>
          <w:tcPr>
            <w:tcW w:w="1514" w:type="dxa"/>
            <w:tcBorders>
              <w:top w:val="single" w:color="auto" w:sz="2" w:space="0"/>
              <w:left w:val="single" w:color="auto" w:sz="2" w:space="0"/>
              <w:bottom w:val="single" w:color="auto" w:sz="2" w:space="0"/>
              <w:right w:val="single" w:color="auto" w:sz="2" w:space="0"/>
            </w:tcBorders>
            <w:shd w:val="clear" w:color="auto" w:fill="auto"/>
            <w:vAlign w:val="center"/>
          </w:tcPr>
          <w:p w14:paraId="6AD16BE7">
            <w:pPr>
              <w:pStyle w:val="113"/>
              <w:spacing w:line="240" w:lineRule="exact"/>
            </w:pPr>
            <w:r>
              <w:t>162.82</w:t>
            </w:r>
          </w:p>
        </w:tc>
      </w:tr>
      <w:tr w14:paraId="1D1D3D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4"/>
            <w:tcBorders>
              <w:top w:val="single" w:color="auto" w:sz="2" w:space="0"/>
              <w:left w:val="single" w:color="auto" w:sz="2" w:space="0"/>
              <w:bottom w:val="single" w:color="auto" w:sz="2" w:space="0"/>
              <w:right w:val="single" w:color="auto" w:sz="4" w:space="0"/>
            </w:tcBorders>
            <w:vAlign w:val="center"/>
          </w:tcPr>
          <w:p w14:paraId="10AA7B94">
            <w:pPr>
              <w:pStyle w:val="113"/>
              <w:spacing w:line="240" w:lineRule="exact"/>
              <w:rPr>
                <w:u w:color="000000"/>
              </w:rPr>
            </w:pPr>
            <w:r>
              <w:rPr>
                <w:u w:color="000000"/>
              </w:rPr>
              <w:t>重点防治区名称</w:t>
            </w:r>
          </w:p>
        </w:tc>
        <w:tc>
          <w:tcPr>
            <w:tcW w:w="6638" w:type="dxa"/>
            <w:gridSpan w:val="9"/>
            <w:tcBorders>
              <w:top w:val="single" w:color="auto" w:sz="2" w:space="0"/>
              <w:left w:val="single" w:color="auto" w:sz="4" w:space="0"/>
              <w:bottom w:val="single" w:color="auto" w:sz="2" w:space="0"/>
              <w:right w:val="single" w:color="auto" w:sz="2" w:space="0"/>
            </w:tcBorders>
            <w:vAlign w:val="center"/>
          </w:tcPr>
          <w:p w14:paraId="3597C482">
            <w:pPr>
              <w:pStyle w:val="113"/>
              <w:spacing w:line="240" w:lineRule="exact"/>
              <w:rPr>
                <w:u w:color="000000"/>
              </w:rPr>
            </w:pPr>
            <w:r>
              <w:rPr>
                <w:rFonts w:hint="eastAsia"/>
                <w:u w:color="000000"/>
              </w:rPr>
              <w:t>三峡库区国家级水土流失重点治理区及重庆市水土流失重点治理区</w:t>
            </w:r>
          </w:p>
        </w:tc>
      </w:tr>
      <w:tr w14:paraId="0DDD04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4"/>
            <w:tcBorders>
              <w:top w:val="single" w:color="auto" w:sz="2" w:space="0"/>
              <w:left w:val="single" w:color="auto" w:sz="2" w:space="0"/>
              <w:bottom w:val="single" w:color="auto" w:sz="2" w:space="0"/>
              <w:right w:val="single" w:color="auto" w:sz="2" w:space="0"/>
            </w:tcBorders>
            <w:vAlign w:val="center"/>
          </w:tcPr>
          <w:p w14:paraId="72EC394A">
            <w:pPr>
              <w:pStyle w:val="113"/>
              <w:spacing w:line="240" w:lineRule="exact"/>
            </w:pPr>
            <w:r>
              <w:t>地貌类型</w:t>
            </w:r>
          </w:p>
        </w:tc>
        <w:tc>
          <w:tcPr>
            <w:tcW w:w="2027" w:type="dxa"/>
            <w:gridSpan w:val="3"/>
            <w:vAlign w:val="center"/>
          </w:tcPr>
          <w:p w14:paraId="1B3A0117">
            <w:pPr>
              <w:pStyle w:val="113"/>
              <w:spacing w:line="240" w:lineRule="exact"/>
            </w:pPr>
            <w:r>
              <w:rPr>
                <w:rFonts w:hint="eastAsia"/>
              </w:rPr>
              <w:t>构造剥蚀丘陵地貌</w:t>
            </w:r>
          </w:p>
        </w:tc>
        <w:tc>
          <w:tcPr>
            <w:tcW w:w="2638" w:type="dxa"/>
            <w:gridSpan w:val="4"/>
            <w:tcBorders>
              <w:top w:val="single" w:color="auto" w:sz="2" w:space="0"/>
              <w:left w:val="single" w:color="auto" w:sz="2" w:space="0"/>
              <w:bottom w:val="single" w:color="auto" w:sz="2" w:space="0"/>
              <w:right w:val="single" w:color="auto" w:sz="4" w:space="0"/>
            </w:tcBorders>
            <w:vAlign w:val="center"/>
          </w:tcPr>
          <w:p w14:paraId="413E218A">
            <w:pPr>
              <w:pStyle w:val="113"/>
              <w:spacing w:line="240" w:lineRule="exact"/>
            </w:pPr>
            <w:r>
              <w:t>水土保持区划</w:t>
            </w:r>
          </w:p>
        </w:tc>
        <w:tc>
          <w:tcPr>
            <w:tcW w:w="1973" w:type="dxa"/>
            <w:gridSpan w:val="2"/>
            <w:tcBorders>
              <w:top w:val="single" w:color="auto" w:sz="2" w:space="0"/>
              <w:left w:val="single" w:color="auto" w:sz="4" w:space="0"/>
              <w:bottom w:val="single" w:color="auto" w:sz="2" w:space="0"/>
              <w:right w:val="single" w:color="auto" w:sz="2" w:space="0"/>
            </w:tcBorders>
            <w:vAlign w:val="center"/>
          </w:tcPr>
          <w:p w14:paraId="2802375B">
            <w:pPr>
              <w:pStyle w:val="113"/>
              <w:spacing w:line="240" w:lineRule="exact"/>
            </w:pPr>
            <w:r>
              <w:t>西南紫色土区</w:t>
            </w:r>
          </w:p>
        </w:tc>
      </w:tr>
      <w:tr w14:paraId="11BFBA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4"/>
            <w:tcBorders>
              <w:top w:val="single" w:color="auto" w:sz="2" w:space="0"/>
              <w:left w:val="single" w:color="auto" w:sz="2" w:space="0"/>
              <w:bottom w:val="single" w:color="auto" w:sz="2" w:space="0"/>
              <w:right w:val="single" w:color="auto" w:sz="2" w:space="0"/>
            </w:tcBorders>
            <w:vAlign w:val="center"/>
          </w:tcPr>
          <w:p w14:paraId="7415CC53">
            <w:pPr>
              <w:pStyle w:val="113"/>
              <w:spacing w:line="240" w:lineRule="exact"/>
            </w:pPr>
            <w:r>
              <w:t>土壤侵蚀类型</w:t>
            </w:r>
          </w:p>
        </w:tc>
        <w:tc>
          <w:tcPr>
            <w:tcW w:w="2027" w:type="dxa"/>
            <w:gridSpan w:val="3"/>
            <w:tcBorders>
              <w:top w:val="single" w:color="auto" w:sz="2" w:space="0"/>
              <w:left w:val="single" w:color="auto" w:sz="2" w:space="0"/>
              <w:bottom w:val="single" w:color="auto" w:sz="2" w:space="0"/>
              <w:right w:val="single" w:color="auto" w:sz="2" w:space="0"/>
            </w:tcBorders>
            <w:vAlign w:val="center"/>
          </w:tcPr>
          <w:p w14:paraId="001F48C7">
            <w:pPr>
              <w:pStyle w:val="113"/>
              <w:spacing w:line="240" w:lineRule="exact"/>
            </w:pPr>
            <w:r>
              <w:t>水力侵蚀</w:t>
            </w:r>
          </w:p>
        </w:tc>
        <w:tc>
          <w:tcPr>
            <w:tcW w:w="2638" w:type="dxa"/>
            <w:gridSpan w:val="4"/>
            <w:tcBorders>
              <w:top w:val="single" w:color="auto" w:sz="2" w:space="0"/>
              <w:left w:val="single" w:color="auto" w:sz="2" w:space="0"/>
              <w:bottom w:val="single" w:color="auto" w:sz="2" w:space="0"/>
              <w:right w:val="single" w:color="auto" w:sz="4" w:space="0"/>
            </w:tcBorders>
            <w:vAlign w:val="center"/>
          </w:tcPr>
          <w:p w14:paraId="6315937B">
            <w:pPr>
              <w:pStyle w:val="113"/>
              <w:spacing w:line="240" w:lineRule="exact"/>
            </w:pPr>
            <w:r>
              <w:t>土壤侵蚀强度</w:t>
            </w:r>
          </w:p>
        </w:tc>
        <w:tc>
          <w:tcPr>
            <w:tcW w:w="1973" w:type="dxa"/>
            <w:gridSpan w:val="2"/>
            <w:tcBorders>
              <w:top w:val="single" w:color="auto" w:sz="2" w:space="0"/>
              <w:left w:val="single" w:color="auto" w:sz="4" w:space="0"/>
              <w:bottom w:val="single" w:color="auto" w:sz="2" w:space="0"/>
              <w:right w:val="single" w:color="auto" w:sz="2" w:space="0"/>
            </w:tcBorders>
            <w:vAlign w:val="center"/>
          </w:tcPr>
          <w:p w14:paraId="438C5AA3">
            <w:pPr>
              <w:pStyle w:val="113"/>
              <w:spacing w:line="240" w:lineRule="exact"/>
            </w:pPr>
            <w:r>
              <w:rPr>
                <w:rFonts w:hint="eastAsia"/>
              </w:rPr>
              <w:t>轻度</w:t>
            </w:r>
            <w:r>
              <w:t>侵蚀</w:t>
            </w:r>
          </w:p>
        </w:tc>
      </w:tr>
      <w:tr w14:paraId="7AB83D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4"/>
            <w:tcBorders>
              <w:top w:val="single" w:color="auto" w:sz="2" w:space="0"/>
              <w:left w:val="single" w:color="auto" w:sz="2" w:space="0"/>
              <w:bottom w:val="single" w:color="auto" w:sz="2" w:space="0"/>
              <w:right w:val="single" w:color="auto" w:sz="2" w:space="0"/>
            </w:tcBorders>
            <w:vAlign w:val="center"/>
          </w:tcPr>
          <w:p w14:paraId="592CD43D">
            <w:pPr>
              <w:pStyle w:val="113"/>
              <w:spacing w:line="240" w:lineRule="exact"/>
            </w:pPr>
            <w:r>
              <w:t>防治责任范围</w:t>
            </w:r>
            <w:r>
              <w:rPr>
                <w:rFonts w:hint="eastAsia"/>
              </w:rPr>
              <w:t>面积</w:t>
            </w:r>
            <w:r>
              <w:t>（hm</w:t>
            </w:r>
            <w:r>
              <w:rPr>
                <w:vertAlign w:val="superscript"/>
              </w:rPr>
              <w:t>2</w:t>
            </w:r>
            <w:r>
              <w:t>）</w:t>
            </w:r>
          </w:p>
        </w:tc>
        <w:tc>
          <w:tcPr>
            <w:tcW w:w="2027" w:type="dxa"/>
            <w:gridSpan w:val="3"/>
            <w:tcBorders>
              <w:top w:val="single" w:color="auto" w:sz="2" w:space="0"/>
              <w:left w:val="single" w:color="auto" w:sz="2" w:space="0"/>
              <w:bottom w:val="single" w:color="auto" w:sz="2" w:space="0"/>
              <w:right w:val="single" w:color="auto" w:sz="2" w:space="0"/>
            </w:tcBorders>
            <w:vAlign w:val="center"/>
          </w:tcPr>
          <w:p w14:paraId="2F026C56">
            <w:pPr>
              <w:pStyle w:val="113"/>
              <w:spacing w:line="240" w:lineRule="exact"/>
            </w:pPr>
            <w:r>
              <w:t>74.33</w:t>
            </w:r>
            <w:r>
              <w:rPr>
                <w:rFonts w:hint="eastAsia"/>
              </w:rPr>
              <w:t>（不含移交第三方项目占地1</w:t>
            </w:r>
            <w:r>
              <w:t>.14</w:t>
            </w:r>
            <w:r>
              <w:rPr>
                <w:rFonts w:hint="eastAsia"/>
              </w:rPr>
              <w:t>）</w:t>
            </w:r>
          </w:p>
        </w:tc>
        <w:tc>
          <w:tcPr>
            <w:tcW w:w="2638" w:type="dxa"/>
            <w:gridSpan w:val="4"/>
            <w:tcBorders>
              <w:top w:val="single" w:color="auto" w:sz="2" w:space="0"/>
              <w:left w:val="single" w:color="auto" w:sz="2" w:space="0"/>
              <w:bottom w:val="single" w:color="auto" w:sz="2" w:space="0"/>
              <w:right w:val="single" w:color="auto" w:sz="4" w:space="0"/>
            </w:tcBorders>
            <w:vAlign w:val="center"/>
          </w:tcPr>
          <w:p w14:paraId="02AA16D5">
            <w:pPr>
              <w:pStyle w:val="113"/>
              <w:spacing w:line="240" w:lineRule="exact"/>
            </w:pPr>
            <w:r>
              <w:t>容许土壤流失量［t/(km</w:t>
            </w:r>
            <w:r>
              <w:rPr>
                <w:vertAlign w:val="superscript"/>
              </w:rPr>
              <w:t>2</w:t>
            </w:r>
            <w:r>
              <w:t>.a)］</w:t>
            </w:r>
          </w:p>
        </w:tc>
        <w:tc>
          <w:tcPr>
            <w:tcW w:w="1973" w:type="dxa"/>
            <w:gridSpan w:val="2"/>
            <w:tcBorders>
              <w:top w:val="single" w:color="auto" w:sz="2" w:space="0"/>
              <w:left w:val="single" w:color="auto" w:sz="4" w:space="0"/>
              <w:bottom w:val="single" w:color="auto" w:sz="2" w:space="0"/>
              <w:right w:val="single" w:color="auto" w:sz="2" w:space="0"/>
            </w:tcBorders>
            <w:vAlign w:val="center"/>
          </w:tcPr>
          <w:p w14:paraId="6813F75A">
            <w:pPr>
              <w:pStyle w:val="113"/>
              <w:spacing w:line="240" w:lineRule="exact"/>
            </w:pPr>
            <w:r>
              <w:t>500</w:t>
            </w:r>
          </w:p>
        </w:tc>
      </w:tr>
      <w:tr w14:paraId="5DD4F6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4"/>
            <w:tcBorders>
              <w:top w:val="single" w:color="auto" w:sz="2" w:space="0"/>
              <w:left w:val="single" w:color="auto" w:sz="2" w:space="0"/>
              <w:bottom w:val="single" w:color="auto" w:sz="2" w:space="0"/>
              <w:right w:val="single" w:color="auto" w:sz="2" w:space="0"/>
            </w:tcBorders>
            <w:vAlign w:val="center"/>
          </w:tcPr>
          <w:p w14:paraId="68446219">
            <w:pPr>
              <w:pStyle w:val="113"/>
              <w:spacing w:line="240" w:lineRule="exact"/>
            </w:pPr>
            <w:r>
              <w:t>土壤流失预测总量</w:t>
            </w:r>
            <w:r>
              <w:rPr>
                <w:rFonts w:hint="eastAsia"/>
              </w:rPr>
              <w:t>（t）</w:t>
            </w:r>
          </w:p>
        </w:tc>
        <w:tc>
          <w:tcPr>
            <w:tcW w:w="2027" w:type="dxa"/>
            <w:gridSpan w:val="3"/>
            <w:tcBorders>
              <w:top w:val="single" w:color="auto" w:sz="2" w:space="0"/>
              <w:left w:val="single" w:color="auto" w:sz="2" w:space="0"/>
              <w:bottom w:val="single" w:color="auto" w:sz="2" w:space="0"/>
              <w:right w:val="single" w:color="auto" w:sz="2" w:space="0"/>
            </w:tcBorders>
            <w:vAlign w:val="center"/>
          </w:tcPr>
          <w:p w14:paraId="23E0A780">
            <w:pPr>
              <w:pStyle w:val="113"/>
              <w:spacing w:line="240" w:lineRule="exact"/>
            </w:pPr>
            <w:r>
              <w:t>13313</w:t>
            </w:r>
          </w:p>
        </w:tc>
        <w:tc>
          <w:tcPr>
            <w:tcW w:w="2638" w:type="dxa"/>
            <w:gridSpan w:val="4"/>
            <w:tcBorders>
              <w:top w:val="single" w:color="auto" w:sz="2" w:space="0"/>
              <w:left w:val="single" w:color="auto" w:sz="2" w:space="0"/>
              <w:bottom w:val="single" w:color="auto" w:sz="2" w:space="0"/>
              <w:right w:val="single" w:color="auto" w:sz="4" w:space="0"/>
            </w:tcBorders>
            <w:vAlign w:val="center"/>
          </w:tcPr>
          <w:p w14:paraId="125A4A47">
            <w:pPr>
              <w:pStyle w:val="113"/>
              <w:spacing w:line="240" w:lineRule="exact"/>
            </w:pPr>
            <w:r>
              <w:t>新增土壤流失量</w:t>
            </w:r>
            <w:r>
              <w:rPr>
                <w:rFonts w:hint="eastAsia"/>
              </w:rPr>
              <w:t>（t）</w:t>
            </w:r>
          </w:p>
        </w:tc>
        <w:tc>
          <w:tcPr>
            <w:tcW w:w="1973" w:type="dxa"/>
            <w:gridSpan w:val="2"/>
            <w:tcBorders>
              <w:top w:val="single" w:color="auto" w:sz="2" w:space="0"/>
              <w:left w:val="single" w:color="auto" w:sz="4" w:space="0"/>
              <w:bottom w:val="single" w:color="auto" w:sz="2" w:space="0"/>
              <w:right w:val="single" w:color="auto" w:sz="2" w:space="0"/>
            </w:tcBorders>
            <w:vAlign w:val="center"/>
          </w:tcPr>
          <w:p w14:paraId="4CB37696">
            <w:pPr>
              <w:pStyle w:val="113"/>
              <w:spacing w:line="240" w:lineRule="exact"/>
            </w:pPr>
            <w:r>
              <w:t>9669</w:t>
            </w:r>
          </w:p>
        </w:tc>
      </w:tr>
      <w:tr w14:paraId="099DE0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4"/>
            <w:tcBorders>
              <w:top w:val="single" w:color="auto" w:sz="2" w:space="0"/>
              <w:left w:val="single" w:color="auto" w:sz="2" w:space="0"/>
              <w:bottom w:val="single" w:color="auto" w:sz="2" w:space="0"/>
              <w:right w:val="single" w:color="auto" w:sz="2" w:space="0"/>
            </w:tcBorders>
            <w:vAlign w:val="center"/>
          </w:tcPr>
          <w:p w14:paraId="18A6C7D3">
            <w:pPr>
              <w:pStyle w:val="113"/>
              <w:spacing w:line="240" w:lineRule="exact"/>
            </w:pPr>
            <w:r>
              <w:t>水土流失防治</w:t>
            </w:r>
          </w:p>
          <w:p w14:paraId="793FA486">
            <w:pPr>
              <w:pStyle w:val="113"/>
              <w:spacing w:line="240" w:lineRule="exact"/>
            </w:pPr>
            <w:r>
              <w:t>标准执行等级</w:t>
            </w:r>
          </w:p>
        </w:tc>
        <w:tc>
          <w:tcPr>
            <w:tcW w:w="6638" w:type="dxa"/>
            <w:gridSpan w:val="9"/>
            <w:tcBorders>
              <w:top w:val="single" w:color="auto" w:sz="2" w:space="0"/>
              <w:left w:val="single" w:color="auto" w:sz="2" w:space="0"/>
              <w:bottom w:val="single" w:color="auto" w:sz="2" w:space="0"/>
              <w:right w:val="single" w:color="auto" w:sz="2" w:space="0"/>
            </w:tcBorders>
            <w:vAlign w:val="center"/>
          </w:tcPr>
          <w:p w14:paraId="54CC8CD4">
            <w:pPr>
              <w:pStyle w:val="113"/>
              <w:spacing w:line="240" w:lineRule="exact"/>
            </w:pPr>
            <w:r>
              <w:rPr>
                <w:rFonts w:hint="eastAsia"/>
              </w:rPr>
              <w:t>西南紫色土区建设类项目一级标准</w:t>
            </w:r>
          </w:p>
        </w:tc>
      </w:tr>
      <w:tr w14:paraId="772EFB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99" w:type="dxa"/>
            <w:vMerge w:val="restart"/>
            <w:tcBorders>
              <w:top w:val="single" w:color="auto" w:sz="2" w:space="0"/>
              <w:left w:val="single" w:color="auto" w:sz="2" w:space="0"/>
              <w:bottom w:val="single" w:color="auto" w:sz="2" w:space="0"/>
              <w:right w:val="single" w:color="auto" w:sz="2" w:space="0"/>
            </w:tcBorders>
            <w:vAlign w:val="center"/>
          </w:tcPr>
          <w:p w14:paraId="320C0BDB">
            <w:pPr>
              <w:pStyle w:val="113"/>
              <w:spacing w:line="240" w:lineRule="exact"/>
            </w:pPr>
            <w:r>
              <w:t>防治指标</w:t>
            </w:r>
          </w:p>
        </w:tc>
        <w:tc>
          <w:tcPr>
            <w:tcW w:w="2149" w:type="dxa"/>
            <w:gridSpan w:val="3"/>
            <w:vAlign w:val="center"/>
          </w:tcPr>
          <w:p w14:paraId="38E17A21">
            <w:pPr>
              <w:pStyle w:val="113"/>
              <w:spacing w:line="240" w:lineRule="exact"/>
            </w:pPr>
            <w:r>
              <w:t>水土流失治理度（%）</w:t>
            </w:r>
          </w:p>
        </w:tc>
        <w:tc>
          <w:tcPr>
            <w:tcW w:w="2027" w:type="dxa"/>
            <w:gridSpan w:val="3"/>
            <w:tcBorders>
              <w:top w:val="single" w:color="auto" w:sz="2" w:space="0"/>
              <w:left w:val="single" w:color="auto" w:sz="2" w:space="0"/>
              <w:bottom w:val="single" w:color="auto" w:sz="2" w:space="0"/>
              <w:right w:val="single" w:color="auto" w:sz="2" w:space="0"/>
            </w:tcBorders>
            <w:vAlign w:val="center"/>
          </w:tcPr>
          <w:p w14:paraId="0142E416">
            <w:pPr>
              <w:pStyle w:val="113"/>
              <w:spacing w:line="240" w:lineRule="exact"/>
            </w:pPr>
            <w:r>
              <w:t>99.97</w:t>
            </w:r>
          </w:p>
        </w:tc>
        <w:tc>
          <w:tcPr>
            <w:tcW w:w="2638" w:type="dxa"/>
            <w:gridSpan w:val="4"/>
            <w:tcBorders>
              <w:right w:val="single" w:color="auto" w:sz="4" w:space="0"/>
            </w:tcBorders>
            <w:vAlign w:val="center"/>
          </w:tcPr>
          <w:p w14:paraId="12A46EE9">
            <w:pPr>
              <w:pStyle w:val="113"/>
              <w:spacing w:line="240" w:lineRule="exact"/>
            </w:pPr>
            <w:r>
              <w:t>土壤流失控制比</w:t>
            </w:r>
          </w:p>
        </w:tc>
        <w:tc>
          <w:tcPr>
            <w:tcW w:w="1973" w:type="dxa"/>
            <w:gridSpan w:val="2"/>
            <w:tcBorders>
              <w:top w:val="single" w:color="auto" w:sz="2" w:space="0"/>
              <w:left w:val="single" w:color="auto" w:sz="4" w:space="0"/>
              <w:bottom w:val="single" w:color="auto" w:sz="2" w:space="0"/>
              <w:right w:val="single" w:color="auto" w:sz="2" w:space="0"/>
            </w:tcBorders>
            <w:vAlign w:val="center"/>
          </w:tcPr>
          <w:p w14:paraId="70455777">
            <w:pPr>
              <w:pStyle w:val="113"/>
              <w:spacing w:line="240" w:lineRule="exact"/>
            </w:pPr>
            <w:r>
              <w:t>1.0</w:t>
            </w:r>
          </w:p>
        </w:tc>
      </w:tr>
      <w:tr w14:paraId="3F1965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99" w:type="dxa"/>
            <w:vMerge w:val="continue"/>
            <w:tcBorders>
              <w:top w:val="single" w:color="auto" w:sz="2" w:space="0"/>
              <w:left w:val="single" w:color="auto" w:sz="2" w:space="0"/>
              <w:bottom w:val="single" w:color="auto" w:sz="2" w:space="0"/>
              <w:right w:val="single" w:color="auto" w:sz="2" w:space="0"/>
            </w:tcBorders>
            <w:vAlign w:val="center"/>
          </w:tcPr>
          <w:p w14:paraId="063F428D">
            <w:pPr>
              <w:pStyle w:val="113"/>
              <w:spacing w:line="240" w:lineRule="exact"/>
            </w:pPr>
            <w:bookmarkStart w:id="1" w:name="_Hlk85670987"/>
          </w:p>
        </w:tc>
        <w:tc>
          <w:tcPr>
            <w:tcW w:w="2149" w:type="dxa"/>
            <w:gridSpan w:val="3"/>
            <w:vAlign w:val="center"/>
          </w:tcPr>
          <w:p w14:paraId="52C16AF1">
            <w:pPr>
              <w:pStyle w:val="113"/>
              <w:spacing w:line="240" w:lineRule="exact"/>
            </w:pPr>
            <w:r>
              <w:t>渣土防护率（%）</w:t>
            </w:r>
          </w:p>
        </w:tc>
        <w:tc>
          <w:tcPr>
            <w:tcW w:w="2027" w:type="dxa"/>
            <w:gridSpan w:val="3"/>
            <w:tcBorders>
              <w:top w:val="single" w:color="auto" w:sz="2" w:space="0"/>
              <w:left w:val="single" w:color="auto" w:sz="2" w:space="0"/>
              <w:bottom w:val="single" w:color="auto" w:sz="2" w:space="0"/>
              <w:right w:val="single" w:color="auto" w:sz="2" w:space="0"/>
            </w:tcBorders>
            <w:vAlign w:val="center"/>
          </w:tcPr>
          <w:p w14:paraId="5C207838">
            <w:pPr>
              <w:pStyle w:val="113"/>
              <w:spacing w:line="240" w:lineRule="exact"/>
            </w:pPr>
            <w:r>
              <w:t>99.93</w:t>
            </w:r>
          </w:p>
        </w:tc>
        <w:tc>
          <w:tcPr>
            <w:tcW w:w="2638" w:type="dxa"/>
            <w:gridSpan w:val="4"/>
            <w:tcBorders>
              <w:right w:val="single" w:color="auto" w:sz="4" w:space="0"/>
            </w:tcBorders>
            <w:vAlign w:val="center"/>
          </w:tcPr>
          <w:p w14:paraId="40733017">
            <w:pPr>
              <w:pStyle w:val="113"/>
              <w:spacing w:line="240" w:lineRule="exact"/>
            </w:pPr>
            <w:r>
              <w:t>表土防护率（%）</w:t>
            </w:r>
          </w:p>
        </w:tc>
        <w:tc>
          <w:tcPr>
            <w:tcW w:w="1973" w:type="dxa"/>
            <w:gridSpan w:val="2"/>
            <w:shd w:val="clear" w:color="auto" w:fill="auto"/>
            <w:vAlign w:val="center"/>
          </w:tcPr>
          <w:p w14:paraId="4841062C">
            <w:pPr>
              <w:pStyle w:val="113"/>
              <w:spacing w:line="240" w:lineRule="exact"/>
            </w:pPr>
            <w:r>
              <w:rPr>
                <w:rFonts w:eastAsia="宋体"/>
              </w:rPr>
              <w:t>16.42</w:t>
            </w:r>
          </w:p>
        </w:tc>
      </w:tr>
      <w:bookmarkEnd w:id="1"/>
      <w:tr w14:paraId="155410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99" w:type="dxa"/>
            <w:vMerge w:val="continue"/>
            <w:tcBorders>
              <w:top w:val="single" w:color="auto" w:sz="2" w:space="0"/>
              <w:left w:val="single" w:color="auto" w:sz="2" w:space="0"/>
              <w:bottom w:val="single" w:color="auto" w:sz="2" w:space="0"/>
              <w:right w:val="single" w:color="auto" w:sz="2" w:space="0"/>
            </w:tcBorders>
            <w:vAlign w:val="center"/>
          </w:tcPr>
          <w:p w14:paraId="70CEBFD4">
            <w:pPr>
              <w:pStyle w:val="113"/>
              <w:spacing w:line="240" w:lineRule="exact"/>
            </w:pPr>
          </w:p>
        </w:tc>
        <w:tc>
          <w:tcPr>
            <w:tcW w:w="2149" w:type="dxa"/>
            <w:gridSpan w:val="3"/>
            <w:vAlign w:val="center"/>
          </w:tcPr>
          <w:p w14:paraId="3230DB6E">
            <w:pPr>
              <w:pStyle w:val="113"/>
              <w:spacing w:line="240" w:lineRule="exact"/>
            </w:pPr>
            <w:r>
              <w:t>林草植被恢复率（%）</w:t>
            </w:r>
          </w:p>
        </w:tc>
        <w:tc>
          <w:tcPr>
            <w:tcW w:w="2027" w:type="dxa"/>
            <w:gridSpan w:val="3"/>
            <w:tcBorders>
              <w:top w:val="single" w:color="auto" w:sz="2" w:space="0"/>
              <w:left w:val="single" w:color="auto" w:sz="2" w:space="0"/>
              <w:bottom w:val="single" w:color="auto" w:sz="2" w:space="0"/>
              <w:right w:val="single" w:color="auto" w:sz="2" w:space="0"/>
            </w:tcBorders>
            <w:vAlign w:val="center"/>
          </w:tcPr>
          <w:p w14:paraId="70496CD7">
            <w:pPr>
              <w:pStyle w:val="113"/>
              <w:spacing w:line="240" w:lineRule="exact"/>
            </w:pPr>
            <w:r>
              <w:t>99.95</w:t>
            </w:r>
          </w:p>
        </w:tc>
        <w:tc>
          <w:tcPr>
            <w:tcW w:w="2638" w:type="dxa"/>
            <w:gridSpan w:val="4"/>
            <w:tcBorders>
              <w:right w:val="single" w:color="auto" w:sz="4" w:space="0"/>
            </w:tcBorders>
            <w:vAlign w:val="center"/>
          </w:tcPr>
          <w:p w14:paraId="5081E449">
            <w:pPr>
              <w:pStyle w:val="113"/>
              <w:spacing w:line="240" w:lineRule="exact"/>
            </w:pPr>
            <w:r>
              <w:t>林草覆盖率（%）</w:t>
            </w:r>
          </w:p>
        </w:tc>
        <w:tc>
          <w:tcPr>
            <w:tcW w:w="1973" w:type="dxa"/>
            <w:gridSpan w:val="2"/>
            <w:tcBorders>
              <w:top w:val="single" w:color="auto" w:sz="2" w:space="0"/>
              <w:left w:val="single" w:color="auto" w:sz="4" w:space="0"/>
              <w:bottom w:val="single" w:color="auto" w:sz="2" w:space="0"/>
              <w:right w:val="single" w:color="auto" w:sz="2" w:space="0"/>
            </w:tcBorders>
            <w:vAlign w:val="center"/>
          </w:tcPr>
          <w:p w14:paraId="3BD021A2">
            <w:pPr>
              <w:pStyle w:val="113"/>
              <w:spacing w:line="240" w:lineRule="exact"/>
            </w:pPr>
            <w:r>
              <w:t>63.15</w:t>
            </w:r>
          </w:p>
        </w:tc>
      </w:tr>
      <w:tr w14:paraId="34647A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99" w:type="dxa"/>
            <w:vMerge w:val="restart"/>
            <w:tcBorders>
              <w:top w:val="single" w:color="auto" w:sz="2" w:space="0"/>
              <w:left w:val="single" w:color="auto" w:sz="2" w:space="0"/>
              <w:right w:val="single" w:color="auto" w:sz="2" w:space="0"/>
            </w:tcBorders>
            <w:vAlign w:val="center"/>
          </w:tcPr>
          <w:p w14:paraId="2D33B09D">
            <w:pPr>
              <w:pStyle w:val="113"/>
              <w:spacing w:line="240" w:lineRule="exact"/>
            </w:pPr>
            <w:r>
              <w:t>防治措施</w:t>
            </w:r>
            <w:r>
              <w:rPr>
                <w:rFonts w:hint="eastAsia"/>
              </w:rPr>
              <w:t>及工程量</w:t>
            </w:r>
          </w:p>
        </w:tc>
        <w:tc>
          <w:tcPr>
            <w:tcW w:w="2149" w:type="dxa"/>
            <w:gridSpan w:val="3"/>
            <w:tcBorders>
              <w:top w:val="single" w:color="auto" w:sz="2" w:space="0"/>
              <w:left w:val="single" w:color="auto" w:sz="2" w:space="0"/>
              <w:bottom w:val="single" w:color="auto" w:sz="2" w:space="0"/>
              <w:right w:val="single" w:color="auto" w:sz="4" w:space="0"/>
            </w:tcBorders>
            <w:vAlign w:val="center"/>
          </w:tcPr>
          <w:p w14:paraId="0394E771">
            <w:pPr>
              <w:pStyle w:val="113"/>
              <w:spacing w:line="240" w:lineRule="exact"/>
            </w:pPr>
            <w:r>
              <w:t>防治分区</w:t>
            </w:r>
          </w:p>
        </w:tc>
        <w:tc>
          <w:tcPr>
            <w:tcW w:w="2027" w:type="dxa"/>
            <w:gridSpan w:val="3"/>
            <w:tcBorders>
              <w:top w:val="single" w:color="auto" w:sz="2" w:space="0"/>
              <w:left w:val="single" w:color="auto" w:sz="4" w:space="0"/>
              <w:bottom w:val="single" w:color="auto" w:sz="2" w:space="0"/>
              <w:right w:val="single" w:color="auto" w:sz="4" w:space="0"/>
            </w:tcBorders>
            <w:vAlign w:val="center"/>
          </w:tcPr>
          <w:p w14:paraId="08DCC2D9">
            <w:pPr>
              <w:pStyle w:val="113"/>
              <w:spacing w:line="240" w:lineRule="exact"/>
            </w:pPr>
            <w:r>
              <w:t>工程措施</w:t>
            </w:r>
          </w:p>
        </w:tc>
        <w:tc>
          <w:tcPr>
            <w:tcW w:w="1843" w:type="dxa"/>
            <w:gridSpan w:val="3"/>
            <w:tcBorders>
              <w:top w:val="single" w:color="auto" w:sz="2" w:space="0"/>
              <w:left w:val="single" w:color="auto" w:sz="4" w:space="0"/>
              <w:bottom w:val="single" w:color="auto" w:sz="2" w:space="0"/>
              <w:right w:val="single" w:color="auto" w:sz="2" w:space="0"/>
            </w:tcBorders>
            <w:vAlign w:val="center"/>
          </w:tcPr>
          <w:p w14:paraId="0320A32F">
            <w:pPr>
              <w:pStyle w:val="113"/>
              <w:spacing w:line="240" w:lineRule="exact"/>
            </w:pPr>
            <w:r>
              <w:t>植物措施</w:t>
            </w:r>
          </w:p>
        </w:tc>
        <w:tc>
          <w:tcPr>
            <w:tcW w:w="2768" w:type="dxa"/>
            <w:gridSpan w:val="3"/>
            <w:tcBorders>
              <w:top w:val="single" w:color="auto" w:sz="2" w:space="0"/>
              <w:left w:val="single" w:color="auto" w:sz="2" w:space="0"/>
              <w:bottom w:val="single" w:color="auto" w:sz="2" w:space="0"/>
              <w:right w:val="single" w:color="auto" w:sz="2" w:space="0"/>
            </w:tcBorders>
            <w:vAlign w:val="center"/>
          </w:tcPr>
          <w:p w14:paraId="7F1B16F2">
            <w:pPr>
              <w:pStyle w:val="113"/>
              <w:spacing w:line="240" w:lineRule="exact"/>
            </w:pPr>
            <w:r>
              <w:t>临时措施</w:t>
            </w:r>
          </w:p>
        </w:tc>
      </w:tr>
      <w:tr w14:paraId="507685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9" w:hRule="atLeast"/>
          <w:jc w:val="center"/>
        </w:trPr>
        <w:tc>
          <w:tcPr>
            <w:tcW w:w="499" w:type="dxa"/>
            <w:vMerge w:val="continue"/>
            <w:tcBorders>
              <w:left w:val="single" w:color="auto" w:sz="2" w:space="0"/>
              <w:right w:val="single" w:color="auto" w:sz="2" w:space="0"/>
            </w:tcBorders>
            <w:vAlign w:val="center"/>
          </w:tcPr>
          <w:p w14:paraId="7A5746ED">
            <w:pPr>
              <w:pStyle w:val="113"/>
              <w:spacing w:line="240" w:lineRule="exact"/>
            </w:pPr>
          </w:p>
        </w:tc>
        <w:tc>
          <w:tcPr>
            <w:tcW w:w="1074" w:type="dxa"/>
            <w:gridSpan w:val="2"/>
            <w:vMerge w:val="restart"/>
            <w:tcBorders>
              <w:top w:val="nil"/>
              <w:left w:val="single" w:color="auto" w:sz="4" w:space="0"/>
              <w:right w:val="single" w:color="auto" w:sz="4" w:space="0"/>
            </w:tcBorders>
            <w:shd w:val="clear" w:color="auto" w:fill="auto"/>
            <w:vAlign w:val="center"/>
          </w:tcPr>
          <w:p w14:paraId="067313EF">
            <w:pPr>
              <w:pStyle w:val="113"/>
              <w:spacing w:line="240" w:lineRule="exact"/>
            </w:pPr>
            <w:r>
              <w:rPr>
                <w:rFonts w:hint="eastAsia"/>
              </w:rPr>
              <w:t>道路工程防治区</w:t>
            </w:r>
          </w:p>
        </w:tc>
        <w:tc>
          <w:tcPr>
            <w:tcW w:w="1075" w:type="dxa"/>
            <w:tcBorders>
              <w:top w:val="nil"/>
              <w:left w:val="single" w:color="auto" w:sz="4" w:space="0"/>
              <w:bottom w:val="single" w:color="auto" w:sz="4" w:space="0"/>
              <w:right w:val="single" w:color="auto" w:sz="4" w:space="0"/>
            </w:tcBorders>
            <w:shd w:val="clear" w:color="auto" w:fill="auto"/>
            <w:vAlign w:val="center"/>
          </w:tcPr>
          <w:p w14:paraId="411F7955">
            <w:pPr>
              <w:pStyle w:val="113"/>
              <w:spacing w:line="240" w:lineRule="exact"/>
            </w:pPr>
            <w:r>
              <w:t>K0+000~K1+440</w:t>
            </w:r>
            <w:r>
              <w:rPr>
                <w:rFonts w:hint="eastAsia"/>
              </w:rPr>
              <w:t>防治区</w:t>
            </w:r>
          </w:p>
        </w:tc>
        <w:tc>
          <w:tcPr>
            <w:tcW w:w="2027" w:type="dxa"/>
            <w:gridSpan w:val="3"/>
            <w:vAlign w:val="center"/>
          </w:tcPr>
          <w:p w14:paraId="554222A8">
            <w:pPr>
              <w:pStyle w:val="113"/>
              <w:spacing w:line="240" w:lineRule="exact"/>
              <w:jc w:val="left"/>
            </w:pPr>
            <w:r>
              <w:rPr>
                <w:rFonts w:hint="eastAsia"/>
              </w:rPr>
              <w:t>主体已实施：</w:t>
            </w:r>
            <w:r>
              <w:t>截排水沟1652.3</w:t>
            </w:r>
            <w:r>
              <w:rPr>
                <w:rFonts w:hint="eastAsia"/>
              </w:rPr>
              <w:t>m，急流槽</w:t>
            </w:r>
            <w:r>
              <w:t>86.2</w:t>
            </w:r>
            <w:r>
              <w:rPr>
                <w:rFonts w:hint="eastAsia"/>
              </w:rPr>
              <w:t>m</w:t>
            </w:r>
            <w:r>
              <w:t>，</w:t>
            </w:r>
            <w:r>
              <w:rPr>
                <w:rFonts w:hint="eastAsia"/>
              </w:rPr>
              <w:t>雨水管网</w:t>
            </w:r>
            <w:r>
              <w:t>2153.9</w:t>
            </w:r>
            <w:r>
              <w:rPr>
                <w:rFonts w:hint="eastAsia"/>
              </w:rPr>
              <w:t>m</w:t>
            </w:r>
          </w:p>
          <w:p w14:paraId="682F0CF8">
            <w:pPr>
              <w:pStyle w:val="113"/>
              <w:spacing w:line="240" w:lineRule="exact"/>
              <w:jc w:val="left"/>
            </w:pPr>
            <w:r>
              <w:rPr>
                <w:rFonts w:hint="eastAsia"/>
              </w:rPr>
              <w:t>主体已列：工程措施有急流槽</w:t>
            </w:r>
            <w:r>
              <w:t>21.5</w:t>
            </w:r>
            <w:r>
              <w:rPr>
                <w:rFonts w:hint="eastAsia"/>
              </w:rPr>
              <w:t>m</w:t>
            </w:r>
            <w:r>
              <w:t>，</w:t>
            </w:r>
            <w:r>
              <w:rPr>
                <w:rFonts w:hint="eastAsia"/>
              </w:rPr>
              <w:t>透水砖</w:t>
            </w:r>
            <w:r>
              <w:t>1.64</w:t>
            </w:r>
            <w:r>
              <w:rPr>
                <w:rFonts w:hint="eastAsia"/>
              </w:rPr>
              <w:t>hm</w:t>
            </w:r>
            <w:r>
              <w:rPr>
                <w:rFonts w:hint="eastAsia"/>
                <w:vertAlign w:val="superscript"/>
              </w:rPr>
              <w:t>2</w:t>
            </w:r>
            <w:r>
              <w:t>，</w:t>
            </w:r>
            <w:r>
              <w:rPr>
                <w:rFonts w:hint="eastAsia"/>
              </w:rPr>
              <w:t>雨水管网</w:t>
            </w:r>
            <w:r>
              <w:t>949.8</w:t>
            </w:r>
            <w:r>
              <w:rPr>
                <w:rFonts w:hint="eastAsia"/>
              </w:rPr>
              <w:t>m</w:t>
            </w:r>
          </w:p>
          <w:p w14:paraId="2AF82857">
            <w:pPr>
              <w:pStyle w:val="113"/>
              <w:spacing w:line="240" w:lineRule="exact"/>
              <w:jc w:val="left"/>
            </w:pPr>
            <w:r>
              <w:rPr>
                <w:rFonts w:hint="eastAsia"/>
              </w:rPr>
              <w:t>方案新增：沉沙池4</w:t>
            </w:r>
            <w:r>
              <w:t>口</w:t>
            </w:r>
          </w:p>
        </w:tc>
        <w:tc>
          <w:tcPr>
            <w:tcW w:w="1843" w:type="dxa"/>
            <w:gridSpan w:val="3"/>
            <w:vAlign w:val="center"/>
          </w:tcPr>
          <w:p w14:paraId="247D106C">
            <w:pPr>
              <w:pStyle w:val="113"/>
              <w:spacing w:line="240" w:lineRule="exact"/>
              <w:jc w:val="left"/>
            </w:pPr>
            <w:r>
              <w:rPr>
                <w:rFonts w:hint="eastAsia"/>
              </w:rPr>
              <w:t>主体已列：行道树</w:t>
            </w:r>
            <w:r>
              <w:t>438</w:t>
            </w:r>
            <w:r>
              <w:rPr>
                <w:rFonts w:hint="eastAsia"/>
              </w:rPr>
              <w:t>棵，树池绿化</w:t>
            </w:r>
            <w:r>
              <w:t>0.06</w:t>
            </w:r>
            <w:r>
              <w:rPr>
                <w:rFonts w:hint="eastAsia"/>
              </w:rPr>
              <w:t>hm</w:t>
            </w:r>
            <w:r>
              <w:rPr>
                <w:rFonts w:hint="eastAsia"/>
                <w:vertAlign w:val="superscript"/>
              </w:rPr>
              <w:t>2</w:t>
            </w:r>
            <w:r>
              <w:rPr>
                <w:rFonts w:hint="eastAsia"/>
              </w:rPr>
              <w:t>，植被混凝土护坡</w:t>
            </w:r>
            <w:r>
              <w:t>2.73</w:t>
            </w:r>
            <w:r>
              <w:rPr>
                <w:rFonts w:hint="eastAsia"/>
              </w:rPr>
              <w:t>hm</w:t>
            </w:r>
            <w:r>
              <w:rPr>
                <w:rFonts w:hint="eastAsia"/>
                <w:vertAlign w:val="superscript"/>
              </w:rPr>
              <w:t>2</w:t>
            </w:r>
            <w:r>
              <w:rPr>
                <w:rFonts w:hint="eastAsia"/>
              </w:rPr>
              <w:t>、客土吹附护坡</w:t>
            </w:r>
            <w:r>
              <w:t>3.05</w:t>
            </w:r>
            <w:r>
              <w:rPr>
                <w:rFonts w:hint="eastAsia"/>
              </w:rPr>
              <w:t>hm</w:t>
            </w:r>
            <w:r>
              <w:rPr>
                <w:rFonts w:hint="eastAsia"/>
                <w:vertAlign w:val="superscript"/>
              </w:rPr>
              <w:t>2</w:t>
            </w:r>
          </w:p>
        </w:tc>
        <w:tc>
          <w:tcPr>
            <w:tcW w:w="2768" w:type="dxa"/>
            <w:gridSpan w:val="3"/>
            <w:vAlign w:val="center"/>
          </w:tcPr>
          <w:p w14:paraId="69185BF1">
            <w:pPr>
              <w:pStyle w:val="113"/>
              <w:spacing w:line="240" w:lineRule="exact"/>
              <w:jc w:val="left"/>
            </w:pPr>
            <w:r>
              <w:rPr>
                <w:rFonts w:hint="eastAsia"/>
              </w:rPr>
              <w:t>主体已实施：车辆清洗站1</w:t>
            </w:r>
            <w:r>
              <w:t>座、</w:t>
            </w:r>
            <w:r>
              <w:rPr>
                <w:rFonts w:hint="eastAsia"/>
              </w:rPr>
              <w:t>无纺布遮盖</w:t>
            </w:r>
            <w:r>
              <w:t>6000m</w:t>
            </w:r>
            <w:r>
              <w:rPr>
                <w:vertAlign w:val="superscript"/>
              </w:rPr>
              <w:t>2</w:t>
            </w:r>
          </w:p>
          <w:p w14:paraId="190500AC">
            <w:pPr>
              <w:pStyle w:val="113"/>
              <w:spacing w:line="240" w:lineRule="exact"/>
              <w:jc w:val="left"/>
            </w:pPr>
            <w:r>
              <w:rPr>
                <w:rFonts w:hint="eastAsia"/>
              </w:rPr>
              <w:t>方案新增：临时遮盖</w:t>
            </w:r>
            <w:r>
              <w:t>4000</w:t>
            </w:r>
            <w:r>
              <w:rPr>
                <w:rFonts w:hint="eastAsia"/>
              </w:rPr>
              <w:t>m</w:t>
            </w:r>
            <w:r>
              <w:rPr>
                <w:vertAlign w:val="superscript"/>
              </w:rPr>
              <w:t>2</w:t>
            </w:r>
          </w:p>
        </w:tc>
      </w:tr>
      <w:tr w14:paraId="70F343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jc w:val="center"/>
        </w:trPr>
        <w:tc>
          <w:tcPr>
            <w:tcW w:w="499" w:type="dxa"/>
            <w:vMerge w:val="continue"/>
            <w:tcBorders>
              <w:left w:val="single" w:color="auto" w:sz="2" w:space="0"/>
              <w:right w:val="single" w:color="auto" w:sz="2" w:space="0"/>
            </w:tcBorders>
            <w:vAlign w:val="center"/>
          </w:tcPr>
          <w:p w14:paraId="39874D2C">
            <w:pPr>
              <w:pStyle w:val="113"/>
              <w:spacing w:line="240" w:lineRule="exact"/>
            </w:pPr>
          </w:p>
        </w:tc>
        <w:tc>
          <w:tcPr>
            <w:tcW w:w="1074" w:type="dxa"/>
            <w:gridSpan w:val="2"/>
            <w:vMerge w:val="continue"/>
            <w:tcBorders>
              <w:left w:val="single" w:color="auto" w:sz="4" w:space="0"/>
              <w:right w:val="single" w:color="auto" w:sz="4" w:space="0"/>
            </w:tcBorders>
            <w:shd w:val="clear" w:color="auto" w:fill="auto"/>
            <w:vAlign w:val="center"/>
          </w:tcPr>
          <w:p w14:paraId="75A78E7E">
            <w:pPr>
              <w:pStyle w:val="113"/>
              <w:spacing w:line="240" w:lineRule="exact"/>
            </w:pPr>
          </w:p>
        </w:tc>
        <w:tc>
          <w:tcPr>
            <w:tcW w:w="1075" w:type="dxa"/>
            <w:tcBorders>
              <w:top w:val="nil"/>
              <w:left w:val="single" w:color="auto" w:sz="4" w:space="0"/>
              <w:bottom w:val="single" w:color="000000" w:sz="4" w:space="0"/>
              <w:right w:val="single" w:color="auto" w:sz="4" w:space="0"/>
            </w:tcBorders>
            <w:shd w:val="clear" w:color="auto" w:fill="auto"/>
            <w:vAlign w:val="center"/>
          </w:tcPr>
          <w:p w14:paraId="496C9DAA">
            <w:pPr>
              <w:pStyle w:val="113"/>
              <w:spacing w:line="240" w:lineRule="exact"/>
            </w:pPr>
            <w:r>
              <w:rPr>
                <w:rFonts w:hint="eastAsia"/>
              </w:rPr>
              <w:t>K1+440~</w:t>
            </w:r>
          </w:p>
          <w:p w14:paraId="3229D722">
            <w:pPr>
              <w:pStyle w:val="113"/>
              <w:spacing w:line="240" w:lineRule="exact"/>
            </w:pPr>
            <w:r>
              <w:rPr>
                <w:rFonts w:hint="eastAsia"/>
              </w:rPr>
              <w:t>K2+140防治区</w:t>
            </w:r>
          </w:p>
        </w:tc>
        <w:tc>
          <w:tcPr>
            <w:tcW w:w="2027" w:type="dxa"/>
            <w:gridSpan w:val="3"/>
            <w:vAlign w:val="center"/>
          </w:tcPr>
          <w:p w14:paraId="26750284">
            <w:pPr>
              <w:pStyle w:val="113"/>
              <w:spacing w:line="240" w:lineRule="exact"/>
              <w:jc w:val="left"/>
            </w:pPr>
            <w:r>
              <w:rPr>
                <w:rFonts w:hint="eastAsia"/>
              </w:rPr>
              <w:t>主体已实施</w:t>
            </w:r>
            <w:r>
              <w:t>截排水沟802.9</w:t>
            </w:r>
            <w:r>
              <w:rPr>
                <w:rFonts w:hint="eastAsia"/>
              </w:rPr>
              <w:t>m</w:t>
            </w:r>
          </w:p>
          <w:p w14:paraId="53AA150C">
            <w:pPr>
              <w:pStyle w:val="113"/>
              <w:spacing w:line="240" w:lineRule="exact"/>
              <w:jc w:val="left"/>
            </w:pPr>
            <w:r>
              <w:rPr>
                <w:rFonts w:hint="eastAsia"/>
              </w:rPr>
              <w:t>主体已列：</w:t>
            </w:r>
            <w:r>
              <w:t>截排水沟722</w:t>
            </w:r>
            <w:r>
              <w:rPr>
                <w:rFonts w:hint="eastAsia"/>
              </w:rPr>
              <w:t>m，急流槽8</w:t>
            </w:r>
            <w:r>
              <w:t>4.30</w:t>
            </w:r>
            <w:r>
              <w:rPr>
                <w:rFonts w:hint="eastAsia"/>
              </w:rPr>
              <w:t>m</w:t>
            </w:r>
            <w:r>
              <w:t>，</w:t>
            </w:r>
            <w:r>
              <w:rPr>
                <w:rFonts w:hint="eastAsia"/>
              </w:rPr>
              <w:t>透水砖</w:t>
            </w:r>
            <w:r>
              <w:t>0.82</w:t>
            </w:r>
            <w:r>
              <w:rPr>
                <w:rFonts w:hint="eastAsia"/>
              </w:rPr>
              <w:t>hm</w:t>
            </w:r>
            <w:r>
              <w:rPr>
                <w:rFonts w:hint="eastAsia"/>
                <w:vertAlign w:val="superscript"/>
              </w:rPr>
              <w:t>2</w:t>
            </w:r>
            <w:r>
              <w:t>，</w:t>
            </w:r>
            <w:r>
              <w:rPr>
                <w:rFonts w:hint="eastAsia"/>
              </w:rPr>
              <w:t>雨水管网</w:t>
            </w:r>
            <w:r>
              <w:t>1648.20</w:t>
            </w:r>
            <w:r>
              <w:rPr>
                <w:rFonts w:hint="eastAsia"/>
              </w:rPr>
              <w:t>m</w:t>
            </w:r>
          </w:p>
          <w:p w14:paraId="0669F9F6">
            <w:pPr>
              <w:pStyle w:val="113"/>
              <w:spacing w:line="240" w:lineRule="exact"/>
              <w:jc w:val="left"/>
            </w:pPr>
            <w:r>
              <w:rPr>
                <w:rFonts w:hint="eastAsia"/>
              </w:rPr>
              <w:t>方案新增：表土剥离</w:t>
            </w:r>
            <w:r>
              <w:t>0.54</w:t>
            </w:r>
            <w:r>
              <w:rPr>
                <w:rFonts w:hint="eastAsia"/>
              </w:rPr>
              <w:t>万m</w:t>
            </w:r>
            <w:r>
              <w:rPr>
                <w:vertAlign w:val="superscript"/>
              </w:rPr>
              <w:t>3</w:t>
            </w:r>
            <w:r>
              <w:t>、沉沙池</w:t>
            </w:r>
            <w:r>
              <w:rPr>
                <w:rFonts w:hint="eastAsia"/>
              </w:rPr>
              <w:t>1</w:t>
            </w:r>
            <w:r>
              <w:t>口</w:t>
            </w:r>
          </w:p>
        </w:tc>
        <w:tc>
          <w:tcPr>
            <w:tcW w:w="1843" w:type="dxa"/>
            <w:gridSpan w:val="3"/>
            <w:vAlign w:val="center"/>
          </w:tcPr>
          <w:p w14:paraId="3963AC87">
            <w:pPr>
              <w:pStyle w:val="113"/>
              <w:spacing w:line="240" w:lineRule="exact"/>
              <w:jc w:val="left"/>
            </w:pPr>
            <w:r>
              <w:rPr>
                <w:rFonts w:hint="eastAsia"/>
              </w:rPr>
              <w:t>主体已列：行道树</w:t>
            </w:r>
            <w:r>
              <w:t>225</w:t>
            </w:r>
            <w:r>
              <w:rPr>
                <w:rFonts w:hint="eastAsia"/>
              </w:rPr>
              <w:t>棵，树池绿化0.</w:t>
            </w:r>
            <w:r>
              <w:t>03</w:t>
            </w:r>
            <w:r>
              <w:rPr>
                <w:rFonts w:hint="eastAsia"/>
              </w:rPr>
              <w:t>hm</w:t>
            </w:r>
            <w:r>
              <w:rPr>
                <w:rFonts w:hint="eastAsia"/>
                <w:vertAlign w:val="superscript"/>
              </w:rPr>
              <w:t>2</w:t>
            </w:r>
            <w:r>
              <w:rPr>
                <w:rFonts w:hint="eastAsia"/>
              </w:rPr>
              <w:t>，植被混凝土护坡</w:t>
            </w:r>
            <w:r>
              <w:t>5.54</w:t>
            </w:r>
            <w:r>
              <w:rPr>
                <w:rFonts w:hint="eastAsia"/>
              </w:rPr>
              <w:t>hm</w:t>
            </w:r>
            <w:r>
              <w:rPr>
                <w:rFonts w:hint="eastAsia"/>
                <w:vertAlign w:val="superscript"/>
              </w:rPr>
              <w:t>2</w:t>
            </w:r>
            <w:r>
              <w:rPr>
                <w:rFonts w:hint="eastAsia"/>
              </w:rPr>
              <w:t>、客土吹附护坡</w:t>
            </w:r>
            <w:r>
              <w:t>0.26</w:t>
            </w:r>
            <w:r>
              <w:rPr>
                <w:rFonts w:hint="eastAsia"/>
              </w:rPr>
              <w:t>hm</w:t>
            </w:r>
            <w:r>
              <w:rPr>
                <w:rFonts w:hint="eastAsia"/>
                <w:vertAlign w:val="superscript"/>
              </w:rPr>
              <w:t>2</w:t>
            </w:r>
          </w:p>
        </w:tc>
        <w:tc>
          <w:tcPr>
            <w:tcW w:w="2768" w:type="dxa"/>
            <w:gridSpan w:val="3"/>
            <w:vAlign w:val="center"/>
          </w:tcPr>
          <w:p w14:paraId="7F40622D">
            <w:pPr>
              <w:pStyle w:val="113"/>
              <w:spacing w:line="240" w:lineRule="exact"/>
              <w:jc w:val="left"/>
            </w:pPr>
            <w:r>
              <w:rPr>
                <w:rFonts w:hint="eastAsia"/>
              </w:rPr>
              <w:t>主体已实施：无纺布遮盖</w:t>
            </w:r>
            <w:r>
              <w:t>5000m</w:t>
            </w:r>
            <w:r>
              <w:rPr>
                <w:vertAlign w:val="superscript"/>
              </w:rPr>
              <w:t>2</w:t>
            </w:r>
          </w:p>
          <w:p w14:paraId="56041F93">
            <w:pPr>
              <w:pStyle w:val="113"/>
              <w:spacing w:line="240" w:lineRule="exact"/>
              <w:jc w:val="left"/>
            </w:pPr>
            <w:r>
              <w:rPr>
                <w:rFonts w:hint="eastAsia"/>
              </w:rPr>
              <w:t>方案新增：临时遮盖</w:t>
            </w:r>
            <w:r>
              <w:t>10000</w:t>
            </w:r>
            <w:r>
              <w:rPr>
                <w:rFonts w:hint="eastAsia"/>
              </w:rPr>
              <w:t>m</w:t>
            </w:r>
            <w:r>
              <w:rPr>
                <w:vertAlign w:val="superscript"/>
              </w:rPr>
              <w:t>2</w:t>
            </w:r>
          </w:p>
        </w:tc>
      </w:tr>
    </w:tbl>
    <w:p w14:paraId="136695F1">
      <w:pPr>
        <w:widowControl/>
        <w:spacing w:line="240" w:lineRule="exact"/>
        <w:jc w:val="center"/>
        <w:rPr>
          <w:rFonts w:ascii="宋体" w:hAnsi="宋体" w:cs="宋体"/>
          <w:kern w:val="0"/>
          <w:sz w:val="24"/>
        </w:rPr>
      </w:pPr>
    </w:p>
    <w:p w14:paraId="274B1648">
      <w:pPr>
        <w:widowControl/>
        <w:spacing w:line="240" w:lineRule="exact"/>
        <w:jc w:val="center"/>
        <w:rPr>
          <w:rFonts w:ascii="宋体" w:hAnsi="宋体" w:cs="宋体"/>
          <w:kern w:val="0"/>
          <w:sz w:val="24"/>
        </w:rPr>
      </w:pPr>
    </w:p>
    <w:tbl>
      <w:tblPr>
        <w:tblStyle w:val="19"/>
        <w:tblW w:w="928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99"/>
        <w:gridCol w:w="1074"/>
        <w:gridCol w:w="1075"/>
        <w:gridCol w:w="2027"/>
        <w:gridCol w:w="1812"/>
        <w:gridCol w:w="740"/>
        <w:gridCol w:w="1134"/>
        <w:gridCol w:w="925"/>
      </w:tblGrid>
      <w:tr w14:paraId="098743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jc w:val="center"/>
        </w:trPr>
        <w:tc>
          <w:tcPr>
            <w:tcW w:w="499" w:type="dxa"/>
            <w:vMerge w:val="restart"/>
            <w:tcBorders>
              <w:left w:val="single" w:color="auto" w:sz="2" w:space="0"/>
              <w:right w:val="single" w:color="auto" w:sz="2" w:space="0"/>
            </w:tcBorders>
            <w:vAlign w:val="center"/>
          </w:tcPr>
          <w:p w14:paraId="2769D8E5">
            <w:pPr>
              <w:pStyle w:val="113"/>
              <w:spacing w:line="240" w:lineRule="exact"/>
            </w:pPr>
          </w:p>
        </w:tc>
        <w:tc>
          <w:tcPr>
            <w:tcW w:w="1074" w:type="dxa"/>
            <w:vMerge w:val="restart"/>
            <w:tcBorders>
              <w:left w:val="single" w:color="auto" w:sz="4" w:space="0"/>
              <w:right w:val="single" w:color="auto" w:sz="4" w:space="0"/>
            </w:tcBorders>
            <w:shd w:val="clear" w:color="auto" w:fill="auto"/>
            <w:vAlign w:val="center"/>
          </w:tcPr>
          <w:p w14:paraId="3EB27C05">
            <w:pPr>
              <w:pStyle w:val="113"/>
              <w:spacing w:line="240" w:lineRule="exact"/>
            </w:pPr>
          </w:p>
        </w:tc>
        <w:tc>
          <w:tcPr>
            <w:tcW w:w="1075" w:type="dxa"/>
            <w:tcBorders>
              <w:top w:val="nil"/>
              <w:left w:val="single" w:color="auto" w:sz="4" w:space="0"/>
              <w:bottom w:val="single" w:color="000000" w:sz="4" w:space="0"/>
              <w:right w:val="single" w:color="auto" w:sz="4" w:space="0"/>
            </w:tcBorders>
            <w:shd w:val="clear" w:color="auto" w:fill="auto"/>
            <w:vAlign w:val="center"/>
          </w:tcPr>
          <w:p w14:paraId="48EAEE70">
            <w:pPr>
              <w:pStyle w:val="113"/>
              <w:spacing w:line="240" w:lineRule="exact"/>
            </w:pPr>
            <w:r>
              <w:rPr>
                <w:rFonts w:hint="eastAsia"/>
              </w:rPr>
              <w:t>K2+140~</w:t>
            </w:r>
          </w:p>
          <w:p w14:paraId="689FBEAB">
            <w:pPr>
              <w:pStyle w:val="113"/>
              <w:spacing w:line="240" w:lineRule="exact"/>
            </w:pPr>
            <w:r>
              <w:rPr>
                <w:rFonts w:hint="eastAsia"/>
              </w:rPr>
              <w:t>K3+560防治区</w:t>
            </w:r>
          </w:p>
        </w:tc>
        <w:tc>
          <w:tcPr>
            <w:tcW w:w="2027" w:type="dxa"/>
            <w:vAlign w:val="center"/>
          </w:tcPr>
          <w:p w14:paraId="647DD8A1">
            <w:pPr>
              <w:pStyle w:val="113"/>
              <w:spacing w:line="240" w:lineRule="exact"/>
              <w:jc w:val="left"/>
            </w:pPr>
            <w:r>
              <w:rPr>
                <w:rFonts w:hint="eastAsia"/>
              </w:rPr>
              <w:t>主体已实施：</w:t>
            </w:r>
            <w:r>
              <w:t>截排水沟6615.2</w:t>
            </w:r>
            <w:r>
              <w:rPr>
                <w:rFonts w:hint="eastAsia"/>
              </w:rPr>
              <w:t>m，急流槽</w:t>
            </w:r>
            <w:r>
              <w:t>145.5</w:t>
            </w:r>
            <w:r>
              <w:rPr>
                <w:rFonts w:hint="eastAsia"/>
              </w:rPr>
              <w:t>m</w:t>
            </w:r>
            <w:r>
              <w:t>，</w:t>
            </w:r>
            <w:r>
              <w:rPr>
                <w:rFonts w:hint="eastAsia"/>
              </w:rPr>
              <w:t>透水砖</w:t>
            </w:r>
            <w:r>
              <w:t>1.52</w:t>
            </w:r>
            <w:r>
              <w:rPr>
                <w:rFonts w:hint="eastAsia"/>
              </w:rPr>
              <w:t>hm</w:t>
            </w:r>
            <w:r>
              <w:rPr>
                <w:rFonts w:hint="eastAsia"/>
                <w:vertAlign w:val="superscript"/>
              </w:rPr>
              <w:t>2</w:t>
            </w:r>
            <w:r>
              <w:t>，</w:t>
            </w:r>
            <w:r>
              <w:rPr>
                <w:rFonts w:hint="eastAsia"/>
              </w:rPr>
              <w:t>雨水管网</w:t>
            </w:r>
            <w:r>
              <w:t>3278.5</w:t>
            </w:r>
            <w:r>
              <w:rPr>
                <w:rFonts w:hint="eastAsia"/>
              </w:rPr>
              <w:t>m</w:t>
            </w:r>
          </w:p>
          <w:p w14:paraId="51190C7F">
            <w:pPr>
              <w:pStyle w:val="113"/>
              <w:spacing w:line="240" w:lineRule="exact"/>
              <w:jc w:val="left"/>
            </w:pPr>
            <w:r>
              <w:rPr>
                <w:rFonts w:hint="eastAsia"/>
              </w:rPr>
              <w:t>方案新增：沉沙池</w:t>
            </w:r>
            <w:r>
              <w:t>6口</w:t>
            </w:r>
          </w:p>
        </w:tc>
        <w:tc>
          <w:tcPr>
            <w:tcW w:w="1812" w:type="dxa"/>
            <w:vAlign w:val="center"/>
          </w:tcPr>
          <w:p w14:paraId="5B4FBC66">
            <w:pPr>
              <w:pStyle w:val="113"/>
              <w:spacing w:line="240" w:lineRule="exact"/>
              <w:jc w:val="left"/>
            </w:pPr>
            <w:r>
              <w:rPr>
                <w:rFonts w:hint="eastAsia"/>
              </w:rPr>
              <w:t>主体已实施：行道树</w:t>
            </w:r>
            <w:r>
              <w:t>434</w:t>
            </w:r>
            <w:r>
              <w:rPr>
                <w:rFonts w:hint="eastAsia"/>
              </w:rPr>
              <w:t>棵，树池绿化0.</w:t>
            </w:r>
            <w:r>
              <w:t>06</w:t>
            </w:r>
            <w:r>
              <w:rPr>
                <w:rFonts w:hint="eastAsia"/>
              </w:rPr>
              <w:t>hm</w:t>
            </w:r>
            <w:r>
              <w:rPr>
                <w:rFonts w:hint="eastAsia"/>
                <w:vertAlign w:val="superscript"/>
              </w:rPr>
              <w:t>2</w:t>
            </w:r>
          </w:p>
          <w:p w14:paraId="1840DCD6">
            <w:pPr>
              <w:pStyle w:val="113"/>
              <w:spacing w:line="240" w:lineRule="exact"/>
              <w:jc w:val="left"/>
            </w:pPr>
            <w:r>
              <w:rPr>
                <w:rFonts w:hint="eastAsia"/>
              </w:rPr>
              <w:t>主体已列：植物措施有植被混凝土护坡</w:t>
            </w:r>
            <w:r>
              <w:t>4.17</w:t>
            </w:r>
            <w:r>
              <w:rPr>
                <w:rFonts w:hint="eastAsia"/>
              </w:rPr>
              <w:t>hm</w:t>
            </w:r>
            <w:r>
              <w:rPr>
                <w:rFonts w:hint="eastAsia"/>
                <w:vertAlign w:val="superscript"/>
              </w:rPr>
              <w:t>2</w:t>
            </w:r>
            <w:r>
              <w:rPr>
                <w:rFonts w:hint="eastAsia"/>
              </w:rPr>
              <w:t>、客土吹附护坡</w:t>
            </w:r>
            <w:r>
              <w:t>9.03</w:t>
            </w:r>
            <w:r>
              <w:rPr>
                <w:rFonts w:hint="eastAsia"/>
              </w:rPr>
              <w:t>hm</w:t>
            </w:r>
            <w:r>
              <w:rPr>
                <w:rFonts w:hint="eastAsia"/>
                <w:vertAlign w:val="superscript"/>
              </w:rPr>
              <w:t>2</w:t>
            </w:r>
          </w:p>
        </w:tc>
        <w:tc>
          <w:tcPr>
            <w:tcW w:w="2799" w:type="dxa"/>
            <w:gridSpan w:val="3"/>
            <w:vAlign w:val="center"/>
          </w:tcPr>
          <w:p w14:paraId="240123F1">
            <w:pPr>
              <w:pStyle w:val="113"/>
              <w:spacing w:line="240" w:lineRule="exact"/>
              <w:jc w:val="left"/>
            </w:pPr>
            <w:r>
              <w:rPr>
                <w:rFonts w:hint="eastAsia"/>
              </w:rPr>
              <w:t>主体已实施：无纺布遮盖</w:t>
            </w:r>
            <w:r>
              <w:t>4000m</w:t>
            </w:r>
            <w:r>
              <w:rPr>
                <w:vertAlign w:val="superscript"/>
              </w:rPr>
              <w:t>2</w:t>
            </w:r>
          </w:p>
        </w:tc>
      </w:tr>
      <w:tr w14:paraId="39890D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jc w:val="center"/>
        </w:trPr>
        <w:tc>
          <w:tcPr>
            <w:tcW w:w="499" w:type="dxa"/>
            <w:vMerge w:val="continue"/>
            <w:tcBorders>
              <w:left w:val="single" w:color="auto" w:sz="2" w:space="0"/>
              <w:right w:val="single" w:color="auto" w:sz="2" w:space="0"/>
            </w:tcBorders>
            <w:vAlign w:val="center"/>
          </w:tcPr>
          <w:p w14:paraId="5426C394">
            <w:pPr>
              <w:pStyle w:val="113"/>
              <w:spacing w:line="240" w:lineRule="exact"/>
            </w:pPr>
          </w:p>
        </w:tc>
        <w:tc>
          <w:tcPr>
            <w:tcW w:w="1074" w:type="dxa"/>
            <w:vMerge w:val="continue"/>
            <w:tcBorders>
              <w:left w:val="single" w:color="auto" w:sz="4" w:space="0"/>
              <w:bottom w:val="single" w:color="auto" w:sz="4" w:space="0"/>
              <w:right w:val="single" w:color="auto" w:sz="4" w:space="0"/>
            </w:tcBorders>
            <w:shd w:val="clear" w:color="auto" w:fill="auto"/>
            <w:vAlign w:val="center"/>
          </w:tcPr>
          <w:p w14:paraId="2CF4F9DE">
            <w:pPr>
              <w:pStyle w:val="113"/>
              <w:spacing w:line="240" w:lineRule="exact"/>
            </w:pPr>
          </w:p>
        </w:tc>
        <w:tc>
          <w:tcPr>
            <w:tcW w:w="1075" w:type="dxa"/>
            <w:tcBorders>
              <w:top w:val="nil"/>
              <w:left w:val="single" w:color="auto" w:sz="4" w:space="0"/>
              <w:bottom w:val="single" w:color="auto" w:sz="4" w:space="0"/>
              <w:right w:val="single" w:color="auto" w:sz="4" w:space="0"/>
            </w:tcBorders>
            <w:shd w:val="clear" w:color="auto" w:fill="auto"/>
            <w:vAlign w:val="center"/>
          </w:tcPr>
          <w:p w14:paraId="01E27EDF">
            <w:pPr>
              <w:pStyle w:val="113"/>
              <w:spacing w:line="240" w:lineRule="exact"/>
            </w:pPr>
            <w:r>
              <w:rPr>
                <w:rFonts w:hint="eastAsia"/>
              </w:rPr>
              <w:t>K3+560~</w:t>
            </w:r>
          </w:p>
          <w:p w14:paraId="669D9DB2">
            <w:pPr>
              <w:pStyle w:val="113"/>
              <w:spacing w:line="240" w:lineRule="exact"/>
            </w:pPr>
            <w:r>
              <w:rPr>
                <w:rFonts w:hint="eastAsia"/>
              </w:rPr>
              <w:t>K4+320防治区</w:t>
            </w:r>
          </w:p>
        </w:tc>
        <w:tc>
          <w:tcPr>
            <w:tcW w:w="2027" w:type="dxa"/>
            <w:tcBorders>
              <w:bottom w:val="single" w:color="auto" w:sz="4" w:space="0"/>
            </w:tcBorders>
            <w:vAlign w:val="center"/>
          </w:tcPr>
          <w:p w14:paraId="0E708999">
            <w:pPr>
              <w:pStyle w:val="113"/>
              <w:spacing w:line="240" w:lineRule="exact"/>
              <w:jc w:val="left"/>
            </w:pPr>
            <w:r>
              <w:rPr>
                <w:rFonts w:hint="eastAsia"/>
              </w:rPr>
              <w:t>主体已实施：</w:t>
            </w:r>
            <w:r>
              <w:t>截排水沟</w:t>
            </w:r>
            <w:r>
              <w:rPr>
                <w:rFonts w:hint="eastAsia"/>
              </w:rPr>
              <w:t>1</w:t>
            </w:r>
            <w:r>
              <w:t>443.10</w:t>
            </w:r>
            <w:r>
              <w:rPr>
                <w:rFonts w:hint="eastAsia"/>
              </w:rPr>
              <w:t>m，透水砖</w:t>
            </w:r>
            <w:r>
              <w:t>0.76</w:t>
            </w:r>
            <w:r>
              <w:rPr>
                <w:rFonts w:hint="eastAsia"/>
              </w:rPr>
              <w:t>hm</w:t>
            </w:r>
            <w:r>
              <w:rPr>
                <w:rFonts w:hint="eastAsia"/>
                <w:vertAlign w:val="superscript"/>
              </w:rPr>
              <w:t>2</w:t>
            </w:r>
            <w:r>
              <w:t>，</w:t>
            </w:r>
            <w:r>
              <w:rPr>
                <w:rFonts w:hint="eastAsia"/>
              </w:rPr>
              <w:t>雨水管网</w:t>
            </w:r>
            <w:r>
              <w:t>1491.40</w:t>
            </w:r>
            <w:r>
              <w:rPr>
                <w:rFonts w:hint="eastAsia"/>
              </w:rPr>
              <w:t>m</w:t>
            </w:r>
          </w:p>
          <w:p w14:paraId="7276A514">
            <w:pPr>
              <w:pStyle w:val="113"/>
              <w:spacing w:line="240" w:lineRule="exact"/>
              <w:jc w:val="left"/>
            </w:pPr>
            <w:r>
              <w:rPr>
                <w:rFonts w:hint="eastAsia"/>
              </w:rPr>
              <w:t>方案新增：沉沙池</w:t>
            </w:r>
            <w:r>
              <w:t>3口</w:t>
            </w:r>
          </w:p>
        </w:tc>
        <w:tc>
          <w:tcPr>
            <w:tcW w:w="1812" w:type="dxa"/>
            <w:tcBorders>
              <w:bottom w:val="single" w:color="auto" w:sz="4" w:space="0"/>
            </w:tcBorders>
            <w:vAlign w:val="center"/>
          </w:tcPr>
          <w:p w14:paraId="71BE4EB8">
            <w:pPr>
              <w:pStyle w:val="113"/>
              <w:spacing w:line="240" w:lineRule="exact"/>
              <w:jc w:val="left"/>
            </w:pPr>
            <w:r>
              <w:rPr>
                <w:rFonts w:hint="eastAsia"/>
              </w:rPr>
              <w:t>主体已实施：行道树</w:t>
            </w:r>
            <w:r>
              <w:t>248</w:t>
            </w:r>
            <w:r>
              <w:rPr>
                <w:rFonts w:hint="eastAsia"/>
              </w:rPr>
              <w:t>棵，树池绿化0.</w:t>
            </w:r>
            <w:r>
              <w:t>04h</w:t>
            </w:r>
            <w:r>
              <w:rPr>
                <w:rFonts w:hint="eastAsia"/>
              </w:rPr>
              <w:t>m</w:t>
            </w:r>
            <w:r>
              <w:rPr>
                <w:rFonts w:hint="eastAsia"/>
                <w:vertAlign w:val="superscript"/>
              </w:rPr>
              <w:t>2</w:t>
            </w:r>
          </w:p>
          <w:p w14:paraId="5FE55B06">
            <w:pPr>
              <w:pStyle w:val="113"/>
              <w:spacing w:line="240" w:lineRule="exact"/>
              <w:jc w:val="left"/>
            </w:pPr>
            <w:r>
              <w:rPr>
                <w:rFonts w:hint="eastAsia"/>
              </w:rPr>
              <w:t>主体已列：植物措施有植被混凝土护坡</w:t>
            </w:r>
            <w:r>
              <w:t>5.74</w:t>
            </w:r>
            <w:r>
              <w:rPr>
                <w:rFonts w:hint="eastAsia"/>
              </w:rPr>
              <w:t>hm</w:t>
            </w:r>
            <w:r>
              <w:rPr>
                <w:rFonts w:hint="eastAsia"/>
                <w:vertAlign w:val="superscript"/>
              </w:rPr>
              <w:t>2</w:t>
            </w:r>
            <w:r>
              <w:rPr>
                <w:rFonts w:hint="eastAsia"/>
              </w:rPr>
              <w:t>、客土吹附护坡</w:t>
            </w:r>
            <w:r>
              <w:t>0.37</w:t>
            </w:r>
            <w:r>
              <w:rPr>
                <w:rFonts w:hint="eastAsia"/>
              </w:rPr>
              <w:t>hm</w:t>
            </w:r>
            <w:r>
              <w:rPr>
                <w:rFonts w:hint="eastAsia"/>
                <w:vertAlign w:val="superscript"/>
              </w:rPr>
              <w:t>2</w:t>
            </w:r>
          </w:p>
        </w:tc>
        <w:tc>
          <w:tcPr>
            <w:tcW w:w="2799" w:type="dxa"/>
            <w:gridSpan w:val="3"/>
            <w:tcBorders>
              <w:bottom w:val="single" w:color="auto" w:sz="4" w:space="0"/>
            </w:tcBorders>
            <w:vAlign w:val="center"/>
          </w:tcPr>
          <w:p w14:paraId="1AB1DA3D">
            <w:pPr>
              <w:pStyle w:val="113"/>
              <w:spacing w:line="240" w:lineRule="exact"/>
            </w:pPr>
            <w:r>
              <w:rPr>
                <w:rFonts w:hint="eastAsia"/>
              </w:rPr>
              <w:t>/</w:t>
            </w:r>
          </w:p>
        </w:tc>
      </w:tr>
      <w:tr w14:paraId="583B5C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499" w:type="dxa"/>
            <w:vMerge w:val="continue"/>
            <w:tcBorders>
              <w:left w:val="single" w:color="auto" w:sz="2" w:space="0"/>
              <w:right w:val="single" w:color="auto" w:sz="2" w:space="0"/>
            </w:tcBorders>
            <w:vAlign w:val="center"/>
          </w:tcPr>
          <w:p w14:paraId="1038AA89">
            <w:pPr>
              <w:pStyle w:val="113"/>
              <w:spacing w:line="240" w:lineRule="exact"/>
            </w:pPr>
          </w:p>
        </w:tc>
        <w:tc>
          <w:tcPr>
            <w:tcW w:w="1074" w:type="dxa"/>
            <w:vMerge w:val="restart"/>
            <w:tcBorders>
              <w:top w:val="single" w:color="auto" w:sz="4" w:space="0"/>
              <w:left w:val="single" w:color="auto" w:sz="4" w:space="0"/>
              <w:right w:val="single" w:color="auto" w:sz="4" w:space="0"/>
            </w:tcBorders>
            <w:shd w:val="clear" w:color="auto" w:fill="auto"/>
            <w:vAlign w:val="center"/>
          </w:tcPr>
          <w:p w14:paraId="5763519D">
            <w:pPr>
              <w:pStyle w:val="113"/>
              <w:spacing w:line="240" w:lineRule="exact"/>
            </w:pPr>
            <w:r>
              <w:rPr>
                <w:rFonts w:hint="eastAsia"/>
              </w:rPr>
              <w:t>弃渣场防治区</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124637BB">
            <w:pPr>
              <w:pStyle w:val="113"/>
              <w:spacing w:line="240" w:lineRule="exact"/>
            </w:pPr>
            <w:r>
              <w:rPr>
                <w:rFonts w:hint="eastAsia"/>
              </w:rPr>
              <w:t>1</w:t>
            </w:r>
            <w:r>
              <w:t>#</w:t>
            </w:r>
            <w:r>
              <w:rPr>
                <w:rFonts w:hint="eastAsia"/>
              </w:rPr>
              <w:t>弃渣场防治区</w:t>
            </w:r>
          </w:p>
        </w:tc>
        <w:tc>
          <w:tcPr>
            <w:tcW w:w="2027" w:type="dxa"/>
            <w:tcBorders>
              <w:top w:val="single" w:color="auto" w:sz="4" w:space="0"/>
              <w:left w:val="single" w:color="auto" w:sz="4" w:space="0"/>
              <w:right w:val="single" w:color="auto" w:sz="4" w:space="0"/>
            </w:tcBorders>
            <w:vAlign w:val="center"/>
          </w:tcPr>
          <w:p w14:paraId="5F0A727B">
            <w:pPr>
              <w:pStyle w:val="113"/>
              <w:spacing w:line="240" w:lineRule="exact"/>
              <w:jc w:val="left"/>
            </w:pPr>
            <w:r>
              <w:rPr>
                <w:rFonts w:hint="eastAsia"/>
              </w:rPr>
              <w:t>主体已实施：挡渣墙</w:t>
            </w:r>
            <w:r>
              <w:t>29</w:t>
            </w:r>
            <w:r>
              <w:rPr>
                <w:rFonts w:hint="eastAsia"/>
              </w:rPr>
              <w:t>m，复耕</w:t>
            </w:r>
            <w:r>
              <w:t>3.35</w:t>
            </w:r>
            <w:r>
              <w:rPr>
                <w:rFonts w:hint="eastAsia"/>
              </w:rPr>
              <w:t>hm</w:t>
            </w:r>
            <w:r>
              <w:rPr>
                <w:vertAlign w:val="superscript"/>
              </w:rPr>
              <w:t>2</w:t>
            </w:r>
          </w:p>
          <w:p w14:paraId="7B9FD734">
            <w:pPr>
              <w:pStyle w:val="113"/>
              <w:spacing w:line="240" w:lineRule="exact"/>
              <w:jc w:val="left"/>
            </w:pPr>
            <w:r>
              <w:rPr>
                <w:rFonts w:hint="eastAsia"/>
              </w:rPr>
              <w:t>主体已列：截排水沟</w:t>
            </w:r>
            <w:r>
              <w:t>1785</w:t>
            </w:r>
            <w:r>
              <w:rPr>
                <w:rFonts w:hint="eastAsia"/>
              </w:rPr>
              <w:t>m</w:t>
            </w:r>
          </w:p>
          <w:p w14:paraId="2A8C43F4">
            <w:pPr>
              <w:pStyle w:val="113"/>
              <w:spacing w:line="240" w:lineRule="exact"/>
              <w:jc w:val="left"/>
            </w:pPr>
            <w:r>
              <w:rPr>
                <w:rFonts w:hint="eastAsia"/>
              </w:rPr>
              <w:t>方案新增：沉沙池</w:t>
            </w:r>
            <w:r>
              <w:t>8</w:t>
            </w:r>
            <w:r>
              <w:rPr>
                <w:rFonts w:hint="eastAsia"/>
              </w:rPr>
              <w:t>口</w:t>
            </w:r>
          </w:p>
        </w:tc>
        <w:tc>
          <w:tcPr>
            <w:tcW w:w="1812" w:type="dxa"/>
            <w:tcBorders>
              <w:top w:val="single" w:color="auto" w:sz="4" w:space="0"/>
              <w:left w:val="single" w:color="auto" w:sz="4" w:space="0"/>
              <w:right w:val="single" w:color="auto" w:sz="4" w:space="0"/>
            </w:tcBorders>
            <w:vAlign w:val="center"/>
          </w:tcPr>
          <w:p w14:paraId="78DEA3F8">
            <w:pPr>
              <w:pStyle w:val="113"/>
              <w:spacing w:line="240" w:lineRule="exact"/>
            </w:pPr>
            <w:r>
              <w:rPr>
                <w:rFonts w:hint="eastAsia"/>
              </w:rPr>
              <w:t>/</w:t>
            </w:r>
          </w:p>
        </w:tc>
        <w:tc>
          <w:tcPr>
            <w:tcW w:w="2799" w:type="dxa"/>
            <w:gridSpan w:val="3"/>
            <w:tcBorders>
              <w:top w:val="single" w:color="auto" w:sz="4" w:space="0"/>
              <w:left w:val="single" w:color="auto" w:sz="4" w:space="0"/>
              <w:right w:val="single" w:color="auto" w:sz="4" w:space="0"/>
            </w:tcBorders>
            <w:vAlign w:val="center"/>
          </w:tcPr>
          <w:p w14:paraId="0E34BC42">
            <w:pPr>
              <w:pStyle w:val="113"/>
              <w:spacing w:line="240" w:lineRule="exact"/>
              <w:jc w:val="left"/>
            </w:pPr>
            <w:r>
              <w:rPr>
                <w:rFonts w:hint="eastAsia"/>
              </w:rPr>
              <w:t>方案新增：临时遮盖</w:t>
            </w:r>
            <w:r>
              <w:t>10300</w:t>
            </w:r>
            <w:r>
              <w:rPr>
                <w:rFonts w:hint="eastAsia"/>
              </w:rPr>
              <w:t>m</w:t>
            </w:r>
            <w:r>
              <w:rPr>
                <w:vertAlign w:val="superscript"/>
              </w:rPr>
              <w:t>2</w:t>
            </w:r>
            <w:r>
              <w:rPr>
                <w:rFonts w:hint="eastAsia"/>
              </w:rPr>
              <w:t>，编织袋拦挡</w:t>
            </w:r>
            <w:r>
              <w:t>814</w:t>
            </w:r>
            <w:r>
              <w:rPr>
                <w:rFonts w:hint="eastAsia"/>
              </w:rPr>
              <w:t>m。</w:t>
            </w:r>
          </w:p>
        </w:tc>
      </w:tr>
      <w:tr w14:paraId="009772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499" w:type="dxa"/>
            <w:vMerge w:val="continue"/>
            <w:tcBorders>
              <w:left w:val="single" w:color="auto" w:sz="2" w:space="0"/>
              <w:right w:val="single" w:color="auto" w:sz="2" w:space="0"/>
            </w:tcBorders>
            <w:vAlign w:val="center"/>
          </w:tcPr>
          <w:p w14:paraId="049CC673">
            <w:pPr>
              <w:pStyle w:val="113"/>
              <w:spacing w:line="240" w:lineRule="exact"/>
            </w:pPr>
          </w:p>
        </w:tc>
        <w:tc>
          <w:tcPr>
            <w:tcW w:w="1074" w:type="dxa"/>
            <w:vMerge w:val="continue"/>
            <w:tcBorders>
              <w:left w:val="single" w:color="auto" w:sz="4" w:space="0"/>
              <w:bottom w:val="single" w:color="auto" w:sz="4" w:space="0"/>
              <w:right w:val="single" w:color="auto" w:sz="4" w:space="0"/>
            </w:tcBorders>
            <w:shd w:val="clear" w:color="auto" w:fill="auto"/>
            <w:vAlign w:val="center"/>
          </w:tcPr>
          <w:p w14:paraId="25D0CFDA">
            <w:pPr>
              <w:pStyle w:val="113"/>
              <w:spacing w:line="240" w:lineRule="exact"/>
            </w:pP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34E21EA9">
            <w:pPr>
              <w:pStyle w:val="113"/>
              <w:spacing w:line="240" w:lineRule="exact"/>
            </w:pPr>
            <w:r>
              <w:rPr>
                <w:rFonts w:hint="eastAsia"/>
              </w:rPr>
              <w:t>3</w:t>
            </w:r>
            <w:r>
              <w:t>#</w:t>
            </w:r>
            <w:r>
              <w:rPr>
                <w:rFonts w:hint="eastAsia"/>
              </w:rPr>
              <w:t>弃渣场防治区</w:t>
            </w:r>
          </w:p>
        </w:tc>
        <w:tc>
          <w:tcPr>
            <w:tcW w:w="2027" w:type="dxa"/>
            <w:tcBorders>
              <w:left w:val="single" w:color="auto" w:sz="4" w:space="0"/>
              <w:bottom w:val="single" w:color="auto" w:sz="4" w:space="0"/>
              <w:right w:val="single" w:color="auto" w:sz="4" w:space="0"/>
            </w:tcBorders>
            <w:vAlign w:val="center"/>
          </w:tcPr>
          <w:p w14:paraId="69EFE1F4">
            <w:pPr>
              <w:pStyle w:val="113"/>
              <w:spacing w:line="240" w:lineRule="exact"/>
              <w:jc w:val="left"/>
            </w:pPr>
            <w:r>
              <w:rPr>
                <w:rFonts w:hint="eastAsia"/>
              </w:rPr>
              <w:t>主体已列：截排水沟</w:t>
            </w:r>
            <w:r>
              <w:t>3293</w:t>
            </w:r>
            <w:r>
              <w:rPr>
                <w:rFonts w:hint="eastAsia"/>
              </w:rPr>
              <w:t>m，复耕</w:t>
            </w:r>
            <w:r>
              <w:t>11.44</w:t>
            </w:r>
            <w:r>
              <w:rPr>
                <w:rFonts w:hint="eastAsia"/>
              </w:rPr>
              <w:t>hm</w:t>
            </w:r>
            <w:r>
              <w:rPr>
                <w:vertAlign w:val="superscript"/>
              </w:rPr>
              <w:t>2</w:t>
            </w:r>
          </w:p>
          <w:p w14:paraId="61B27E87">
            <w:pPr>
              <w:pStyle w:val="113"/>
              <w:spacing w:line="240" w:lineRule="exact"/>
              <w:jc w:val="left"/>
            </w:pPr>
            <w:r>
              <w:rPr>
                <w:rFonts w:hint="eastAsia"/>
              </w:rPr>
              <w:t>方案新增：沉沙池</w:t>
            </w:r>
            <w:r>
              <w:t>10</w:t>
            </w:r>
            <w:r>
              <w:rPr>
                <w:rFonts w:hint="eastAsia"/>
              </w:rPr>
              <w:t>口，表土剥离</w:t>
            </w:r>
            <w:r>
              <w:t>3.36</w:t>
            </w:r>
            <w:r>
              <w:rPr>
                <w:rFonts w:hint="eastAsia"/>
              </w:rPr>
              <w:t>万m</w:t>
            </w:r>
            <w:r>
              <w:rPr>
                <w:vertAlign w:val="superscript"/>
              </w:rPr>
              <w:t>3</w:t>
            </w:r>
          </w:p>
        </w:tc>
        <w:tc>
          <w:tcPr>
            <w:tcW w:w="1812" w:type="dxa"/>
            <w:tcBorders>
              <w:left w:val="single" w:color="auto" w:sz="4" w:space="0"/>
              <w:bottom w:val="single" w:color="auto" w:sz="4" w:space="0"/>
              <w:right w:val="single" w:color="auto" w:sz="4" w:space="0"/>
            </w:tcBorders>
            <w:vAlign w:val="center"/>
          </w:tcPr>
          <w:p w14:paraId="1E658D27">
            <w:pPr>
              <w:pStyle w:val="113"/>
              <w:spacing w:line="240" w:lineRule="exact"/>
              <w:jc w:val="left"/>
            </w:pPr>
            <w:r>
              <w:rPr>
                <w:rFonts w:hint="eastAsia"/>
              </w:rPr>
              <w:t>主体已列：复绿</w:t>
            </w:r>
            <w:r>
              <w:t>4.14</w:t>
            </w:r>
            <w:r>
              <w:rPr>
                <w:rFonts w:hint="eastAsia"/>
              </w:rPr>
              <w:t>hm</w:t>
            </w:r>
            <w:r>
              <w:rPr>
                <w:vertAlign w:val="superscript"/>
              </w:rPr>
              <w:t>2</w:t>
            </w:r>
          </w:p>
        </w:tc>
        <w:tc>
          <w:tcPr>
            <w:tcW w:w="2799" w:type="dxa"/>
            <w:gridSpan w:val="3"/>
            <w:tcBorders>
              <w:left w:val="single" w:color="auto" w:sz="4" w:space="0"/>
              <w:bottom w:val="single" w:color="auto" w:sz="4" w:space="0"/>
              <w:right w:val="single" w:color="auto" w:sz="4" w:space="0"/>
            </w:tcBorders>
            <w:vAlign w:val="center"/>
          </w:tcPr>
          <w:p w14:paraId="1CA6DC28">
            <w:pPr>
              <w:pStyle w:val="113"/>
              <w:spacing w:line="240" w:lineRule="exact"/>
              <w:jc w:val="left"/>
            </w:pPr>
            <w:r>
              <w:rPr>
                <w:rFonts w:hint="eastAsia"/>
              </w:rPr>
              <w:t>主体已列：有车辆清洗站1</w:t>
            </w:r>
            <w:r>
              <w:t>座</w:t>
            </w:r>
          </w:p>
          <w:p w14:paraId="2840ABF3">
            <w:pPr>
              <w:pStyle w:val="113"/>
              <w:spacing w:line="240" w:lineRule="exact"/>
              <w:jc w:val="left"/>
            </w:pPr>
            <w:r>
              <w:rPr>
                <w:rFonts w:hint="eastAsia"/>
              </w:rPr>
              <w:t>方案新增：临时遮盖</w:t>
            </w:r>
            <w:r>
              <w:t>40000</w:t>
            </w:r>
            <w:r>
              <w:rPr>
                <w:rFonts w:hint="eastAsia"/>
              </w:rPr>
              <w:t>m</w:t>
            </w:r>
            <w:r>
              <w:rPr>
                <w:vertAlign w:val="superscript"/>
              </w:rPr>
              <w:t>2</w:t>
            </w:r>
          </w:p>
        </w:tc>
      </w:tr>
      <w:tr w14:paraId="083E00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99" w:type="dxa"/>
            <w:vMerge w:val="continue"/>
            <w:tcBorders>
              <w:left w:val="single" w:color="auto" w:sz="2" w:space="0"/>
              <w:right w:val="single" w:color="auto" w:sz="2" w:space="0"/>
            </w:tcBorders>
            <w:vAlign w:val="center"/>
          </w:tcPr>
          <w:p w14:paraId="7475261D">
            <w:pPr>
              <w:pStyle w:val="113"/>
              <w:spacing w:line="240" w:lineRule="exact"/>
            </w:pPr>
          </w:p>
        </w:tc>
        <w:tc>
          <w:tcPr>
            <w:tcW w:w="21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A35A0A">
            <w:pPr>
              <w:pStyle w:val="113"/>
              <w:spacing w:line="240" w:lineRule="exact"/>
            </w:pPr>
            <w:r>
              <w:rPr>
                <w:rFonts w:hint="eastAsia"/>
              </w:rPr>
              <w:t>施工便道防治区</w:t>
            </w:r>
          </w:p>
        </w:tc>
        <w:tc>
          <w:tcPr>
            <w:tcW w:w="2027" w:type="dxa"/>
            <w:tcBorders>
              <w:top w:val="single" w:color="auto" w:sz="4" w:space="0"/>
            </w:tcBorders>
            <w:vAlign w:val="center"/>
          </w:tcPr>
          <w:p w14:paraId="3F36BE40">
            <w:pPr>
              <w:pStyle w:val="113"/>
              <w:spacing w:line="240" w:lineRule="exact"/>
            </w:pPr>
            <w:r>
              <w:rPr>
                <w:rFonts w:hint="eastAsia"/>
              </w:rPr>
              <w:t>/</w:t>
            </w:r>
          </w:p>
        </w:tc>
        <w:tc>
          <w:tcPr>
            <w:tcW w:w="1812" w:type="dxa"/>
            <w:tcBorders>
              <w:top w:val="single" w:color="auto" w:sz="4" w:space="0"/>
            </w:tcBorders>
            <w:vAlign w:val="center"/>
          </w:tcPr>
          <w:p w14:paraId="21603508">
            <w:pPr>
              <w:pStyle w:val="113"/>
              <w:spacing w:line="240" w:lineRule="exact"/>
            </w:pPr>
            <w:r>
              <w:rPr>
                <w:rFonts w:hint="eastAsia"/>
              </w:rPr>
              <w:t>主体已列：植被混凝土护坡1</w:t>
            </w:r>
            <w:r>
              <w:t>.60</w:t>
            </w:r>
            <w:r>
              <w:rPr>
                <w:rFonts w:hint="eastAsia"/>
              </w:rPr>
              <w:t>hm</w:t>
            </w:r>
            <w:r>
              <w:rPr>
                <w:vertAlign w:val="superscript"/>
              </w:rPr>
              <w:t>2</w:t>
            </w:r>
          </w:p>
        </w:tc>
        <w:tc>
          <w:tcPr>
            <w:tcW w:w="2799" w:type="dxa"/>
            <w:gridSpan w:val="3"/>
            <w:tcBorders>
              <w:top w:val="single" w:color="auto" w:sz="4" w:space="0"/>
            </w:tcBorders>
            <w:vAlign w:val="center"/>
          </w:tcPr>
          <w:p w14:paraId="0878A6ED">
            <w:pPr>
              <w:pStyle w:val="113"/>
              <w:spacing w:line="240" w:lineRule="exact"/>
            </w:pPr>
            <w:r>
              <w:rPr>
                <w:rFonts w:hint="eastAsia"/>
              </w:rPr>
              <w:t>/</w:t>
            </w:r>
          </w:p>
        </w:tc>
      </w:tr>
      <w:tr w14:paraId="67FB94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99" w:type="dxa"/>
            <w:vMerge w:val="continue"/>
            <w:tcBorders>
              <w:left w:val="single" w:color="auto" w:sz="2" w:space="0"/>
              <w:right w:val="single" w:color="auto" w:sz="2" w:space="0"/>
            </w:tcBorders>
            <w:vAlign w:val="center"/>
          </w:tcPr>
          <w:p w14:paraId="5C0C0443">
            <w:pPr>
              <w:pStyle w:val="113"/>
              <w:spacing w:line="240" w:lineRule="exact"/>
            </w:pPr>
          </w:p>
        </w:tc>
        <w:tc>
          <w:tcPr>
            <w:tcW w:w="2149" w:type="dxa"/>
            <w:gridSpan w:val="2"/>
            <w:tcBorders>
              <w:top w:val="nil"/>
              <w:left w:val="single" w:color="auto" w:sz="4" w:space="0"/>
              <w:bottom w:val="single" w:color="auto" w:sz="4" w:space="0"/>
              <w:right w:val="single" w:color="auto" w:sz="4" w:space="0"/>
            </w:tcBorders>
            <w:shd w:val="clear" w:color="auto" w:fill="auto"/>
            <w:vAlign w:val="center"/>
          </w:tcPr>
          <w:p w14:paraId="11959029">
            <w:pPr>
              <w:pStyle w:val="113"/>
              <w:spacing w:line="240" w:lineRule="exact"/>
            </w:pPr>
            <w:r>
              <w:rPr>
                <w:rFonts w:hint="eastAsia"/>
              </w:rPr>
              <w:t>临时堆料场防治区</w:t>
            </w:r>
          </w:p>
        </w:tc>
        <w:tc>
          <w:tcPr>
            <w:tcW w:w="2027" w:type="dxa"/>
            <w:vAlign w:val="center"/>
          </w:tcPr>
          <w:p w14:paraId="6E40C5F5">
            <w:pPr>
              <w:pStyle w:val="113"/>
              <w:spacing w:line="240" w:lineRule="exact"/>
            </w:pPr>
            <w:r>
              <w:rPr>
                <w:rFonts w:hint="eastAsia"/>
              </w:rPr>
              <w:t>主体已实施：复耕1</w:t>
            </w:r>
            <w:r>
              <w:t>.57</w:t>
            </w:r>
            <w:r>
              <w:rPr>
                <w:rFonts w:hint="eastAsia"/>
              </w:rPr>
              <w:t>hm</w:t>
            </w:r>
            <w:r>
              <w:rPr>
                <w:vertAlign w:val="superscript"/>
              </w:rPr>
              <w:t>2</w:t>
            </w:r>
          </w:p>
        </w:tc>
        <w:tc>
          <w:tcPr>
            <w:tcW w:w="1812" w:type="dxa"/>
            <w:vAlign w:val="center"/>
          </w:tcPr>
          <w:p w14:paraId="16283C4F">
            <w:pPr>
              <w:pStyle w:val="113"/>
              <w:spacing w:line="240" w:lineRule="exact"/>
            </w:pPr>
            <w:r>
              <w:rPr>
                <w:rFonts w:hint="eastAsia"/>
              </w:rPr>
              <w:t>/</w:t>
            </w:r>
          </w:p>
        </w:tc>
        <w:tc>
          <w:tcPr>
            <w:tcW w:w="2799" w:type="dxa"/>
            <w:gridSpan w:val="3"/>
            <w:vAlign w:val="center"/>
          </w:tcPr>
          <w:p w14:paraId="69B7A063">
            <w:pPr>
              <w:pStyle w:val="113"/>
              <w:spacing w:line="240" w:lineRule="exact"/>
            </w:pPr>
            <w:r>
              <w:rPr>
                <w:rFonts w:hint="eastAsia"/>
              </w:rPr>
              <w:t>/</w:t>
            </w:r>
          </w:p>
        </w:tc>
      </w:tr>
      <w:tr w14:paraId="220736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3"/>
            <w:tcBorders>
              <w:top w:val="single" w:color="auto" w:sz="2" w:space="0"/>
              <w:left w:val="single" w:color="auto" w:sz="2" w:space="0"/>
              <w:bottom w:val="single" w:color="auto" w:sz="2" w:space="0"/>
              <w:right w:val="single" w:color="auto" w:sz="4" w:space="0"/>
            </w:tcBorders>
            <w:vAlign w:val="center"/>
          </w:tcPr>
          <w:p w14:paraId="74B1956A">
            <w:pPr>
              <w:pStyle w:val="113"/>
              <w:spacing w:line="240" w:lineRule="exact"/>
            </w:pPr>
            <w:r>
              <w:t>投资（万元）</w:t>
            </w:r>
          </w:p>
        </w:tc>
        <w:tc>
          <w:tcPr>
            <w:tcW w:w="2027" w:type="dxa"/>
            <w:tcBorders>
              <w:top w:val="single" w:color="auto" w:sz="2" w:space="0"/>
              <w:left w:val="single" w:color="auto" w:sz="4" w:space="0"/>
              <w:bottom w:val="single" w:color="auto" w:sz="2" w:space="0"/>
              <w:right w:val="single" w:color="auto" w:sz="4" w:space="0"/>
            </w:tcBorders>
            <w:vAlign w:val="center"/>
          </w:tcPr>
          <w:p w14:paraId="0CA1592B">
            <w:pPr>
              <w:pStyle w:val="113"/>
              <w:spacing w:line="240" w:lineRule="exact"/>
            </w:pPr>
            <w:r>
              <w:t>1316.37</w:t>
            </w:r>
          </w:p>
          <w:p w14:paraId="6AF75664">
            <w:pPr>
              <w:pStyle w:val="113"/>
              <w:spacing w:line="240" w:lineRule="exact"/>
            </w:pPr>
            <w:r>
              <w:t>（新增132.42）</w:t>
            </w:r>
          </w:p>
        </w:tc>
        <w:tc>
          <w:tcPr>
            <w:tcW w:w="1812" w:type="dxa"/>
            <w:tcBorders>
              <w:top w:val="single" w:color="auto" w:sz="2" w:space="0"/>
              <w:left w:val="single" w:color="auto" w:sz="4" w:space="0"/>
              <w:bottom w:val="single" w:color="auto" w:sz="2" w:space="0"/>
              <w:right w:val="single" w:color="auto" w:sz="4" w:space="0"/>
            </w:tcBorders>
            <w:vAlign w:val="center"/>
          </w:tcPr>
          <w:p w14:paraId="37E9F4F5">
            <w:pPr>
              <w:pStyle w:val="113"/>
              <w:spacing w:line="240" w:lineRule="exact"/>
            </w:pPr>
            <w:r>
              <w:t>168.28</w:t>
            </w:r>
          </w:p>
        </w:tc>
        <w:tc>
          <w:tcPr>
            <w:tcW w:w="2799" w:type="dxa"/>
            <w:gridSpan w:val="3"/>
            <w:tcBorders>
              <w:top w:val="single" w:color="auto" w:sz="2" w:space="0"/>
              <w:left w:val="single" w:color="auto" w:sz="2" w:space="0"/>
              <w:bottom w:val="single" w:color="auto" w:sz="2" w:space="0"/>
              <w:right w:val="single" w:color="auto" w:sz="2" w:space="0"/>
            </w:tcBorders>
            <w:vAlign w:val="center"/>
          </w:tcPr>
          <w:p w14:paraId="3E389CE2">
            <w:pPr>
              <w:pStyle w:val="113"/>
              <w:spacing w:line="240" w:lineRule="exact"/>
            </w:pPr>
            <w:r>
              <w:t>48.20</w:t>
            </w:r>
            <w:r>
              <w:rPr>
                <w:rFonts w:hint="eastAsia"/>
              </w:rPr>
              <w:t>（新增</w:t>
            </w:r>
            <w:r>
              <w:t>41.20</w:t>
            </w:r>
            <w:r>
              <w:rPr>
                <w:rFonts w:hint="eastAsia"/>
              </w:rPr>
              <w:t>）</w:t>
            </w:r>
          </w:p>
        </w:tc>
      </w:tr>
      <w:tr w14:paraId="286330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3"/>
            <w:tcBorders>
              <w:top w:val="single" w:color="auto" w:sz="2" w:space="0"/>
              <w:left w:val="single" w:color="auto" w:sz="2" w:space="0"/>
              <w:bottom w:val="single" w:color="auto" w:sz="2" w:space="0"/>
              <w:right w:val="single" w:color="auto" w:sz="4" w:space="0"/>
            </w:tcBorders>
            <w:vAlign w:val="center"/>
          </w:tcPr>
          <w:p w14:paraId="6823639F">
            <w:pPr>
              <w:pStyle w:val="113"/>
              <w:spacing w:line="240" w:lineRule="exact"/>
            </w:pPr>
            <w:r>
              <w:t>水土保持总投资（万元）</w:t>
            </w:r>
          </w:p>
        </w:tc>
        <w:tc>
          <w:tcPr>
            <w:tcW w:w="2027" w:type="dxa"/>
            <w:tcBorders>
              <w:top w:val="single" w:color="auto" w:sz="2" w:space="0"/>
              <w:left w:val="single" w:color="auto" w:sz="4" w:space="0"/>
              <w:bottom w:val="single" w:color="auto" w:sz="2" w:space="0"/>
              <w:right w:val="single" w:color="auto" w:sz="4" w:space="0"/>
            </w:tcBorders>
            <w:vAlign w:val="center"/>
          </w:tcPr>
          <w:p w14:paraId="3F01F6D8">
            <w:pPr>
              <w:pStyle w:val="113"/>
              <w:spacing w:line="240" w:lineRule="exact"/>
            </w:pPr>
            <w:r>
              <w:t>1698.14</w:t>
            </w:r>
          </w:p>
          <w:p w14:paraId="0C2FB89B">
            <w:pPr>
              <w:pStyle w:val="113"/>
              <w:spacing w:line="240" w:lineRule="exact"/>
            </w:pPr>
            <w:r>
              <w:t>（新增338.91）</w:t>
            </w:r>
          </w:p>
        </w:tc>
        <w:tc>
          <w:tcPr>
            <w:tcW w:w="1812" w:type="dxa"/>
            <w:tcBorders>
              <w:top w:val="single" w:color="auto" w:sz="2" w:space="0"/>
              <w:left w:val="single" w:color="auto" w:sz="4" w:space="0"/>
              <w:bottom w:val="single" w:color="auto" w:sz="2" w:space="0"/>
              <w:right w:val="single" w:color="auto" w:sz="4" w:space="0"/>
            </w:tcBorders>
            <w:vAlign w:val="center"/>
          </w:tcPr>
          <w:p w14:paraId="2BE1B3CC">
            <w:pPr>
              <w:pStyle w:val="113"/>
              <w:spacing w:line="240" w:lineRule="exact"/>
            </w:pPr>
            <w:r>
              <w:t>独立费用</w:t>
            </w:r>
          </w:p>
          <w:p w14:paraId="4689DD82">
            <w:pPr>
              <w:pStyle w:val="113"/>
              <w:spacing w:line="240" w:lineRule="exact"/>
            </w:pPr>
            <w:r>
              <w:t>（万元）</w:t>
            </w:r>
          </w:p>
        </w:tc>
        <w:tc>
          <w:tcPr>
            <w:tcW w:w="2799" w:type="dxa"/>
            <w:gridSpan w:val="3"/>
            <w:tcBorders>
              <w:top w:val="single" w:color="auto" w:sz="2" w:space="0"/>
              <w:left w:val="single" w:color="auto" w:sz="4" w:space="0"/>
              <w:bottom w:val="single" w:color="auto" w:sz="2" w:space="0"/>
              <w:right w:val="single" w:color="auto" w:sz="2" w:space="0"/>
            </w:tcBorders>
            <w:vAlign w:val="center"/>
          </w:tcPr>
          <w:p w14:paraId="4A2FFD1D">
            <w:pPr>
              <w:pStyle w:val="113"/>
              <w:spacing w:line="240" w:lineRule="exact"/>
            </w:pPr>
            <w:r>
              <w:t>24.38</w:t>
            </w:r>
          </w:p>
        </w:tc>
      </w:tr>
      <w:tr w14:paraId="04AD31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3"/>
            <w:tcBorders>
              <w:top w:val="single" w:color="auto" w:sz="2" w:space="0"/>
              <w:left w:val="single" w:color="auto" w:sz="2" w:space="0"/>
              <w:bottom w:val="single" w:color="auto" w:sz="4" w:space="0"/>
              <w:right w:val="single" w:color="auto" w:sz="4" w:space="0"/>
            </w:tcBorders>
            <w:vAlign w:val="center"/>
          </w:tcPr>
          <w:p w14:paraId="756F725A">
            <w:pPr>
              <w:pStyle w:val="113"/>
              <w:spacing w:line="240" w:lineRule="exact"/>
            </w:pPr>
            <w:r>
              <w:t>监理费（万元）</w:t>
            </w:r>
          </w:p>
        </w:tc>
        <w:tc>
          <w:tcPr>
            <w:tcW w:w="2027" w:type="dxa"/>
            <w:tcBorders>
              <w:top w:val="single" w:color="auto" w:sz="2" w:space="0"/>
              <w:left w:val="single" w:color="auto" w:sz="4" w:space="0"/>
              <w:bottom w:val="single" w:color="auto" w:sz="4" w:space="0"/>
              <w:right w:val="single" w:color="auto" w:sz="2" w:space="0"/>
            </w:tcBorders>
            <w:vAlign w:val="center"/>
          </w:tcPr>
          <w:p w14:paraId="40ECEFED">
            <w:pPr>
              <w:pStyle w:val="113"/>
              <w:spacing w:line="240" w:lineRule="exact"/>
            </w:pPr>
            <w:r>
              <w:t>5.73</w:t>
            </w:r>
          </w:p>
        </w:tc>
        <w:tc>
          <w:tcPr>
            <w:tcW w:w="1812" w:type="dxa"/>
            <w:tcBorders>
              <w:top w:val="single" w:color="auto" w:sz="2" w:space="0"/>
              <w:left w:val="single" w:color="auto" w:sz="4" w:space="0"/>
              <w:bottom w:val="single" w:color="auto" w:sz="4" w:space="0"/>
              <w:right w:val="single" w:color="auto" w:sz="4" w:space="0"/>
            </w:tcBorders>
            <w:vAlign w:val="center"/>
          </w:tcPr>
          <w:p w14:paraId="1F6C00DE">
            <w:pPr>
              <w:pStyle w:val="113"/>
              <w:spacing w:line="240" w:lineRule="exact"/>
            </w:pPr>
            <w:r>
              <w:t>监测费（万元）</w:t>
            </w:r>
          </w:p>
        </w:tc>
        <w:tc>
          <w:tcPr>
            <w:tcW w:w="740" w:type="dxa"/>
            <w:tcBorders>
              <w:top w:val="single" w:color="auto" w:sz="2" w:space="0"/>
              <w:left w:val="single" w:color="auto" w:sz="4" w:space="0"/>
              <w:bottom w:val="single" w:color="auto" w:sz="4" w:space="0"/>
              <w:right w:val="single" w:color="auto" w:sz="4" w:space="0"/>
            </w:tcBorders>
            <w:vAlign w:val="center"/>
          </w:tcPr>
          <w:p w14:paraId="7B2B36EE">
            <w:pPr>
              <w:pStyle w:val="113"/>
              <w:spacing w:line="240" w:lineRule="exact"/>
            </w:pPr>
            <w:r>
              <w:t>22.05</w:t>
            </w:r>
          </w:p>
        </w:tc>
        <w:tc>
          <w:tcPr>
            <w:tcW w:w="1134" w:type="dxa"/>
            <w:tcBorders>
              <w:top w:val="single" w:color="auto" w:sz="2" w:space="0"/>
              <w:left w:val="single" w:color="auto" w:sz="4" w:space="0"/>
              <w:bottom w:val="single" w:color="auto" w:sz="4" w:space="0"/>
              <w:right w:val="single" w:color="auto" w:sz="2" w:space="0"/>
            </w:tcBorders>
            <w:vAlign w:val="center"/>
          </w:tcPr>
          <w:p w14:paraId="1EAF0603">
            <w:pPr>
              <w:pStyle w:val="113"/>
              <w:spacing w:line="240" w:lineRule="exact"/>
            </w:pPr>
            <w:r>
              <w:t>补偿费（万元）</w:t>
            </w:r>
          </w:p>
        </w:tc>
        <w:tc>
          <w:tcPr>
            <w:tcW w:w="925" w:type="dxa"/>
            <w:tcBorders>
              <w:top w:val="single" w:color="auto" w:sz="2" w:space="0"/>
              <w:left w:val="single" w:color="auto" w:sz="2" w:space="0"/>
              <w:bottom w:val="single" w:color="auto" w:sz="4" w:space="0"/>
              <w:right w:val="single" w:color="auto" w:sz="2" w:space="0"/>
            </w:tcBorders>
            <w:vAlign w:val="center"/>
          </w:tcPr>
          <w:p w14:paraId="45D558C8">
            <w:pPr>
              <w:pStyle w:val="113"/>
              <w:spacing w:line="240" w:lineRule="exact"/>
            </w:pPr>
            <w:r>
              <w:t>105.658</w:t>
            </w:r>
          </w:p>
        </w:tc>
      </w:tr>
      <w:tr w14:paraId="0CC91A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3"/>
            <w:tcBorders>
              <w:top w:val="single" w:color="auto" w:sz="4" w:space="0"/>
              <w:left w:val="single" w:color="auto" w:sz="4" w:space="0"/>
              <w:bottom w:val="single" w:color="auto" w:sz="4" w:space="0"/>
              <w:right w:val="single" w:color="auto" w:sz="4" w:space="0"/>
            </w:tcBorders>
            <w:vAlign w:val="center"/>
          </w:tcPr>
          <w:p w14:paraId="557149A5">
            <w:pPr>
              <w:pStyle w:val="113"/>
              <w:spacing w:line="240" w:lineRule="exact"/>
            </w:pPr>
            <w:r>
              <w:t>方案编制单位</w:t>
            </w:r>
          </w:p>
        </w:tc>
        <w:tc>
          <w:tcPr>
            <w:tcW w:w="2027" w:type="dxa"/>
            <w:tcBorders>
              <w:top w:val="single" w:color="auto" w:sz="4" w:space="0"/>
              <w:left w:val="single" w:color="auto" w:sz="4" w:space="0"/>
              <w:bottom w:val="single" w:color="auto" w:sz="4" w:space="0"/>
              <w:right w:val="single" w:color="auto" w:sz="4" w:space="0"/>
            </w:tcBorders>
            <w:vAlign w:val="center"/>
          </w:tcPr>
          <w:p w14:paraId="278EF86C">
            <w:pPr>
              <w:pStyle w:val="113"/>
              <w:spacing w:line="240" w:lineRule="exact"/>
            </w:pPr>
            <w:r>
              <w:t>重庆泽润水利工程咨询有限公司</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14:paraId="7F4A5E57">
            <w:pPr>
              <w:pStyle w:val="113"/>
              <w:spacing w:line="240" w:lineRule="exact"/>
            </w:pPr>
            <w:r>
              <w:rPr>
                <w:rFonts w:hint="eastAsia"/>
              </w:rPr>
              <w:t>建设单位</w:t>
            </w:r>
          </w:p>
        </w:tc>
        <w:tc>
          <w:tcPr>
            <w:tcW w:w="27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751252">
            <w:pPr>
              <w:pStyle w:val="113"/>
              <w:spacing w:line="240" w:lineRule="exact"/>
            </w:pPr>
            <w:r>
              <w:rPr>
                <w:rFonts w:hint="eastAsia"/>
              </w:rPr>
              <w:t>石柱土家族自治县裕兴实业有限公司</w:t>
            </w:r>
          </w:p>
        </w:tc>
      </w:tr>
      <w:tr w14:paraId="0EB790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3"/>
            <w:tcBorders>
              <w:top w:val="single" w:color="auto" w:sz="4" w:space="0"/>
              <w:left w:val="single" w:color="auto" w:sz="4" w:space="0"/>
              <w:bottom w:val="single" w:color="auto" w:sz="4" w:space="0"/>
              <w:right w:val="single" w:color="auto" w:sz="4" w:space="0"/>
            </w:tcBorders>
            <w:vAlign w:val="center"/>
          </w:tcPr>
          <w:p w14:paraId="2C486958">
            <w:pPr>
              <w:pStyle w:val="113"/>
              <w:spacing w:line="240" w:lineRule="exact"/>
            </w:pPr>
            <w:r>
              <w:t>法定代表人及电话</w:t>
            </w:r>
          </w:p>
        </w:tc>
        <w:tc>
          <w:tcPr>
            <w:tcW w:w="2027" w:type="dxa"/>
            <w:tcBorders>
              <w:top w:val="single" w:color="auto" w:sz="4" w:space="0"/>
              <w:left w:val="single" w:color="auto" w:sz="4" w:space="0"/>
              <w:bottom w:val="single" w:color="auto" w:sz="4" w:space="0"/>
              <w:right w:val="single" w:color="auto" w:sz="4" w:space="0"/>
            </w:tcBorders>
            <w:vAlign w:val="center"/>
          </w:tcPr>
          <w:p w14:paraId="0CD864A1">
            <w:pPr>
              <w:pStyle w:val="113"/>
              <w:spacing w:line="240" w:lineRule="exact"/>
            </w:pPr>
            <w:r>
              <w:rPr>
                <w:rFonts w:hint="eastAsia"/>
              </w:rPr>
              <w:t>张国佐/</w:t>
            </w:r>
            <w:r>
              <w:t>15086609663</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14:paraId="24A6B864">
            <w:pPr>
              <w:pStyle w:val="113"/>
              <w:spacing w:line="240" w:lineRule="exact"/>
            </w:pPr>
            <w:r>
              <w:rPr>
                <w:rFonts w:hint="eastAsia"/>
              </w:rPr>
              <w:t>法定代表人及电话</w:t>
            </w:r>
          </w:p>
        </w:tc>
        <w:tc>
          <w:tcPr>
            <w:tcW w:w="27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36A6E4">
            <w:pPr>
              <w:pStyle w:val="113"/>
              <w:spacing w:line="240" w:lineRule="exact"/>
            </w:pPr>
            <w:r>
              <w:rPr>
                <w:rFonts w:hint="eastAsia"/>
              </w:rPr>
              <w:t>谢礼俊/023-73326216</w:t>
            </w:r>
          </w:p>
        </w:tc>
      </w:tr>
      <w:tr w14:paraId="42BED5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3"/>
            <w:tcBorders>
              <w:top w:val="single" w:color="auto" w:sz="4" w:space="0"/>
              <w:left w:val="single" w:color="auto" w:sz="4" w:space="0"/>
              <w:bottom w:val="single" w:color="auto" w:sz="4" w:space="0"/>
              <w:right w:val="single" w:color="auto" w:sz="4" w:space="0"/>
            </w:tcBorders>
            <w:vAlign w:val="center"/>
          </w:tcPr>
          <w:p w14:paraId="620A6AB9">
            <w:pPr>
              <w:pStyle w:val="113"/>
              <w:spacing w:line="240" w:lineRule="exact"/>
            </w:pPr>
            <w:r>
              <w:t>地址</w:t>
            </w:r>
          </w:p>
        </w:tc>
        <w:tc>
          <w:tcPr>
            <w:tcW w:w="2027" w:type="dxa"/>
            <w:tcBorders>
              <w:top w:val="single" w:color="auto" w:sz="4" w:space="0"/>
              <w:left w:val="single" w:color="auto" w:sz="4" w:space="0"/>
              <w:bottom w:val="single" w:color="auto" w:sz="4" w:space="0"/>
              <w:right w:val="single" w:color="auto" w:sz="4" w:space="0"/>
            </w:tcBorders>
            <w:vAlign w:val="center"/>
          </w:tcPr>
          <w:p w14:paraId="62BBE29C">
            <w:pPr>
              <w:pStyle w:val="113"/>
              <w:spacing w:line="240" w:lineRule="exact"/>
            </w:pPr>
            <w:r>
              <w:rPr>
                <w:rFonts w:hint="eastAsia"/>
              </w:rPr>
              <w:t>重庆市南岸区学府路58号互信星座16-13</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14:paraId="127313BB">
            <w:pPr>
              <w:pStyle w:val="113"/>
              <w:spacing w:line="240" w:lineRule="exact"/>
            </w:pPr>
            <w:r>
              <w:rPr>
                <w:rFonts w:hint="eastAsia"/>
              </w:rPr>
              <w:t>地址</w:t>
            </w:r>
          </w:p>
        </w:tc>
        <w:tc>
          <w:tcPr>
            <w:tcW w:w="27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F20EAE">
            <w:pPr>
              <w:pStyle w:val="113"/>
              <w:spacing w:line="240" w:lineRule="exact"/>
            </w:pPr>
            <w:r>
              <w:rPr>
                <w:rFonts w:hint="eastAsia"/>
              </w:rPr>
              <w:t>重庆石柱县南宾街道鲤塘坝楼房湾综合写字楼7楼</w:t>
            </w:r>
          </w:p>
        </w:tc>
      </w:tr>
      <w:tr w14:paraId="2EBA85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3"/>
            <w:tcBorders>
              <w:top w:val="single" w:color="auto" w:sz="4" w:space="0"/>
              <w:left w:val="single" w:color="auto" w:sz="4" w:space="0"/>
              <w:bottom w:val="single" w:color="auto" w:sz="4" w:space="0"/>
              <w:right w:val="single" w:color="auto" w:sz="4" w:space="0"/>
            </w:tcBorders>
            <w:vAlign w:val="center"/>
          </w:tcPr>
          <w:p w14:paraId="25819A05">
            <w:pPr>
              <w:pStyle w:val="113"/>
              <w:spacing w:line="240" w:lineRule="exact"/>
            </w:pPr>
            <w:r>
              <w:t>邮政编码</w:t>
            </w:r>
          </w:p>
        </w:tc>
        <w:tc>
          <w:tcPr>
            <w:tcW w:w="2027" w:type="dxa"/>
            <w:tcBorders>
              <w:top w:val="single" w:color="auto" w:sz="4" w:space="0"/>
              <w:left w:val="single" w:color="auto" w:sz="4" w:space="0"/>
              <w:bottom w:val="single" w:color="auto" w:sz="4" w:space="0"/>
              <w:right w:val="single" w:color="auto" w:sz="4" w:space="0"/>
            </w:tcBorders>
            <w:vAlign w:val="center"/>
          </w:tcPr>
          <w:p w14:paraId="3B9FF90A">
            <w:pPr>
              <w:pStyle w:val="113"/>
              <w:spacing w:line="240" w:lineRule="exact"/>
            </w:pPr>
            <w:bookmarkStart w:id="2" w:name="_Toc532466868"/>
            <w:bookmarkStart w:id="3" w:name="_Toc533770875"/>
            <w:bookmarkStart w:id="4" w:name="_Toc534202485"/>
            <w:bookmarkStart w:id="5" w:name="_Toc534202615"/>
            <w:bookmarkStart w:id="6" w:name="_Toc6243303"/>
            <w:bookmarkStart w:id="7" w:name="_Toc4601986"/>
            <w:bookmarkStart w:id="8" w:name="_Toc6243172"/>
            <w:bookmarkStart w:id="9" w:name="_Toc4680317"/>
            <w:r>
              <w:t>40</w:t>
            </w:r>
            <w:bookmarkEnd w:id="2"/>
            <w:bookmarkEnd w:id="3"/>
            <w:bookmarkEnd w:id="4"/>
            <w:bookmarkEnd w:id="5"/>
            <w:bookmarkEnd w:id="6"/>
            <w:bookmarkEnd w:id="7"/>
            <w:bookmarkEnd w:id="8"/>
            <w:bookmarkEnd w:id="9"/>
            <w:r>
              <w:t>0020</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14:paraId="366D40A0">
            <w:pPr>
              <w:pStyle w:val="113"/>
              <w:spacing w:line="240" w:lineRule="exact"/>
            </w:pPr>
            <w:r>
              <w:rPr>
                <w:rFonts w:hint="eastAsia"/>
              </w:rPr>
              <w:t>邮政编码</w:t>
            </w:r>
          </w:p>
        </w:tc>
        <w:tc>
          <w:tcPr>
            <w:tcW w:w="27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4DB04C5">
            <w:pPr>
              <w:pStyle w:val="113"/>
              <w:spacing w:line="240" w:lineRule="exact"/>
            </w:pPr>
            <w:r>
              <w:rPr>
                <w:rFonts w:hint="eastAsia"/>
              </w:rPr>
              <w:t>409100</w:t>
            </w:r>
          </w:p>
        </w:tc>
      </w:tr>
      <w:tr w14:paraId="2A9F19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2648" w:type="dxa"/>
            <w:gridSpan w:val="3"/>
            <w:tcBorders>
              <w:top w:val="single" w:color="auto" w:sz="4" w:space="0"/>
              <w:left w:val="single" w:color="auto" w:sz="4" w:space="0"/>
              <w:bottom w:val="single" w:color="auto" w:sz="4" w:space="0"/>
              <w:right w:val="single" w:color="auto" w:sz="4" w:space="0"/>
            </w:tcBorders>
            <w:vAlign w:val="center"/>
          </w:tcPr>
          <w:p w14:paraId="445422E4">
            <w:pPr>
              <w:pStyle w:val="113"/>
              <w:spacing w:line="240" w:lineRule="exact"/>
            </w:pPr>
            <w:r>
              <w:t>联系人及电话</w:t>
            </w:r>
          </w:p>
        </w:tc>
        <w:tc>
          <w:tcPr>
            <w:tcW w:w="2027" w:type="dxa"/>
            <w:tcBorders>
              <w:top w:val="single" w:color="auto" w:sz="4" w:space="0"/>
              <w:left w:val="single" w:color="auto" w:sz="4" w:space="0"/>
              <w:bottom w:val="single" w:color="auto" w:sz="4" w:space="0"/>
              <w:right w:val="single" w:color="auto" w:sz="4" w:space="0"/>
            </w:tcBorders>
            <w:vAlign w:val="center"/>
          </w:tcPr>
          <w:p w14:paraId="325AE2B4">
            <w:pPr>
              <w:pStyle w:val="113"/>
              <w:spacing w:line="240" w:lineRule="exact"/>
            </w:pPr>
            <w:r>
              <w:rPr>
                <w:rFonts w:hint="eastAsia"/>
              </w:rPr>
              <w:t>魏继兵</w:t>
            </w:r>
            <w:r>
              <w:t>/13647673033</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14:paraId="3C044735">
            <w:pPr>
              <w:pStyle w:val="113"/>
              <w:spacing w:line="240" w:lineRule="exact"/>
            </w:pPr>
            <w:r>
              <w:rPr>
                <w:rFonts w:hint="eastAsia"/>
              </w:rPr>
              <w:t>联系人及电话</w:t>
            </w:r>
          </w:p>
        </w:tc>
        <w:tc>
          <w:tcPr>
            <w:tcW w:w="27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868ACC">
            <w:pPr>
              <w:pStyle w:val="113"/>
              <w:spacing w:line="240" w:lineRule="exact"/>
            </w:pPr>
            <w:r>
              <w:rPr>
                <w:rFonts w:hint="eastAsia"/>
              </w:rPr>
              <w:t>王超然/17783279578</w:t>
            </w:r>
          </w:p>
        </w:tc>
      </w:tr>
      <w:tr w14:paraId="2E27B1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3"/>
            <w:tcBorders>
              <w:top w:val="single" w:color="auto" w:sz="4" w:space="0"/>
              <w:left w:val="single" w:color="auto" w:sz="4" w:space="0"/>
              <w:bottom w:val="single" w:color="auto" w:sz="4" w:space="0"/>
              <w:right w:val="single" w:color="auto" w:sz="4" w:space="0"/>
            </w:tcBorders>
            <w:vAlign w:val="center"/>
          </w:tcPr>
          <w:p w14:paraId="57C5558F">
            <w:pPr>
              <w:pStyle w:val="113"/>
              <w:spacing w:line="240" w:lineRule="exact"/>
            </w:pPr>
            <w:r>
              <w:t>电子邮箱</w:t>
            </w:r>
          </w:p>
        </w:tc>
        <w:tc>
          <w:tcPr>
            <w:tcW w:w="2027" w:type="dxa"/>
            <w:tcBorders>
              <w:top w:val="single" w:color="auto" w:sz="4" w:space="0"/>
              <w:left w:val="single" w:color="auto" w:sz="4" w:space="0"/>
              <w:bottom w:val="single" w:color="auto" w:sz="4" w:space="0"/>
              <w:right w:val="single" w:color="auto" w:sz="4" w:space="0"/>
            </w:tcBorders>
            <w:vAlign w:val="center"/>
          </w:tcPr>
          <w:p w14:paraId="545F13C9">
            <w:pPr>
              <w:pStyle w:val="113"/>
              <w:spacing w:line="240" w:lineRule="exact"/>
            </w:pPr>
            <w:r>
              <w:t>544651698@qq.com</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14:paraId="22D8C303">
            <w:pPr>
              <w:pStyle w:val="113"/>
              <w:spacing w:line="240" w:lineRule="exact"/>
            </w:pPr>
            <w:r>
              <w:rPr>
                <w:rFonts w:hint="eastAsia"/>
              </w:rPr>
              <w:t>电子邮箱</w:t>
            </w:r>
          </w:p>
        </w:tc>
        <w:tc>
          <w:tcPr>
            <w:tcW w:w="27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F5DBF8">
            <w:pPr>
              <w:pStyle w:val="113"/>
              <w:spacing w:line="240" w:lineRule="exact"/>
            </w:pPr>
            <w:r>
              <w:rPr>
                <w:rFonts w:hint="eastAsia"/>
              </w:rPr>
              <w:t>282669544@qq.com</w:t>
            </w:r>
          </w:p>
        </w:tc>
      </w:tr>
    </w:tbl>
    <w:p w14:paraId="0E69CA1C">
      <w:pPr>
        <w:pStyle w:val="101"/>
        <w:spacing w:afterLines="0" w:line="240" w:lineRule="exact"/>
        <w:jc w:val="both"/>
        <w:rPr>
          <w:rFonts w:ascii="方正小标宋_GBK" w:eastAsia="方正小标宋_GBK"/>
          <w:sz w:val="44"/>
          <w:szCs w:val="44"/>
        </w:rPr>
      </w:pPr>
    </w:p>
    <w:p w14:paraId="3F682494">
      <w:pPr>
        <w:pStyle w:val="101"/>
        <w:spacing w:afterLines="0" w:line="240" w:lineRule="exact"/>
        <w:jc w:val="both"/>
        <w:rPr>
          <w:rFonts w:ascii="方正小标宋_GBK" w:eastAsia="方正小标宋_GBK"/>
          <w:sz w:val="44"/>
          <w:szCs w:val="44"/>
        </w:rPr>
      </w:pPr>
    </w:p>
    <w:p w14:paraId="3FE3A688">
      <w:pPr>
        <w:widowControl/>
        <w:spacing w:line="400" w:lineRule="exact"/>
        <w:jc w:val="left"/>
        <w:rPr>
          <w:rFonts w:hint="eastAsia" w:ascii="方正小标宋_GBK" w:eastAsia="方正小标宋_GBK"/>
          <w:kern w:val="0"/>
          <w:sz w:val="44"/>
          <w:szCs w:val="44"/>
        </w:rPr>
      </w:pPr>
    </w:p>
    <w:p w14:paraId="51BA14ED">
      <w:pPr>
        <w:widowControl/>
        <w:spacing w:line="400" w:lineRule="exact"/>
        <w:jc w:val="left"/>
        <w:rPr>
          <w:rFonts w:hint="eastAsia" w:ascii="宋体" w:hAnsi="宋体" w:cs="宋体"/>
          <w:kern w:val="0"/>
          <w:sz w:val="24"/>
        </w:rPr>
      </w:pPr>
      <w:r>
        <w:rPr>
          <w:rFonts w:hint="eastAsia" w:ascii="方正仿宋_GBK" w:hAnsi="宋体" w:eastAsia="方正仿宋_GBK" w:cs="宋体"/>
          <w:kern w:val="0"/>
          <w:sz w:val="24"/>
        </w:rPr>
        <w:t xml:space="preserve">附件2   </w:t>
      </w:r>
      <w:r>
        <w:rPr>
          <w:rFonts w:hint="eastAsia" w:ascii="宋体" w:hAnsi="宋体" w:cs="宋体"/>
          <w:kern w:val="0"/>
          <w:sz w:val="24"/>
        </w:rPr>
        <w:t xml:space="preserve">    </w:t>
      </w:r>
      <w:r>
        <w:rPr>
          <w:rFonts w:hint="eastAsia" w:eastAsia="仿宋_GB2312"/>
          <w:b/>
          <w:spacing w:val="-20"/>
          <w:sz w:val="28"/>
          <w:szCs w:val="28"/>
        </w:rPr>
        <w:t>丰石高速公路石柱西互通至南宾工业园区B区连接道路</w:t>
      </w:r>
    </w:p>
    <w:p w14:paraId="67079C27">
      <w:pPr>
        <w:spacing w:line="520" w:lineRule="exact"/>
        <w:jc w:val="center"/>
        <w:rPr>
          <w:rFonts w:eastAsia="仿宋_GB2312"/>
          <w:b/>
          <w:sz w:val="28"/>
          <w:szCs w:val="28"/>
        </w:rPr>
      </w:pPr>
      <w:r>
        <w:rPr>
          <w:rFonts w:hint="eastAsia" w:eastAsia="仿宋_GB2312"/>
          <w:b/>
          <w:sz w:val="28"/>
          <w:szCs w:val="28"/>
        </w:rPr>
        <w:t>水土保持方案报告书</w:t>
      </w:r>
    </w:p>
    <w:p w14:paraId="179C2E5C">
      <w:pPr>
        <w:spacing w:line="520" w:lineRule="exact"/>
        <w:jc w:val="center"/>
        <w:rPr>
          <w:rFonts w:eastAsia="仿宋_GB2312"/>
          <w:b/>
          <w:sz w:val="28"/>
          <w:szCs w:val="28"/>
        </w:rPr>
      </w:pPr>
      <w:r>
        <w:rPr>
          <w:rFonts w:hint="eastAsia" w:eastAsia="仿宋_GB2312"/>
          <w:b/>
          <w:sz w:val="28"/>
          <w:szCs w:val="28"/>
        </w:rPr>
        <w:t>专家评审意见</w:t>
      </w:r>
    </w:p>
    <w:p w14:paraId="637EBD37">
      <w:pPr>
        <w:spacing w:line="520" w:lineRule="exact"/>
        <w:ind w:firstLine="420" w:firstLineChars="200"/>
        <w:rPr>
          <w:rFonts w:hint="eastAsia" w:eastAsia="仿宋_GB2312"/>
          <w:szCs w:val="28"/>
        </w:rPr>
      </w:pPr>
    </w:p>
    <w:p w14:paraId="0C368D89">
      <w:pPr>
        <w:spacing w:line="520" w:lineRule="exact"/>
        <w:ind w:firstLine="420" w:firstLineChars="200"/>
        <w:rPr>
          <w:rFonts w:eastAsia="仿宋_GB2312"/>
          <w:szCs w:val="28"/>
        </w:rPr>
      </w:pPr>
      <w:r>
        <w:rPr>
          <w:rFonts w:eastAsia="仿宋_GB2312"/>
          <w:szCs w:val="28"/>
        </w:rPr>
        <w:t>2022年1月16日，石柱土家族自治县水利局</w:t>
      </w:r>
      <w:r>
        <w:rPr>
          <w:rFonts w:eastAsia="仿宋_GB2312"/>
          <w:color w:val="000000"/>
          <w:kern w:val="0"/>
          <w:szCs w:val="28"/>
        </w:rPr>
        <w:t>组织召开了《</w:t>
      </w:r>
      <w:r>
        <w:rPr>
          <w:rFonts w:hint="eastAsia" w:eastAsia="仿宋_GB2312"/>
          <w:color w:val="000000"/>
          <w:kern w:val="0"/>
          <w:szCs w:val="28"/>
        </w:rPr>
        <w:t>丰</w:t>
      </w:r>
      <w:r>
        <w:rPr>
          <w:rFonts w:eastAsia="仿宋_GB2312"/>
          <w:color w:val="000000"/>
          <w:kern w:val="0"/>
          <w:szCs w:val="28"/>
        </w:rPr>
        <w:t>石高速公路石柱西互通至南宾工业园区B区连接道路水土保持方案报告书（送审稿）》（以下简称《水保方案（送审稿）》）专家评审会。</w:t>
      </w:r>
      <w:r>
        <w:rPr>
          <w:rFonts w:hint="eastAsia" w:eastAsia="仿宋_GB2312"/>
          <w:color w:val="000000"/>
          <w:kern w:val="0"/>
          <w:szCs w:val="28"/>
        </w:rPr>
        <w:t>石柱土家族自治县水利局</w:t>
      </w:r>
      <w:r>
        <w:rPr>
          <w:rFonts w:eastAsia="仿宋_GB2312"/>
          <w:color w:val="000000"/>
          <w:kern w:val="0"/>
          <w:szCs w:val="28"/>
        </w:rPr>
        <w:t>、</w:t>
      </w:r>
      <w:r>
        <w:rPr>
          <w:rFonts w:hint="eastAsia" w:eastAsia="仿宋_GB2312"/>
          <w:color w:val="000000"/>
          <w:kern w:val="0"/>
          <w:szCs w:val="28"/>
        </w:rPr>
        <w:t>石柱土家族自治县裕兴实业有限公司</w:t>
      </w:r>
      <w:r>
        <w:rPr>
          <w:rFonts w:eastAsia="仿宋_GB2312"/>
          <w:color w:val="000000"/>
          <w:kern w:val="0"/>
          <w:szCs w:val="28"/>
        </w:rPr>
        <w:t>（以下简称项目法人）、</w:t>
      </w:r>
      <w:r>
        <w:rPr>
          <w:rFonts w:hint="eastAsia" w:eastAsia="仿宋_GB2312"/>
          <w:color w:val="000000"/>
          <w:kern w:val="0"/>
          <w:szCs w:val="28"/>
        </w:rPr>
        <w:t>重庆泽润水利工程咨询有限公司</w:t>
      </w:r>
      <w:r>
        <w:rPr>
          <w:rFonts w:eastAsia="仿宋_GB2312"/>
          <w:color w:val="000000"/>
          <w:kern w:val="0"/>
          <w:szCs w:val="28"/>
        </w:rPr>
        <w:t>（以下简称报告编制单位）的代表参加了会议。会议成立了专家组，专家组成员会前详细审阅了《水保方案（送审稿）》，与会人员会上认真听取了项目法人和报告编制单位的汇报，进行了深入讨论。根据“渝水〔2018〕267号”、“水保监〔2020〕63号”和“渝水规范〔2021〕2号”，专家组对《水保方案（送审稿）》进行了质量评分，质量评定等级合格。报告编制单位会后对《水保方案（送审稿）》进行了修改、补充和完善，项目法人于2022年1月21日提交了《</w:t>
      </w:r>
      <w:r>
        <w:rPr>
          <w:rFonts w:hint="eastAsia" w:eastAsia="仿宋_GB2312"/>
          <w:color w:val="000000"/>
          <w:kern w:val="0"/>
          <w:szCs w:val="28"/>
        </w:rPr>
        <w:t>丰石高速公路石柱西互通至南宾工业园区B区连接道路</w:t>
      </w:r>
      <w:r>
        <w:rPr>
          <w:rFonts w:eastAsia="仿宋_GB2312"/>
          <w:color w:val="000000"/>
          <w:kern w:val="0"/>
          <w:szCs w:val="28"/>
        </w:rPr>
        <w:t>水土保持方案报告书（报批稿）》。经专家组复核，形成专家评审意见如下：</w:t>
      </w:r>
    </w:p>
    <w:p w14:paraId="358B1937">
      <w:pPr>
        <w:spacing w:line="520" w:lineRule="exact"/>
        <w:ind w:firstLine="422" w:firstLineChars="200"/>
        <w:outlineLvl w:val="0"/>
        <w:rPr>
          <w:rFonts w:eastAsia="仿宋_GB2312"/>
          <w:b/>
          <w:bCs/>
          <w:szCs w:val="28"/>
        </w:rPr>
      </w:pPr>
      <w:r>
        <w:rPr>
          <w:rFonts w:hint="eastAsia" w:hAnsi="宋体" w:eastAsia="仿宋_GB2312"/>
          <w:b/>
          <w:bCs/>
          <w:szCs w:val="28"/>
        </w:rPr>
        <w:t>一、综合说明</w:t>
      </w:r>
    </w:p>
    <w:p w14:paraId="34E4D265">
      <w:pPr>
        <w:adjustRightInd w:val="0"/>
        <w:snapToGrid w:val="0"/>
        <w:spacing w:line="520" w:lineRule="exact"/>
        <w:ind w:firstLine="420" w:firstLineChars="200"/>
        <w:rPr>
          <w:rFonts w:eastAsia="仿宋_GB2312"/>
          <w:szCs w:val="28"/>
        </w:rPr>
      </w:pPr>
      <w:r>
        <w:rPr>
          <w:rFonts w:hint="eastAsia" w:hAnsi="宋体" w:eastAsia="仿宋_GB2312"/>
          <w:szCs w:val="28"/>
        </w:rPr>
        <w:t>（一）方案编制所依据的法律法规、规范性文件、标准规范、技术文件及采用的资料基本正确。</w:t>
      </w:r>
    </w:p>
    <w:p w14:paraId="3DF58516">
      <w:pPr>
        <w:adjustRightInd w:val="0"/>
        <w:snapToGrid w:val="0"/>
        <w:spacing w:line="520" w:lineRule="exact"/>
        <w:ind w:firstLine="420" w:firstLineChars="200"/>
        <w:rPr>
          <w:rFonts w:eastAsia="仿宋_GB2312"/>
          <w:szCs w:val="28"/>
        </w:rPr>
      </w:pPr>
      <w:r>
        <w:rPr>
          <w:rFonts w:hint="eastAsia" w:hAnsi="宋体" w:eastAsia="仿宋_GB2312"/>
          <w:szCs w:val="28"/>
        </w:rPr>
        <w:t>（二）同意方案设计水平年为</w:t>
      </w:r>
      <w:r>
        <w:rPr>
          <w:rFonts w:eastAsia="仿宋_GB2312"/>
          <w:szCs w:val="28"/>
        </w:rPr>
        <w:t>2022</w:t>
      </w:r>
      <w:r>
        <w:rPr>
          <w:rFonts w:hint="eastAsia" w:hAnsi="宋体" w:eastAsia="仿宋_GB2312"/>
          <w:szCs w:val="28"/>
        </w:rPr>
        <w:t>年。</w:t>
      </w:r>
    </w:p>
    <w:p w14:paraId="56C18CA3">
      <w:pPr>
        <w:adjustRightInd w:val="0"/>
        <w:snapToGrid w:val="0"/>
        <w:spacing w:line="520" w:lineRule="exact"/>
        <w:ind w:firstLine="420" w:firstLineChars="200"/>
        <w:rPr>
          <w:rFonts w:hAnsi="宋体" w:eastAsia="仿宋_GB2312"/>
          <w:szCs w:val="28"/>
        </w:rPr>
      </w:pPr>
      <w:r>
        <w:rPr>
          <w:rFonts w:hAnsi="宋体" w:eastAsia="仿宋_GB2312"/>
          <w:szCs w:val="28"/>
        </w:rPr>
        <w:t>（三）同意水土流失防治责任范围的界定，水土流失防治责任范围面积为74.33hm</w:t>
      </w:r>
      <w:r>
        <w:rPr>
          <w:rFonts w:hAnsi="宋体" w:eastAsia="仿宋_GB2312"/>
          <w:szCs w:val="28"/>
          <w:vertAlign w:val="superscript"/>
        </w:rPr>
        <w:t>2</w:t>
      </w:r>
      <w:r>
        <w:rPr>
          <w:rFonts w:hint="eastAsia" w:hAnsi="宋体" w:eastAsia="仿宋_GB2312"/>
          <w:szCs w:val="28"/>
        </w:rPr>
        <w:t>（不含移交第三方项目的临时占地1</w:t>
      </w:r>
      <w:r>
        <w:rPr>
          <w:rFonts w:hAnsi="宋体" w:eastAsia="仿宋_GB2312"/>
          <w:szCs w:val="28"/>
        </w:rPr>
        <w:t>.14</w:t>
      </w:r>
      <w:r>
        <w:rPr>
          <w:rFonts w:hint="eastAsia" w:hAnsi="宋体" w:eastAsia="仿宋_GB2312"/>
          <w:szCs w:val="28"/>
        </w:rPr>
        <w:t>hm</w:t>
      </w:r>
      <w:r>
        <w:rPr>
          <w:rFonts w:hint="eastAsia" w:hAnsi="宋体" w:eastAsia="仿宋_GB2312"/>
          <w:szCs w:val="28"/>
          <w:vertAlign w:val="superscript"/>
        </w:rPr>
        <w:t>2</w:t>
      </w:r>
      <w:r>
        <w:rPr>
          <w:rFonts w:hint="eastAsia" w:hAnsi="宋体" w:eastAsia="仿宋_GB2312"/>
          <w:szCs w:val="28"/>
        </w:rPr>
        <w:t>）</w:t>
      </w:r>
      <w:r>
        <w:rPr>
          <w:rFonts w:hAnsi="宋体" w:eastAsia="仿宋_GB2312"/>
          <w:szCs w:val="28"/>
        </w:rPr>
        <w:t>。</w:t>
      </w:r>
    </w:p>
    <w:p w14:paraId="5B8CA133">
      <w:pPr>
        <w:adjustRightInd w:val="0"/>
        <w:snapToGrid w:val="0"/>
        <w:spacing w:line="520" w:lineRule="exact"/>
        <w:ind w:firstLine="420" w:firstLineChars="200"/>
        <w:rPr>
          <w:rFonts w:eastAsia="仿宋_GB2312"/>
          <w:szCs w:val="28"/>
        </w:rPr>
      </w:pPr>
      <w:r>
        <w:rPr>
          <w:rFonts w:hint="eastAsia" w:hAnsi="宋体" w:eastAsia="仿宋_GB2312"/>
          <w:szCs w:val="28"/>
        </w:rPr>
        <w:t>（四）同意项目水土流失防治标准执行等级为西南紫色土区建设类项目一级标准。</w:t>
      </w:r>
    </w:p>
    <w:p w14:paraId="06399FF0">
      <w:pPr>
        <w:adjustRightInd w:val="0"/>
        <w:snapToGrid w:val="0"/>
        <w:spacing w:line="520" w:lineRule="exact"/>
        <w:ind w:firstLine="420" w:firstLineChars="200"/>
        <w:rPr>
          <w:rFonts w:eastAsia="仿宋_GB2312"/>
          <w:szCs w:val="28"/>
        </w:rPr>
      </w:pPr>
      <w:r>
        <w:rPr>
          <w:rFonts w:hint="eastAsia" w:hAnsi="宋体" w:eastAsia="仿宋_GB2312"/>
          <w:szCs w:val="28"/>
        </w:rPr>
        <w:t>（五）同意该项目水土流失防治目标。其中水土流失治理度9</w:t>
      </w:r>
      <w:r>
        <w:rPr>
          <w:rFonts w:hAnsi="宋体" w:eastAsia="仿宋_GB2312"/>
          <w:szCs w:val="28"/>
        </w:rPr>
        <w:t>7</w:t>
      </w:r>
      <w:r>
        <w:rPr>
          <w:rFonts w:hint="eastAsia" w:hAnsi="宋体" w:eastAsia="仿宋_GB2312"/>
          <w:szCs w:val="28"/>
        </w:rPr>
        <w:t>%、土壤流失控制比1</w:t>
      </w:r>
      <w:r>
        <w:rPr>
          <w:rFonts w:hAnsi="宋体" w:eastAsia="仿宋_GB2312"/>
          <w:szCs w:val="28"/>
        </w:rPr>
        <w:t>.0</w:t>
      </w:r>
      <w:r>
        <w:rPr>
          <w:rFonts w:hint="eastAsia" w:hAnsi="宋体" w:eastAsia="仿宋_GB2312"/>
          <w:szCs w:val="28"/>
        </w:rPr>
        <w:t>、渣土防护率9</w:t>
      </w:r>
      <w:r>
        <w:rPr>
          <w:rFonts w:hAnsi="宋体" w:eastAsia="仿宋_GB2312"/>
          <w:szCs w:val="28"/>
        </w:rPr>
        <w:t>4</w:t>
      </w:r>
      <w:r>
        <w:rPr>
          <w:rFonts w:hint="eastAsia" w:hAnsi="宋体" w:eastAsia="仿宋_GB2312"/>
          <w:szCs w:val="28"/>
        </w:rPr>
        <w:t>%、表土保护率9</w:t>
      </w:r>
      <w:r>
        <w:rPr>
          <w:rFonts w:hAnsi="宋体" w:eastAsia="仿宋_GB2312"/>
          <w:szCs w:val="28"/>
        </w:rPr>
        <w:t>2</w:t>
      </w:r>
      <w:r>
        <w:rPr>
          <w:rFonts w:hint="eastAsia" w:hAnsi="宋体" w:eastAsia="仿宋_GB2312"/>
          <w:szCs w:val="28"/>
        </w:rPr>
        <w:t>%、林草植被恢复率9</w:t>
      </w:r>
      <w:r>
        <w:rPr>
          <w:rFonts w:hAnsi="宋体" w:eastAsia="仿宋_GB2312"/>
          <w:szCs w:val="28"/>
        </w:rPr>
        <w:t>7</w:t>
      </w:r>
      <w:r>
        <w:rPr>
          <w:rFonts w:hint="eastAsia" w:hAnsi="宋体" w:eastAsia="仿宋_GB2312"/>
          <w:szCs w:val="28"/>
        </w:rPr>
        <w:t>%、林草覆盖率2</w:t>
      </w:r>
      <w:r>
        <w:rPr>
          <w:rFonts w:hAnsi="宋体" w:eastAsia="仿宋_GB2312"/>
          <w:szCs w:val="28"/>
        </w:rPr>
        <w:t>7</w:t>
      </w:r>
      <w:r>
        <w:rPr>
          <w:rFonts w:hint="eastAsia" w:hAnsi="宋体" w:eastAsia="仿宋_GB2312"/>
          <w:szCs w:val="28"/>
        </w:rPr>
        <w:t>%。</w:t>
      </w:r>
    </w:p>
    <w:p w14:paraId="5B00A6E2">
      <w:pPr>
        <w:spacing w:line="520" w:lineRule="exact"/>
        <w:ind w:firstLine="422" w:firstLineChars="200"/>
        <w:outlineLvl w:val="0"/>
        <w:rPr>
          <w:rFonts w:eastAsia="仿宋_GB2312"/>
          <w:szCs w:val="28"/>
        </w:rPr>
      </w:pPr>
      <w:r>
        <w:rPr>
          <w:rFonts w:hint="eastAsia" w:hAnsi="宋体" w:eastAsia="仿宋_GB2312"/>
          <w:b/>
          <w:bCs/>
          <w:szCs w:val="28"/>
        </w:rPr>
        <w:t>二、项目及项目区概况</w:t>
      </w:r>
    </w:p>
    <w:p w14:paraId="6CB4754B">
      <w:pPr>
        <w:spacing w:line="520" w:lineRule="exact"/>
        <w:ind w:firstLine="420" w:firstLineChars="200"/>
        <w:rPr>
          <w:rFonts w:eastAsia="仿宋_GB2312"/>
          <w:szCs w:val="28"/>
        </w:rPr>
      </w:pPr>
      <w:r>
        <w:rPr>
          <w:rFonts w:hint="eastAsia" w:hAnsi="宋体" w:eastAsia="仿宋_GB2312"/>
          <w:szCs w:val="28"/>
        </w:rPr>
        <w:t>（一）工程项目概况阐述清楚。</w:t>
      </w:r>
    </w:p>
    <w:p w14:paraId="1AE53944">
      <w:pPr>
        <w:adjustRightInd w:val="0"/>
        <w:snapToGrid w:val="0"/>
        <w:spacing w:line="520" w:lineRule="exact"/>
        <w:ind w:firstLine="420" w:firstLineChars="200"/>
        <w:rPr>
          <w:rFonts w:eastAsia="仿宋_GB2312"/>
          <w:color w:val="000000" w:themeColor="text1"/>
          <w:kern w:val="0"/>
          <w:szCs w:val="28"/>
        </w:rPr>
      </w:pPr>
      <w:r>
        <w:rPr>
          <w:rFonts w:hint="eastAsia" w:eastAsia="仿宋_GB2312"/>
          <w:color w:val="000000" w:themeColor="text1"/>
          <w:kern w:val="0"/>
          <w:szCs w:val="28"/>
        </w:rPr>
        <w:t>项目位于石柱县西南部，起点位于万安街道龙坪村，与现状迎宾大道顺接，向南延伸，沿线依次经过甄子平片区（下路街道银河村、下路街道红岩社区），之后采用一条直线延伸，终点位于下路街道柏树村，与石柱工业园B区道路顺接，全长4.32km，为城市主干道，设计速度50km/h，路幅宽32m，双向六车道，属新建项目。本项目主体工程由路基工程、路面工程、排水工程、绿化工程、综合管廊工程等组成。项目用地范围内居民住所，按棚户区改造对居民进行一次性赔偿迁拆款并集中安置于附近安置房。根据工程建设需要，设弃渣场2处2</w:t>
      </w:r>
      <w:r>
        <w:rPr>
          <w:rFonts w:eastAsia="仿宋_GB2312"/>
          <w:color w:val="000000" w:themeColor="text1"/>
          <w:kern w:val="0"/>
          <w:szCs w:val="28"/>
        </w:rPr>
        <w:t>0.38hm</w:t>
      </w:r>
      <w:r>
        <w:rPr>
          <w:rFonts w:eastAsia="仿宋_GB2312"/>
          <w:color w:val="000000" w:themeColor="text1"/>
          <w:kern w:val="0"/>
          <w:szCs w:val="28"/>
          <w:vertAlign w:val="superscript"/>
        </w:rPr>
        <w:t>2</w:t>
      </w:r>
      <w:r>
        <w:rPr>
          <w:rFonts w:hint="eastAsia" w:eastAsia="仿宋_GB2312"/>
          <w:color w:val="000000" w:themeColor="text1"/>
          <w:kern w:val="0"/>
          <w:szCs w:val="28"/>
        </w:rPr>
        <w:t>，施工便道8条</w:t>
      </w:r>
      <w:r>
        <w:rPr>
          <w:rFonts w:eastAsia="仿宋_GB2312"/>
          <w:color w:val="000000" w:themeColor="text1"/>
          <w:kern w:val="0"/>
          <w:szCs w:val="28"/>
        </w:rPr>
        <w:t>4.13hm</w:t>
      </w:r>
      <w:r>
        <w:rPr>
          <w:rFonts w:eastAsia="仿宋_GB2312"/>
          <w:color w:val="000000" w:themeColor="text1"/>
          <w:kern w:val="0"/>
          <w:szCs w:val="28"/>
          <w:vertAlign w:val="superscript"/>
        </w:rPr>
        <w:t>2</w:t>
      </w:r>
      <w:r>
        <w:rPr>
          <w:rFonts w:eastAsia="仿宋_GB2312"/>
          <w:color w:val="000000" w:themeColor="text1"/>
          <w:kern w:val="0"/>
          <w:szCs w:val="28"/>
        </w:rPr>
        <w:t>/3.162km</w:t>
      </w:r>
      <w:r>
        <w:rPr>
          <w:rFonts w:hint="eastAsia" w:eastAsia="仿宋_GB2312"/>
          <w:color w:val="000000" w:themeColor="text1"/>
          <w:kern w:val="0"/>
          <w:szCs w:val="28"/>
        </w:rPr>
        <w:t>，临时堆料场1处</w:t>
      </w:r>
      <w:r>
        <w:rPr>
          <w:rFonts w:eastAsia="仿宋_GB2312"/>
          <w:color w:val="000000" w:themeColor="text1"/>
          <w:kern w:val="0"/>
          <w:szCs w:val="28"/>
        </w:rPr>
        <w:t>1.57hm</w:t>
      </w:r>
      <w:r>
        <w:rPr>
          <w:rFonts w:eastAsia="仿宋_GB2312"/>
          <w:color w:val="000000" w:themeColor="text1"/>
          <w:kern w:val="0"/>
          <w:szCs w:val="28"/>
          <w:vertAlign w:val="superscript"/>
        </w:rPr>
        <w:t>2</w:t>
      </w:r>
      <w:r>
        <w:rPr>
          <w:rFonts w:hint="eastAsia" w:eastAsia="仿宋_GB2312"/>
          <w:color w:val="000000" w:themeColor="text1"/>
          <w:kern w:val="0"/>
          <w:szCs w:val="28"/>
        </w:rPr>
        <w:t>，表土堆放场</w:t>
      </w:r>
      <w:r>
        <w:rPr>
          <w:rFonts w:eastAsia="仿宋_GB2312"/>
          <w:color w:val="000000" w:themeColor="text1"/>
          <w:kern w:val="0"/>
          <w:szCs w:val="28"/>
        </w:rPr>
        <w:t>1.03hm</w:t>
      </w:r>
      <w:r>
        <w:rPr>
          <w:rFonts w:eastAsia="仿宋_GB2312"/>
          <w:color w:val="000000" w:themeColor="text1"/>
          <w:kern w:val="0"/>
          <w:szCs w:val="28"/>
          <w:vertAlign w:val="superscript"/>
        </w:rPr>
        <w:t>2</w:t>
      </w:r>
      <w:r>
        <w:rPr>
          <w:rFonts w:eastAsia="仿宋_GB2312"/>
          <w:color w:val="000000" w:themeColor="text1"/>
          <w:kern w:val="0"/>
          <w:szCs w:val="28"/>
        </w:rPr>
        <w:t>/3</w:t>
      </w:r>
      <w:r>
        <w:rPr>
          <w:rFonts w:hint="eastAsia" w:eastAsia="仿宋_GB2312"/>
          <w:color w:val="000000" w:themeColor="text1"/>
          <w:kern w:val="0"/>
          <w:szCs w:val="28"/>
        </w:rPr>
        <w:t>处（表土总堆土量</w:t>
      </w:r>
      <w:r>
        <w:rPr>
          <w:rFonts w:eastAsia="仿宋_GB2312"/>
          <w:color w:val="000000" w:themeColor="text1"/>
          <w:kern w:val="0"/>
          <w:szCs w:val="28"/>
        </w:rPr>
        <w:t>3.90</w:t>
      </w:r>
      <w:r>
        <w:rPr>
          <w:rFonts w:hint="eastAsia" w:eastAsia="仿宋_GB2312"/>
          <w:color w:val="000000" w:themeColor="text1"/>
          <w:kern w:val="0"/>
          <w:szCs w:val="28"/>
        </w:rPr>
        <w:t>万</w:t>
      </w:r>
      <w:r>
        <w:rPr>
          <w:rFonts w:eastAsia="仿宋_GB2312"/>
          <w:color w:val="000000" w:themeColor="text1"/>
          <w:kern w:val="0"/>
          <w:szCs w:val="28"/>
        </w:rPr>
        <w:t>m</w:t>
      </w:r>
      <w:r>
        <w:rPr>
          <w:rFonts w:eastAsia="仿宋_GB2312"/>
          <w:color w:val="000000" w:themeColor="text1"/>
          <w:kern w:val="0"/>
          <w:szCs w:val="28"/>
          <w:vertAlign w:val="superscript"/>
        </w:rPr>
        <w:t>3</w:t>
      </w:r>
      <w:r>
        <w:rPr>
          <w:rFonts w:hint="eastAsia" w:eastAsia="仿宋_GB2312"/>
          <w:color w:val="000000" w:themeColor="text1"/>
          <w:kern w:val="0"/>
          <w:szCs w:val="28"/>
        </w:rPr>
        <w:t>，位于项目</w:t>
      </w:r>
      <w:r>
        <w:rPr>
          <w:rFonts w:eastAsia="仿宋_GB2312"/>
          <w:color w:val="000000" w:themeColor="text1"/>
          <w:kern w:val="0"/>
          <w:szCs w:val="28"/>
        </w:rPr>
        <w:t>1#</w:t>
      </w:r>
      <w:r>
        <w:rPr>
          <w:rFonts w:hint="eastAsia" w:eastAsia="仿宋_GB2312"/>
          <w:color w:val="000000" w:themeColor="text1"/>
          <w:kern w:val="0"/>
          <w:szCs w:val="28"/>
        </w:rPr>
        <w:t>弃渣场已成平台）。本项目所需沙石料全部采用外购；施工用水、施工用电就近利用市政供水、供电，不涉及临时占地；施工生产生活区采用租用周边居民楼，不涉及临时占地。</w:t>
      </w:r>
    </w:p>
    <w:p w14:paraId="25AA69BF">
      <w:pPr>
        <w:adjustRightInd w:val="0"/>
        <w:snapToGrid w:val="0"/>
        <w:spacing w:line="520" w:lineRule="exact"/>
        <w:ind w:firstLine="420" w:firstLineChars="200"/>
        <w:rPr>
          <w:rFonts w:eastAsia="仿宋_GB2312"/>
          <w:color w:val="000000" w:themeColor="text1"/>
          <w:kern w:val="0"/>
          <w:szCs w:val="28"/>
        </w:rPr>
      </w:pPr>
      <w:r>
        <w:rPr>
          <w:rFonts w:hint="eastAsia" w:eastAsia="仿宋_GB2312"/>
          <w:color w:val="000000" w:themeColor="text1"/>
          <w:kern w:val="0"/>
          <w:szCs w:val="28"/>
        </w:rPr>
        <w:t>项目总占地</w:t>
      </w:r>
      <w:r>
        <w:rPr>
          <w:rFonts w:eastAsia="仿宋_GB2312"/>
          <w:color w:val="000000" w:themeColor="text1"/>
          <w:kern w:val="0"/>
          <w:szCs w:val="28"/>
        </w:rPr>
        <w:t>75.47</w:t>
      </w:r>
      <w:r>
        <w:rPr>
          <w:rFonts w:hint="eastAsia" w:eastAsia="仿宋_GB2312"/>
          <w:color w:val="000000" w:themeColor="text1"/>
          <w:kern w:val="0"/>
          <w:szCs w:val="28"/>
        </w:rPr>
        <w:t>hm</w:t>
      </w:r>
      <w:r>
        <w:rPr>
          <w:rFonts w:hint="eastAsia" w:eastAsia="仿宋_GB2312"/>
          <w:color w:val="000000" w:themeColor="text1"/>
          <w:kern w:val="0"/>
          <w:szCs w:val="28"/>
          <w:vertAlign w:val="superscript"/>
        </w:rPr>
        <w:t>2</w:t>
      </w:r>
      <w:r>
        <w:rPr>
          <w:rFonts w:hint="eastAsia" w:eastAsia="仿宋_GB2312"/>
          <w:color w:val="000000" w:themeColor="text1"/>
          <w:kern w:val="0"/>
          <w:szCs w:val="28"/>
        </w:rPr>
        <w:t>，其中永久占地面积</w:t>
      </w:r>
      <w:r>
        <w:rPr>
          <w:rFonts w:eastAsia="仿宋_GB2312"/>
          <w:color w:val="000000" w:themeColor="text1"/>
          <w:kern w:val="0"/>
          <w:szCs w:val="28"/>
        </w:rPr>
        <w:t>16.91</w:t>
      </w:r>
      <w:r>
        <w:rPr>
          <w:rFonts w:hint="eastAsia" w:eastAsia="仿宋_GB2312"/>
          <w:color w:val="000000" w:themeColor="text1"/>
          <w:kern w:val="0"/>
          <w:szCs w:val="28"/>
        </w:rPr>
        <w:t>hm</w:t>
      </w:r>
      <w:r>
        <w:rPr>
          <w:rFonts w:hint="eastAsia" w:eastAsia="仿宋_GB2312"/>
          <w:color w:val="000000" w:themeColor="text1"/>
          <w:kern w:val="0"/>
          <w:szCs w:val="28"/>
          <w:vertAlign w:val="superscript"/>
        </w:rPr>
        <w:t>2</w:t>
      </w:r>
      <w:r>
        <w:rPr>
          <w:rFonts w:hint="eastAsia" w:eastAsia="仿宋_GB2312"/>
          <w:color w:val="000000" w:themeColor="text1"/>
          <w:kern w:val="0"/>
          <w:szCs w:val="28"/>
        </w:rPr>
        <w:t>，临时占地面积</w:t>
      </w:r>
      <w:r>
        <w:rPr>
          <w:rFonts w:eastAsia="仿宋_GB2312"/>
          <w:color w:val="000000" w:themeColor="text1"/>
          <w:kern w:val="0"/>
          <w:szCs w:val="28"/>
        </w:rPr>
        <w:t>58.56</w:t>
      </w:r>
      <w:r>
        <w:rPr>
          <w:rFonts w:hint="eastAsia" w:eastAsia="仿宋_GB2312"/>
          <w:color w:val="000000" w:themeColor="text1"/>
          <w:kern w:val="0"/>
          <w:szCs w:val="28"/>
        </w:rPr>
        <w:t>hm</w:t>
      </w:r>
      <w:r>
        <w:rPr>
          <w:rFonts w:hint="eastAsia" w:eastAsia="仿宋_GB2312"/>
          <w:color w:val="000000" w:themeColor="text1"/>
          <w:kern w:val="0"/>
          <w:szCs w:val="28"/>
          <w:vertAlign w:val="superscript"/>
        </w:rPr>
        <w:t>2</w:t>
      </w:r>
      <w:r>
        <w:rPr>
          <w:rFonts w:hint="eastAsia" w:eastAsia="仿宋_GB2312"/>
          <w:color w:val="000000" w:themeColor="text1"/>
          <w:kern w:val="0"/>
          <w:szCs w:val="28"/>
        </w:rPr>
        <w:t>（含已移交第三方项目施工建设1</w:t>
      </w:r>
      <w:r>
        <w:rPr>
          <w:rFonts w:eastAsia="仿宋_GB2312"/>
          <w:color w:val="000000" w:themeColor="text1"/>
          <w:kern w:val="0"/>
          <w:szCs w:val="28"/>
        </w:rPr>
        <w:t>.14</w:t>
      </w:r>
      <w:r>
        <w:rPr>
          <w:rFonts w:hint="eastAsia" w:eastAsia="仿宋_GB2312"/>
          <w:color w:val="000000" w:themeColor="text1"/>
          <w:kern w:val="0"/>
          <w:szCs w:val="28"/>
        </w:rPr>
        <w:t>hm</w:t>
      </w:r>
      <w:r>
        <w:rPr>
          <w:rFonts w:eastAsia="仿宋_GB2312"/>
          <w:color w:val="000000" w:themeColor="text1"/>
          <w:kern w:val="0"/>
          <w:szCs w:val="28"/>
          <w:vertAlign w:val="superscript"/>
        </w:rPr>
        <w:t>2</w:t>
      </w:r>
      <w:r>
        <w:rPr>
          <w:rFonts w:hint="eastAsia" w:eastAsia="仿宋_GB2312"/>
          <w:color w:val="000000" w:themeColor="text1"/>
          <w:kern w:val="0"/>
          <w:szCs w:val="28"/>
        </w:rPr>
        <w:t>范围）。项目土石方挖方</w:t>
      </w:r>
      <w:r>
        <w:rPr>
          <w:rFonts w:eastAsia="仿宋_GB2312"/>
          <w:color w:val="000000" w:themeColor="text1"/>
          <w:kern w:val="0"/>
          <w:szCs w:val="28"/>
        </w:rPr>
        <w:t>557.85</w:t>
      </w:r>
      <w:r>
        <w:rPr>
          <w:rFonts w:hint="eastAsia" w:eastAsia="仿宋_GB2312"/>
          <w:color w:val="000000" w:themeColor="text1"/>
          <w:kern w:val="0"/>
          <w:szCs w:val="28"/>
        </w:rPr>
        <w:t>万m</w:t>
      </w:r>
      <w:r>
        <w:rPr>
          <w:rFonts w:hint="eastAsia" w:eastAsia="仿宋_GB2312"/>
          <w:color w:val="000000" w:themeColor="text1"/>
          <w:kern w:val="0"/>
          <w:szCs w:val="28"/>
          <w:vertAlign w:val="superscript"/>
        </w:rPr>
        <w:t>3</w:t>
      </w:r>
      <w:r>
        <w:rPr>
          <w:rFonts w:hint="eastAsia" w:eastAsia="仿宋_GB2312"/>
          <w:color w:val="000000" w:themeColor="text1"/>
          <w:kern w:val="0"/>
          <w:szCs w:val="28"/>
        </w:rPr>
        <w:t>（含表土剥离</w:t>
      </w:r>
      <w:r>
        <w:rPr>
          <w:rFonts w:eastAsia="仿宋_GB2312"/>
          <w:color w:val="000000" w:themeColor="text1"/>
          <w:kern w:val="0"/>
          <w:szCs w:val="28"/>
        </w:rPr>
        <w:t>3.90</w:t>
      </w:r>
      <w:r>
        <w:rPr>
          <w:rFonts w:hint="eastAsia" w:eastAsia="仿宋_GB2312"/>
          <w:color w:val="000000" w:themeColor="text1"/>
          <w:kern w:val="0"/>
          <w:szCs w:val="28"/>
        </w:rPr>
        <w:t>万m</w:t>
      </w:r>
      <w:r>
        <w:rPr>
          <w:rFonts w:hint="eastAsia" w:eastAsia="仿宋_GB2312"/>
          <w:color w:val="000000" w:themeColor="text1"/>
          <w:kern w:val="0"/>
          <w:szCs w:val="28"/>
          <w:vertAlign w:val="superscript"/>
        </w:rPr>
        <w:t>3</w:t>
      </w:r>
      <w:r>
        <w:rPr>
          <w:rFonts w:hint="eastAsia" w:eastAsia="仿宋_GB2312"/>
          <w:color w:val="000000" w:themeColor="text1"/>
          <w:kern w:val="0"/>
          <w:szCs w:val="28"/>
        </w:rPr>
        <w:t>），填方</w:t>
      </w:r>
      <w:r>
        <w:rPr>
          <w:rFonts w:eastAsia="仿宋_GB2312"/>
          <w:color w:val="000000" w:themeColor="text1"/>
          <w:kern w:val="0"/>
          <w:szCs w:val="28"/>
        </w:rPr>
        <w:t>395.03</w:t>
      </w:r>
      <w:r>
        <w:rPr>
          <w:rFonts w:hint="eastAsia" w:eastAsia="仿宋_GB2312"/>
          <w:color w:val="000000" w:themeColor="text1"/>
          <w:kern w:val="0"/>
          <w:szCs w:val="28"/>
        </w:rPr>
        <w:t>万m</w:t>
      </w:r>
      <w:r>
        <w:rPr>
          <w:rFonts w:hint="eastAsia" w:eastAsia="仿宋_GB2312"/>
          <w:color w:val="000000" w:themeColor="text1"/>
          <w:kern w:val="0"/>
          <w:szCs w:val="28"/>
          <w:vertAlign w:val="superscript"/>
        </w:rPr>
        <w:t>3</w:t>
      </w:r>
      <w:r>
        <w:rPr>
          <w:rFonts w:hint="eastAsia" w:eastAsia="仿宋_GB2312"/>
          <w:color w:val="000000" w:themeColor="text1"/>
          <w:kern w:val="0"/>
          <w:szCs w:val="28"/>
        </w:rPr>
        <w:t>（含表土回覆</w:t>
      </w:r>
      <w:r>
        <w:rPr>
          <w:rFonts w:eastAsia="仿宋_GB2312"/>
          <w:color w:val="000000" w:themeColor="text1"/>
          <w:kern w:val="0"/>
          <w:szCs w:val="28"/>
        </w:rPr>
        <w:t>3.90</w:t>
      </w:r>
      <w:r>
        <w:rPr>
          <w:rFonts w:hint="eastAsia" w:eastAsia="仿宋_GB2312"/>
          <w:color w:val="000000" w:themeColor="text1"/>
          <w:kern w:val="0"/>
          <w:szCs w:val="28"/>
        </w:rPr>
        <w:t>万m</w:t>
      </w:r>
      <w:r>
        <w:rPr>
          <w:rFonts w:hint="eastAsia" w:eastAsia="仿宋_GB2312"/>
          <w:color w:val="000000" w:themeColor="text1"/>
          <w:kern w:val="0"/>
          <w:szCs w:val="28"/>
          <w:vertAlign w:val="superscript"/>
        </w:rPr>
        <w:t>3</w:t>
      </w:r>
      <w:r>
        <w:rPr>
          <w:rFonts w:hint="eastAsia" w:eastAsia="仿宋_GB2312"/>
          <w:color w:val="000000" w:themeColor="text1"/>
          <w:kern w:val="0"/>
          <w:szCs w:val="28"/>
        </w:rPr>
        <w:t>），余方</w:t>
      </w:r>
      <w:r>
        <w:rPr>
          <w:rFonts w:eastAsia="仿宋_GB2312"/>
          <w:color w:val="000000" w:themeColor="text1"/>
          <w:kern w:val="0"/>
          <w:szCs w:val="28"/>
        </w:rPr>
        <w:t>162.82</w:t>
      </w:r>
      <w:r>
        <w:rPr>
          <w:rFonts w:hint="eastAsia" w:eastAsia="仿宋_GB2312"/>
          <w:color w:val="000000" w:themeColor="text1"/>
          <w:kern w:val="0"/>
          <w:szCs w:val="28"/>
        </w:rPr>
        <w:t>万m</w:t>
      </w:r>
      <w:r>
        <w:rPr>
          <w:rFonts w:hint="eastAsia" w:eastAsia="仿宋_GB2312"/>
          <w:color w:val="000000" w:themeColor="text1"/>
          <w:kern w:val="0"/>
          <w:szCs w:val="28"/>
          <w:vertAlign w:val="superscript"/>
        </w:rPr>
        <w:t>3</w:t>
      </w:r>
      <w:r>
        <w:rPr>
          <w:rFonts w:hint="eastAsia" w:eastAsia="仿宋_GB2312"/>
          <w:color w:val="000000" w:themeColor="text1"/>
          <w:kern w:val="0"/>
          <w:szCs w:val="28"/>
        </w:rPr>
        <w:t>。项目余方</w:t>
      </w:r>
      <w:r>
        <w:rPr>
          <w:rFonts w:eastAsia="仿宋_GB2312"/>
          <w:color w:val="000000" w:themeColor="text1"/>
          <w:kern w:val="0"/>
          <w:szCs w:val="28"/>
        </w:rPr>
        <w:t>11.12</w:t>
      </w:r>
      <w:r>
        <w:rPr>
          <w:rFonts w:hint="eastAsia" w:eastAsia="仿宋_GB2312"/>
          <w:color w:val="000000" w:themeColor="text1"/>
          <w:kern w:val="0"/>
          <w:szCs w:val="28"/>
        </w:rPr>
        <w:t>万</w:t>
      </w:r>
      <w:r>
        <w:rPr>
          <w:rFonts w:eastAsia="仿宋_GB2312"/>
          <w:color w:val="000000" w:themeColor="text1"/>
          <w:kern w:val="0"/>
          <w:szCs w:val="28"/>
        </w:rPr>
        <w:t>m</w:t>
      </w:r>
      <w:r>
        <w:rPr>
          <w:rFonts w:eastAsia="仿宋_GB2312"/>
          <w:color w:val="000000" w:themeColor="text1"/>
          <w:kern w:val="0"/>
          <w:szCs w:val="28"/>
          <w:vertAlign w:val="superscript"/>
        </w:rPr>
        <w:t>3</w:t>
      </w:r>
      <w:r>
        <w:rPr>
          <w:rFonts w:hint="eastAsia" w:eastAsia="仿宋_GB2312"/>
          <w:color w:val="000000" w:themeColor="text1"/>
          <w:kern w:val="0"/>
          <w:szCs w:val="28"/>
        </w:rPr>
        <w:t>运至石柱县南宾中学应急避险迁建项目作为场地回填利用，剩余余方</w:t>
      </w:r>
      <w:r>
        <w:rPr>
          <w:rFonts w:eastAsia="仿宋_GB2312"/>
          <w:color w:val="000000" w:themeColor="text1"/>
          <w:kern w:val="0"/>
          <w:szCs w:val="28"/>
        </w:rPr>
        <w:t>151.70</w:t>
      </w:r>
      <w:r>
        <w:rPr>
          <w:rFonts w:hint="eastAsia" w:eastAsia="仿宋_GB2312"/>
          <w:color w:val="000000" w:themeColor="text1"/>
          <w:kern w:val="0"/>
          <w:szCs w:val="28"/>
        </w:rPr>
        <w:t>万</w:t>
      </w:r>
      <w:r>
        <w:rPr>
          <w:rFonts w:eastAsia="仿宋_GB2312"/>
          <w:color w:val="000000" w:themeColor="text1"/>
          <w:kern w:val="0"/>
          <w:szCs w:val="28"/>
        </w:rPr>
        <w:t>m</w:t>
      </w:r>
      <w:r>
        <w:rPr>
          <w:rFonts w:eastAsia="仿宋_GB2312"/>
          <w:color w:val="000000" w:themeColor="text1"/>
          <w:kern w:val="0"/>
          <w:szCs w:val="28"/>
          <w:vertAlign w:val="superscript"/>
        </w:rPr>
        <w:t>3</w:t>
      </w:r>
      <w:r>
        <w:rPr>
          <w:rFonts w:hint="eastAsia" w:eastAsia="仿宋_GB2312"/>
          <w:color w:val="000000" w:themeColor="text1"/>
          <w:kern w:val="0"/>
          <w:szCs w:val="28"/>
        </w:rPr>
        <w:t>运至项目设计的1</w:t>
      </w:r>
      <w:r>
        <w:rPr>
          <w:rFonts w:eastAsia="仿宋_GB2312"/>
          <w:color w:val="000000" w:themeColor="text1"/>
          <w:kern w:val="0"/>
          <w:szCs w:val="28"/>
        </w:rPr>
        <w:t>#</w:t>
      </w:r>
      <w:r>
        <w:rPr>
          <w:rFonts w:hint="eastAsia" w:eastAsia="仿宋_GB2312"/>
          <w:color w:val="000000" w:themeColor="text1"/>
          <w:kern w:val="0"/>
          <w:szCs w:val="28"/>
        </w:rPr>
        <w:t>弃渣场、</w:t>
      </w:r>
      <w:r>
        <w:rPr>
          <w:rFonts w:eastAsia="仿宋_GB2312"/>
          <w:color w:val="000000" w:themeColor="text1"/>
          <w:kern w:val="0"/>
          <w:szCs w:val="28"/>
        </w:rPr>
        <w:t>3#</w:t>
      </w:r>
      <w:r>
        <w:rPr>
          <w:rFonts w:hint="eastAsia" w:eastAsia="仿宋_GB2312"/>
          <w:color w:val="000000" w:themeColor="text1"/>
          <w:kern w:val="0"/>
          <w:szCs w:val="28"/>
        </w:rPr>
        <w:t>弃渣场内。</w:t>
      </w:r>
    </w:p>
    <w:p w14:paraId="123CA5F1">
      <w:pPr>
        <w:adjustRightInd w:val="0"/>
        <w:snapToGrid w:val="0"/>
        <w:spacing w:line="520" w:lineRule="exact"/>
        <w:ind w:firstLine="420" w:firstLineChars="200"/>
        <w:rPr>
          <w:rFonts w:eastAsia="仿宋_GB2312"/>
          <w:color w:val="000000" w:themeColor="text1"/>
          <w:kern w:val="0"/>
          <w:szCs w:val="28"/>
        </w:rPr>
      </w:pPr>
      <w:r>
        <w:rPr>
          <w:rFonts w:hint="eastAsia" w:eastAsia="仿宋_GB2312"/>
          <w:color w:val="000000" w:themeColor="text1"/>
          <w:kern w:val="0"/>
          <w:szCs w:val="28"/>
        </w:rPr>
        <w:t>项目已于</w:t>
      </w:r>
      <w:r>
        <w:rPr>
          <w:rFonts w:eastAsia="仿宋_GB2312"/>
          <w:color w:val="000000" w:themeColor="text1"/>
          <w:kern w:val="0"/>
          <w:szCs w:val="28"/>
        </w:rPr>
        <w:t>2019</w:t>
      </w:r>
      <w:r>
        <w:rPr>
          <w:rFonts w:hint="eastAsia" w:eastAsia="仿宋_GB2312"/>
          <w:color w:val="000000" w:themeColor="text1"/>
          <w:kern w:val="0"/>
          <w:szCs w:val="28"/>
        </w:rPr>
        <w:t>年</w:t>
      </w:r>
      <w:r>
        <w:rPr>
          <w:rFonts w:eastAsia="仿宋_GB2312"/>
          <w:color w:val="000000" w:themeColor="text1"/>
          <w:kern w:val="0"/>
          <w:szCs w:val="28"/>
        </w:rPr>
        <w:t>7</w:t>
      </w:r>
      <w:r>
        <w:rPr>
          <w:rFonts w:hint="eastAsia" w:eastAsia="仿宋_GB2312"/>
          <w:color w:val="000000" w:themeColor="text1"/>
          <w:kern w:val="0"/>
          <w:szCs w:val="28"/>
        </w:rPr>
        <w:t>月进场施工，计划</w:t>
      </w:r>
      <w:r>
        <w:rPr>
          <w:rFonts w:eastAsia="仿宋_GB2312"/>
          <w:color w:val="000000" w:themeColor="text1"/>
          <w:kern w:val="0"/>
          <w:szCs w:val="28"/>
        </w:rPr>
        <w:t>2022</w:t>
      </w:r>
      <w:r>
        <w:rPr>
          <w:rFonts w:hint="eastAsia" w:eastAsia="仿宋_GB2312"/>
          <w:color w:val="000000" w:themeColor="text1"/>
          <w:kern w:val="0"/>
          <w:szCs w:val="28"/>
        </w:rPr>
        <w:t>年</w:t>
      </w:r>
      <w:r>
        <w:rPr>
          <w:rFonts w:eastAsia="仿宋_GB2312"/>
          <w:color w:val="000000" w:themeColor="text1"/>
          <w:kern w:val="0"/>
          <w:szCs w:val="28"/>
        </w:rPr>
        <w:t>6</w:t>
      </w:r>
      <w:r>
        <w:rPr>
          <w:rFonts w:hint="eastAsia" w:eastAsia="仿宋_GB2312"/>
          <w:color w:val="000000" w:themeColor="text1"/>
          <w:kern w:val="0"/>
          <w:szCs w:val="28"/>
        </w:rPr>
        <w:t>月完工，工期共计</w:t>
      </w:r>
      <w:r>
        <w:rPr>
          <w:rFonts w:eastAsia="仿宋_GB2312"/>
          <w:color w:val="000000" w:themeColor="text1"/>
          <w:kern w:val="0"/>
          <w:szCs w:val="28"/>
        </w:rPr>
        <w:t>36</w:t>
      </w:r>
      <w:r>
        <w:rPr>
          <w:rFonts w:hint="eastAsia" w:eastAsia="仿宋_GB2312"/>
          <w:color w:val="000000" w:themeColor="text1"/>
          <w:kern w:val="0"/>
          <w:szCs w:val="28"/>
        </w:rPr>
        <w:t>个月。项目总投资为总投资</w:t>
      </w:r>
      <w:r>
        <w:rPr>
          <w:rFonts w:eastAsia="仿宋_GB2312"/>
          <w:color w:val="000000" w:themeColor="text1"/>
          <w:kern w:val="0"/>
          <w:szCs w:val="28"/>
        </w:rPr>
        <w:t>88607.11</w:t>
      </w:r>
      <w:r>
        <w:rPr>
          <w:rFonts w:hint="eastAsia" w:eastAsia="仿宋_GB2312"/>
          <w:color w:val="000000" w:themeColor="text1"/>
          <w:kern w:val="0"/>
          <w:szCs w:val="28"/>
        </w:rPr>
        <w:t>万</w:t>
      </w:r>
      <w:r>
        <w:rPr>
          <w:rFonts w:eastAsia="仿宋_GB2312"/>
          <w:color w:val="000000" w:themeColor="text1"/>
          <w:kern w:val="0"/>
          <w:szCs w:val="28"/>
        </w:rPr>
        <w:t>元，</w:t>
      </w:r>
      <w:r>
        <w:rPr>
          <w:rFonts w:hint="eastAsia" w:eastAsia="仿宋_GB2312"/>
          <w:color w:val="000000" w:themeColor="text1"/>
          <w:kern w:val="0"/>
          <w:szCs w:val="28"/>
        </w:rPr>
        <w:t>土建投资</w:t>
      </w:r>
      <w:r>
        <w:rPr>
          <w:rFonts w:eastAsia="仿宋_GB2312"/>
          <w:color w:val="000000" w:themeColor="text1"/>
          <w:kern w:val="0"/>
          <w:szCs w:val="28"/>
        </w:rPr>
        <w:t>70453.59</w:t>
      </w:r>
      <w:r>
        <w:rPr>
          <w:rFonts w:hint="eastAsia" w:eastAsia="仿宋_GB2312"/>
          <w:color w:val="000000" w:themeColor="text1"/>
          <w:kern w:val="0"/>
          <w:szCs w:val="28"/>
        </w:rPr>
        <w:t>万元，资金来源为业主自筹及贷款。</w:t>
      </w:r>
    </w:p>
    <w:p w14:paraId="3915BB4F">
      <w:pPr>
        <w:adjustRightInd w:val="0"/>
        <w:snapToGrid w:val="0"/>
        <w:spacing w:line="520" w:lineRule="exact"/>
        <w:ind w:firstLine="420" w:firstLineChars="200"/>
        <w:rPr>
          <w:rFonts w:eastAsia="仿宋_GB2312"/>
          <w:szCs w:val="28"/>
        </w:rPr>
      </w:pPr>
      <w:r>
        <w:rPr>
          <w:rFonts w:hint="eastAsia" w:hAnsi="宋体" w:eastAsia="仿宋_GB2312"/>
          <w:szCs w:val="28"/>
        </w:rPr>
        <w:t>（二）项目区地形地貌、地质、土壤植被、气象、水文等情况阐述较为清楚。</w:t>
      </w:r>
    </w:p>
    <w:p w14:paraId="44D64F45">
      <w:pPr>
        <w:spacing w:line="520" w:lineRule="exact"/>
        <w:ind w:firstLine="422" w:firstLineChars="200"/>
        <w:rPr>
          <w:rFonts w:eastAsia="仿宋_GB2312"/>
          <w:b/>
          <w:bCs/>
          <w:szCs w:val="28"/>
        </w:rPr>
      </w:pPr>
      <w:r>
        <w:rPr>
          <w:rFonts w:hint="eastAsia" w:hAnsi="宋体" w:eastAsia="仿宋_GB2312"/>
          <w:b/>
          <w:bCs/>
          <w:szCs w:val="28"/>
        </w:rPr>
        <w:t>三、项目水土保持评价</w:t>
      </w:r>
    </w:p>
    <w:p w14:paraId="17D5FF55">
      <w:pPr>
        <w:adjustRightInd w:val="0"/>
        <w:snapToGrid w:val="0"/>
        <w:spacing w:line="520" w:lineRule="exact"/>
        <w:ind w:firstLine="420" w:firstLineChars="200"/>
        <w:rPr>
          <w:rFonts w:eastAsia="仿宋_GB2312"/>
        </w:rPr>
      </w:pPr>
      <w:r>
        <w:rPr>
          <w:rFonts w:hint="eastAsia" w:hAnsi="宋体" w:eastAsia="仿宋_GB2312"/>
          <w:szCs w:val="28"/>
        </w:rPr>
        <w:t>（一）</w:t>
      </w:r>
      <w:r>
        <w:rPr>
          <w:rFonts w:hint="eastAsia" w:hAnsi="宋体" w:eastAsia="仿宋_GB2312"/>
          <w:szCs w:val="28"/>
          <w:lang w:val="zh-CN"/>
        </w:rPr>
        <w:t>基本同意对主体工程选址（线）水土保持制约因素分析评价</w:t>
      </w:r>
      <w:r>
        <w:rPr>
          <w:rFonts w:hint="eastAsia" w:eastAsia="仿宋_GB2312"/>
        </w:rPr>
        <w:t>。</w:t>
      </w:r>
    </w:p>
    <w:p w14:paraId="14EB2D97">
      <w:pPr>
        <w:adjustRightInd w:val="0"/>
        <w:snapToGrid w:val="0"/>
        <w:spacing w:line="520" w:lineRule="exact"/>
        <w:ind w:firstLine="420" w:firstLineChars="200"/>
        <w:rPr>
          <w:rFonts w:eastAsia="仿宋_GB2312"/>
        </w:rPr>
      </w:pPr>
      <w:r>
        <w:rPr>
          <w:rFonts w:hAnsi="宋体" w:eastAsia="仿宋_GB2312"/>
          <w:szCs w:val="28"/>
        </w:rPr>
        <w:t>（二）基本同意对项目建设方案、工程占地、土石方平衡、</w:t>
      </w:r>
      <w:r>
        <w:rPr>
          <w:rFonts w:hint="eastAsia" w:hAnsi="宋体" w:eastAsia="仿宋_GB2312"/>
          <w:szCs w:val="28"/>
        </w:rPr>
        <w:t>弃渣场设置、</w:t>
      </w:r>
      <w:r>
        <w:rPr>
          <w:rFonts w:hAnsi="宋体" w:eastAsia="仿宋_GB2312"/>
          <w:szCs w:val="28"/>
        </w:rPr>
        <w:t>施工方法等的水土保持评价。</w:t>
      </w:r>
    </w:p>
    <w:p w14:paraId="71FAD162">
      <w:pPr>
        <w:adjustRightInd w:val="0"/>
        <w:snapToGrid w:val="0"/>
        <w:spacing w:line="520" w:lineRule="exact"/>
        <w:ind w:firstLine="420" w:firstLineChars="200"/>
        <w:rPr>
          <w:rFonts w:eastAsia="仿宋_GB2312"/>
        </w:rPr>
      </w:pPr>
      <w:r>
        <w:rPr>
          <w:rFonts w:hAnsi="宋体" w:eastAsia="仿宋_GB2312"/>
          <w:szCs w:val="28"/>
        </w:rPr>
        <w:t>（三）基本同意对主体工程设计中水土保持措施的评价及界定。</w:t>
      </w:r>
    </w:p>
    <w:p w14:paraId="1F1AE573">
      <w:pPr>
        <w:spacing w:line="520" w:lineRule="exact"/>
        <w:ind w:firstLine="422" w:firstLineChars="200"/>
        <w:rPr>
          <w:rFonts w:eastAsia="仿宋_GB2312"/>
          <w:szCs w:val="28"/>
        </w:rPr>
      </w:pPr>
      <w:r>
        <w:rPr>
          <w:rFonts w:hint="eastAsia" w:hAnsi="宋体" w:eastAsia="仿宋_GB2312"/>
          <w:b/>
          <w:bCs/>
          <w:szCs w:val="28"/>
        </w:rPr>
        <w:t>四、水土流失分析与预测</w:t>
      </w:r>
    </w:p>
    <w:p w14:paraId="72D73B08">
      <w:pPr>
        <w:adjustRightInd w:val="0"/>
        <w:snapToGrid w:val="0"/>
        <w:spacing w:line="520" w:lineRule="exact"/>
        <w:ind w:firstLine="420" w:firstLineChars="200"/>
        <w:rPr>
          <w:rFonts w:hAnsi="宋体" w:eastAsia="仿宋_GB2312"/>
          <w:szCs w:val="28"/>
        </w:rPr>
      </w:pPr>
      <w:r>
        <w:rPr>
          <w:rFonts w:hint="eastAsia" w:hAnsi="宋体" w:eastAsia="仿宋_GB2312"/>
          <w:szCs w:val="28"/>
        </w:rPr>
        <w:t>（一）基本同意对项目水土流失现状及影响分析。</w:t>
      </w:r>
    </w:p>
    <w:p w14:paraId="2AEF318C">
      <w:pPr>
        <w:adjustRightInd w:val="0"/>
        <w:snapToGrid w:val="0"/>
        <w:spacing w:line="520" w:lineRule="exact"/>
        <w:ind w:firstLine="420" w:firstLineChars="200"/>
        <w:rPr>
          <w:rFonts w:hAnsi="宋体" w:eastAsia="仿宋_GB2312"/>
          <w:szCs w:val="28"/>
        </w:rPr>
      </w:pPr>
      <w:r>
        <w:rPr>
          <w:rFonts w:hint="eastAsia" w:hAnsi="宋体" w:eastAsia="仿宋_GB2312"/>
          <w:szCs w:val="28"/>
        </w:rPr>
        <w:t>（二）项目扰动地表面积</w:t>
      </w:r>
      <w:r>
        <w:rPr>
          <w:rFonts w:eastAsia="仿宋_GB2312"/>
          <w:szCs w:val="28"/>
        </w:rPr>
        <w:t>75.47hm</w:t>
      </w:r>
      <w:r>
        <w:rPr>
          <w:rFonts w:eastAsia="仿宋_GB2312"/>
          <w:szCs w:val="28"/>
          <w:vertAlign w:val="superscript"/>
        </w:rPr>
        <w:t>2</w:t>
      </w:r>
      <w:r>
        <w:rPr>
          <w:rFonts w:hint="eastAsia" w:eastAsia="仿宋_GB2312"/>
        </w:rPr>
        <w:t>，</w:t>
      </w:r>
      <w:r>
        <w:rPr>
          <w:rFonts w:hint="eastAsia" w:hAnsi="宋体" w:eastAsia="仿宋_GB2312"/>
          <w:szCs w:val="28"/>
          <w:lang w:val="zh-CN"/>
        </w:rPr>
        <w:t>损毁植被面积为</w:t>
      </w:r>
      <w:r>
        <w:rPr>
          <w:rFonts w:eastAsia="仿宋_GB2312"/>
          <w:szCs w:val="28"/>
        </w:rPr>
        <w:t>35.84hm</w:t>
      </w:r>
      <w:r>
        <w:rPr>
          <w:rFonts w:eastAsia="仿宋_GB2312"/>
          <w:szCs w:val="28"/>
          <w:vertAlign w:val="superscript"/>
        </w:rPr>
        <w:t>2</w:t>
      </w:r>
      <w:r>
        <w:rPr>
          <w:rFonts w:hint="eastAsia" w:eastAsia="仿宋_GB2312"/>
        </w:rPr>
        <w:t>。</w:t>
      </w:r>
    </w:p>
    <w:p w14:paraId="068C1FA7">
      <w:pPr>
        <w:adjustRightInd w:val="0"/>
        <w:snapToGrid w:val="0"/>
        <w:spacing w:line="520" w:lineRule="exact"/>
        <w:ind w:firstLine="420" w:firstLineChars="200"/>
        <w:rPr>
          <w:rFonts w:hAnsi="宋体" w:eastAsia="仿宋_GB2312"/>
          <w:szCs w:val="28"/>
        </w:rPr>
      </w:pPr>
      <w:r>
        <w:rPr>
          <w:rFonts w:hint="eastAsia" w:hAnsi="宋体" w:eastAsia="仿宋_GB2312"/>
          <w:szCs w:val="28"/>
        </w:rPr>
        <w:t>（三）基本同意水土流失量预测方法及成果。工程建设可能造成水土流失总量</w:t>
      </w:r>
      <w:r>
        <w:rPr>
          <w:rFonts w:eastAsia="仿宋_GB2312"/>
        </w:rPr>
        <w:t>13313t</w:t>
      </w:r>
      <w:r>
        <w:rPr>
          <w:rFonts w:hint="eastAsia" w:eastAsia="仿宋_GB2312"/>
        </w:rPr>
        <w:t>，其中新增水土流失量</w:t>
      </w:r>
      <w:r>
        <w:rPr>
          <w:rFonts w:eastAsia="仿宋_GB2312"/>
        </w:rPr>
        <w:t>9669t</w:t>
      </w:r>
      <w:r>
        <w:rPr>
          <w:rFonts w:hint="eastAsia" w:eastAsia="仿宋_GB2312"/>
        </w:rPr>
        <w:t>。</w:t>
      </w:r>
    </w:p>
    <w:p w14:paraId="1135AD8C">
      <w:pPr>
        <w:adjustRightInd w:val="0"/>
        <w:snapToGrid w:val="0"/>
        <w:spacing w:line="520" w:lineRule="exact"/>
        <w:ind w:firstLine="420" w:firstLineChars="200"/>
        <w:rPr>
          <w:rFonts w:hAnsi="宋体" w:eastAsia="仿宋_GB2312"/>
          <w:szCs w:val="28"/>
        </w:rPr>
      </w:pPr>
      <w:r>
        <w:rPr>
          <w:rFonts w:hint="eastAsia" w:hAnsi="宋体" w:eastAsia="仿宋_GB2312"/>
          <w:szCs w:val="28"/>
        </w:rPr>
        <w:t>（四）基本同意水土流失的危害性分析</w:t>
      </w:r>
      <w:r>
        <w:rPr>
          <w:rFonts w:hAnsi="宋体" w:eastAsia="仿宋_GB2312"/>
          <w:szCs w:val="28"/>
        </w:rPr>
        <w:t>。</w:t>
      </w:r>
    </w:p>
    <w:p w14:paraId="38D17088">
      <w:pPr>
        <w:spacing w:line="520" w:lineRule="exact"/>
        <w:ind w:firstLine="422" w:firstLineChars="200"/>
        <w:rPr>
          <w:rFonts w:eastAsia="仿宋_GB2312"/>
          <w:szCs w:val="28"/>
        </w:rPr>
      </w:pPr>
      <w:r>
        <w:rPr>
          <w:rFonts w:hint="eastAsia" w:hAnsi="宋体" w:eastAsia="仿宋_GB2312"/>
          <w:b/>
          <w:szCs w:val="28"/>
        </w:rPr>
        <w:t>五、水土保持措施布设</w:t>
      </w:r>
    </w:p>
    <w:p w14:paraId="12B04876">
      <w:pPr>
        <w:spacing w:line="520" w:lineRule="exact"/>
        <w:ind w:firstLine="420" w:firstLineChars="200"/>
        <w:rPr>
          <w:rFonts w:hAnsi="宋体" w:eastAsia="仿宋_GB2312"/>
          <w:szCs w:val="28"/>
        </w:rPr>
      </w:pPr>
      <w:r>
        <w:rPr>
          <w:rFonts w:hAnsi="宋体" w:eastAsia="仿宋_GB2312"/>
          <w:szCs w:val="28"/>
        </w:rPr>
        <w:t>（一）</w:t>
      </w:r>
      <w:r>
        <w:rPr>
          <w:rFonts w:hint="eastAsia" w:hAnsi="宋体" w:eastAsia="仿宋_GB2312"/>
          <w:szCs w:val="28"/>
        </w:rPr>
        <w:t>基本同意工程划分为</w:t>
      </w:r>
      <w:r>
        <w:rPr>
          <w:rFonts w:hint="eastAsia" w:eastAsia="仿宋_GB2312"/>
          <w:color w:val="000000" w:themeColor="text1"/>
        </w:rPr>
        <w:t>路基工程防治区、弃渣场防治区、施工便道防治区、临时堆料场防治区四个一级防治分区</w:t>
      </w:r>
      <w:r>
        <w:rPr>
          <w:rFonts w:hint="eastAsia" w:hAnsi="宋体" w:eastAsia="仿宋_GB2312"/>
          <w:szCs w:val="28"/>
        </w:rPr>
        <w:t>。一级防治分区中路基工程防治区再按施工标段划分为4个二级分区，即K0+000~K1+440防治区、K1+440~K2+140防治区、K2+140~K3+560防治区、K3+560~K4+320防治区；弃渣场防治区划分为2个二级分区，即1#弃渣场防治区、3#弃渣场防治区。</w:t>
      </w:r>
    </w:p>
    <w:p w14:paraId="39E8739B">
      <w:pPr>
        <w:spacing w:line="520" w:lineRule="exact"/>
        <w:ind w:firstLine="420" w:firstLineChars="200"/>
        <w:rPr>
          <w:rFonts w:hAnsi="宋体" w:eastAsia="仿宋_GB2312"/>
          <w:szCs w:val="28"/>
        </w:rPr>
      </w:pPr>
      <w:r>
        <w:rPr>
          <w:rFonts w:hAnsi="宋体" w:eastAsia="仿宋_GB2312"/>
          <w:szCs w:val="28"/>
        </w:rPr>
        <w:t xml:space="preserve">（二）基本同意由主体工程设计中具有水保功能的措施和方案新增措施所组成的水土流失防治措施体系。 </w:t>
      </w:r>
    </w:p>
    <w:p w14:paraId="74A0F40B">
      <w:pPr>
        <w:spacing w:line="520" w:lineRule="exact"/>
        <w:ind w:firstLine="420" w:firstLineChars="200"/>
        <w:rPr>
          <w:rFonts w:hAnsi="宋体" w:eastAsia="仿宋_GB2312"/>
          <w:szCs w:val="28"/>
        </w:rPr>
      </w:pPr>
      <w:r>
        <w:rPr>
          <w:rFonts w:hAnsi="宋体" w:eastAsia="仿宋_GB2312"/>
          <w:szCs w:val="28"/>
        </w:rPr>
        <w:t>（三）基本同意各防治区措施布局及措施典型设计。</w:t>
      </w:r>
    </w:p>
    <w:p w14:paraId="361B4778">
      <w:pPr>
        <w:adjustRightInd w:val="0"/>
        <w:snapToGrid w:val="0"/>
        <w:spacing w:line="520" w:lineRule="exact"/>
        <w:ind w:firstLine="420" w:firstLineChars="200"/>
        <w:rPr>
          <w:rFonts w:eastAsia="仿宋_GB2312"/>
          <w:szCs w:val="28"/>
        </w:rPr>
      </w:pPr>
      <w:bookmarkStart w:id="10" w:name="_Hlk92930231"/>
      <w:bookmarkStart w:id="11" w:name="_Toc182948497"/>
      <w:bookmarkStart w:id="12" w:name="_Toc185424438"/>
      <w:bookmarkStart w:id="13" w:name="_Toc185586846"/>
      <w:r>
        <w:rPr>
          <w:rFonts w:hint="eastAsia" w:eastAsia="仿宋_GB2312"/>
          <w:szCs w:val="28"/>
        </w:rPr>
        <w:t>（1）道路工程防治区</w:t>
      </w:r>
    </w:p>
    <w:p w14:paraId="56312593">
      <w:pPr>
        <w:adjustRightInd w:val="0"/>
        <w:snapToGrid w:val="0"/>
        <w:spacing w:line="520" w:lineRule="exact"/>
        <w:ind w:firstLine="420" w:firstLineChars="200"/>
        <w:rPr>
          <w:rFonts w:eastAsia="仿宋_GB2312"/>
          <w:szCs w:val="28"/>
        </w:rPr>
      </w:pPr>
      <w:r>
        <w:rPr>
          <w:rFonts w:hint="eastAsia" w:eastAsia="仿宋_GB2312"/>
          <w:szCs w:val="28"/>
        </w:rPr>
        <w:t>①K0+000~K1+440防治区</w:t>
      </w:r>
    </w:p>
    <w:p w14:paraId="6FBA9E6D">
      <w:pPr>
        <w:adjustRightInd w:val="0"/>
        <w:snapToGrid w:val="0"/>
        <w:spacing w:line="520" w:lineRule="exact"/>
        <w:ind w:firstLine="420" w:firstLineChars="200"/>
        <w:rPr>
          <w:rFonts w:eastAsia="仿宋_GB2312"/>
          <w:szCs w:val="28"/>
        </w:rPr>
      </w:pPr>
      <w:r>
        <w:rPr>
          <w:rFonts w:hint="eastAsia" w:eastAsia="仿宋_GB2312"/>
          <w:szCs w:val="28"/>
        </w:rPr>
        <w:t>已动工时段在施工出入口布设车辆清洗站，部分挖方边坡进行无纺布遮盖，部分雨水管网、急流槽、</w:t>
      </w:r>
      <w:r>
        <w:rPr>
          <w:rFonts w:eastAsia="仿宋_GB2312"/>
          <w:szCs w:val="28"/>
        </w:rPr>
        <w:t>截排水沟</w:t>
      </w:r>
      <w:r>
        <w:rPr>
          <w:rFonts w:hint="eastAsia" w:eastAsia="仿宋_GB2312"/>
          <w:szCs w:val="28"/>
        </w:rPr>
        <w:t>已实施；后续对管沟开挖形成堆土及坡面进行临时遮盖；按设计布设急流槽并实施植被混凝土护坡、客土吹附护坡，在挖方边坡坡脚、填方边坡坡脚的截排水沟出水口处布设沉沙池；路面铺设完成后按设计铺设透水砖、种植行道树、树池绿化。</w:t>
      </w:r>
    </w:p>
    <w:p w14:paraId="0472E343">
      <w:pPr>
        <w:adjustRightInd w:val="0"/>
        <w:snapToGrid w:val="0"/>
        <w:spacing w:line="520" w:lineRule="exact"/>
        <w:ind w:firstLine="420" w:firstLineChars="200"/>
        <w:rPr>
          <w:rFonts w:eastAsia="仿宋_GB2312"/>
          <w:szCs w:val="28"/>
        </w:rPr>
      </w:pPr>
      <w:r>
        <w:rPr>
          <w:rFonts w:hint="eastAsia" w:eastAsia="仿宋_GB2312"/>
          <w:szCs w:val="28"/>
        </w:rPr>
        <w:drawing>
          <wp:anchor distT="0" distB="0" distL="114300" distR="114300" simplePos="0" relativeHeight="251663360" behindDoc="0" locked="0" layoutInCell="1" allowOverlap="1">
            <wp:simplePos x="0" y="0"/>
            <wp:positionH relativeFrom="column">
              <wp:posOffset>6690995</wp:posOffset>
            </wp:positionH>
            <wp:positionV relativeFrom="paragraph">
              <wp:posOffset>-561975</wp:posOffset>
            </wp:positionV>
            <wp:extent cx="7000875" cy="9591675"/>
            <wp:effectExtent l="19050" t="0" r="9525" b="0"/>
            <wp:wrapNone/>
            <wp:docPr id="3" name="图片 2" descr="C:\Users\Administrator\AppData\Roaming\Tencent\Users\1134760804\QQ\WinTemp\RichOle\@A_@L@QRZUFKI}~}R(DZ3M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AppData\Roaming\Tencent\Users\1134760804\QQ\WinTemp\RichOle\@A_@L@QRZUFKI}~}R(DZ3MY.png"/>
                    <pic:cNvPicPr>
                      <a:picLocks noChangeAspect="1" noChangeArrowheads="1"/>
                    </pic:cNvPicPr>
                  </pic:nvPicPr>
                  <pic:blipFill>
                    <a:blip r:embed="rId5"/>
                    <a:srcRect/>
                    <a:stretch>
                      <a:fillRect/>
                    </a:stretch>
                  </pic:blipFill>
                  <pic:spPr>
                    <a:xfrm>
                      <a:off x="0" y="0"/>
                      <a:ext cx="7000875" cy="9591675"/>
                    </a:xfrm>
                    <a:prstGeom prst="rect">
                      <a:avLst/>
                    </a:prstGeom>
                    <a:noFill/>
                    <a:ln w="9525">
                      <a:noFill/>
                      <a:miter lim="800000"/>
                      <a:headEnd/>
                      <a:tailEnd/>
                    </a:ln>
                  </pic:spPr>
                </pic:pic>
              </a:graphicData>
            </a:graphic>
          </wp:anchor>
        </w:drawing>
      </w:r>
      <w:r>
        <w:rPr>
          <w:rFonts w:hint="eastAsia" w:eastAsia="仿宋_GB2312"/>
          <w:szCs w:val="28"/>
        </w:rPr>
        <w:t>②</w:t>
      </w:r>
      <w:r>
        <w:rPr>
          <w:rFonts w:eastAsia="仿宋_GB2312"/>
          <w:szCs w:val="28"/>
        </w:rPr>
        <w:t>K1+440~</w:t>
      </w:r>
      <w:r>
        <w:rPr>
          <w:rFonts w:hint="eastAsia" w:eastAsia="仿宋_GB2312"/>
          <w:szCs w:val="28"/>
        </w:rPr>
        <w:t>K2+140防治区</w:t>
      </w:r>
    </w:p>
    <w:p w14:paraId="64AC383F">
      <w:pPr>
        <w:adjustRightInd w:val="0"/>
        <w:snapToGrid w:val="0"/>
        <w:spacing w:line="520" w:lineRule="exact"/>
        <w:ind w:firstLine="420" w:firstLineChars="200"/>
        <w:rPr>
          <w:rFonts w:eastAsia="仿宋_GB2312"/>
          <w:szCs w:val="28"/>
        </w:rPr>
      </w:pPr>
      <w:r>
        <w:rPr>
          <w:rFonts w:hint="eastAsia" w:eastAsia="仿宋_GB2312"/>
          <w:szCs w:val="28"/>
        </w:rPr>
        <w:t>已动工时段部分挖方边坡进行无纺布遮盖，部分</w:t>
      </w:r>
      <w:r>
        <w:rPr>
          <w:rFonts w:eastAsia="仿宋_GB2312"/>
          <w:szCs w:val="28"/>
        </w:rPr>
        <w:t>截排水沟</w:t>
      </w:r>
      <w:r>
        <w:rPr>
          <w:rFonts w:hint="eastAsia" w:eastAsia="仿宋_GB2312"/>
          <w:szCs w:val="28"/>
        </w:rPr>
        <w:t>已实施；后续对表土区域进行剥离并集中堆放于表土堆场内，路基开挖回填形成的边坡、临时堆土进行临时遮盖；在边坡坡顶及坡脚布设截排水沟，在填方边坡坡脚的截排水沟出水口处布设沉沙池，边坡形成后按设计布设急流槽并实施植被混凝土护坡、客土吹附护坡；路基到一定标高后按设计埋设雨水管网，管沟开挖形成堆土及坡面进行临时遮盖；路面铺设完成后按设计铺设透水砖、种植行道树、树池绿化。</w:t>
      </w:r>
    </w:p>
    <w:p w14:paraId="36D446B8">
      <w:pPr>
        <w:adjustRightInd w:val="0"/>
        <w:snapToGrid w:val="0"/>
        <w:spacing w:line="520" w:lineRule="exact"/>
        <w:ind w:firstLine="420" w:firstLineChars="200"/>
        <w:rPr>
          <w:rFonts w:eastAsia="仿宋_GB2312"/>
          <w:szCs w:val="28"/>
        </w:rPr>
      </w:pPr>
      <w:r>
        <w:rPr>
          <w:rFonts w:hint="eastAsia" w:eastAsia="仿宋_GB2312"/>
          <w:szCs w:val="28"/>
        </w:rPr>
        <w:t>③</w:t>
      </w:r>
      <w:r>
        <w:rPr>
          <w:rFonts w:eastAsia="仿宋_GB2312"/>
          <w:szCs w:val="28"/>
        </w:rPr>
        <w:t>K2+140~</w:t>
      </w:r>
      <w:r>
        <w:rPr>
          <w:rFonts w:hint="eastAsia" w:eastAsia="仿宋_GB2312"/>
          <w:szCs w:val="28"/>
        </w:rPr>
        <w:t>K3+560防治区</w:t>
      </w:r>
    </w:p>
    <w:p w14:paraId="63DBEEA1">
      <w:pPr>
        <w:adjustRightInd w:val="0"/>
        <w:snapToGrid w:val="0"/>
        <w:spacing w:line="520" w:lineRule="exact"/>
        <w:ind w:firstLine="420" w:firstLineChars="200"/>
        <w:rPr>
          <w:rFonts w:eastAsia="仿宋_GB2312"/>
          <w:szCs w:val="28"/>
        </w:rPr>
      </w:pPr>
      <w:r>
        <w:rPr>
          <w:rFonts w:hint="eastAsia" w:eastAsia="仿宋_GB2312"/>
          <w:szCs w:val="28"/>
        </w:rPr>
        <w:t>已动工时段部分挖方边坡进行无纺布遮盖，雨水管网、急流槽、</w:t>
      </w:r>
      <w:r>
        <w:rPr>
          <w:rFonts w:eastAsia="仿宋_GB2312"/>
          <w:szCs w:val="28"/>
        </w:rPr>
        <w:t>截排水沟</w:t>
      </w:r>
      <w:r>
        <w:rPr>
          <w:rFonts w:hint="eastAsia" w:eastAsia="仿宋_GB2312"/>
          <w:szCs w:val="28"/>
        </w:rPr>
        <w:t>、透水砖、行道树、树池绿化已实施；后续在填方边坡坡脚的截排水沟出水口处布设沉沙池，对开挖回填边坡实施植被混凝土护坡、客土吹附护坡。</w:t>
      </w:r>
    </w:p>
    <w:p w14:paraId="05F539D5">
      <w:pPr>
        <w:adjustRightInd w:val="0"/>
        <w:snapToGrid w:val="0"/>
        <w:spacing w:line="520" w:lineRule="exact"/>
        <w:ind w:firstLine="420" w:firstLineChars="200"/>
        <w:rPr>
          <w:rFonts w:eastAsia="仿宋_GB2312"/>
          <w:szCs w:val="28"/>
        </w:rPr>
      </w:pPr>
      <w:r>
        <w:rPr>
          <w:rFonts w:hint="eastAsia" w:eastAsia="仿宋_GB2312"/>
          <w:szCs w:val="28"/>
        </w:rPr>
        <w:t>④</w:t>
      </w:r>
      <w:r>
        <w:rPr>
          <w:rFonts w:eastAsia="仿宋_GB2312"/>
          <w:szCs w:val="28"/>
        </w:rPr>
        <w:t>K3+560~</w:t>
      </w:r>
      <w:r>
        <w:rPr>
          <w:rFonts w:hint="eastAsia" w:eastAsia="仿宋_GB2312"/>
          <w:szCs w:val="28"/>
        </w:rPr>
        <w:t>K4+320防治区</w:t>
      </w:r>
    </w:p>
    <w:p w14:paraId="1B3C2A42">
      <w:pPr>
        <w:adjustRightInd w:val="0"/>
        <w:snapToGrid w:val="0"/>
        <w:spacing w:line="520" w:lineRule="exact"/>
        <w:ind w:firstLine="420" w:firstLineChars="200"/>
        <w:rPr>
          <w:rFonts w:eastAsia="仿宋_GB2312"/>
          <w:szCs w:val="28"/>
        </w:rPr>
      </w:pPr>
      <w:r>
        <w:rPr>
          <w:rFonts w:hint="eastAsia" w:eastAsia="仿宋_GB2312"/>
          <w:szCs w:val="28"/>
        </w:rPr>
        <w:t>已动工时段雨水管网、急流槽、</w:t>
      </w:r>
      <w:r>
        <w:rPr>
          <w:rFonts w:eastAsia="仿宋_GB2312"/>
          <w:szCs w:val="28"/>
        </w:rPr>
        <w:t>截排水沟</w:t>
      </w:r>
      <w:r>
        <w:rPr>
          <w:rFonts w:hint="eastAsia" w:eastAsia="仿宋_GB2312"/>
          <w:szCs w:val="28"/>
        </w:rPr>
        <w:t>、透水砖、行道树、树池绿化已实施；后续在挖方边坡坡脚的截排水沟出水口处布设沉沙池，对开挖回填边坡实施植被混凝土护坡、客土吹附护坡。</w:t>
      </w:r>
    </w:p>
    <w:p w14:paraId="032D17A9">
      <w:pPr>
        <w:adjustRightInd w:val="0"/>
        <w:snapToGrid w:val="0"/>
        <w:spacing w:line="520" w:lineRule="exact"/>
        <w:ind w:firstLine="420" w:firstLineChars="200"/>
        <w:rPr>
          <w:rFonts w:eastAsia="仿宋_GB2312"/>
          <w:szCs w:val="28"/>
        </w:rPr>
      </w:pPr>
      <w:r>
        <w:rPr>
          <w:rFonts w:hint="eastAsia" w:eastAsia="仿宋_GB2312"/>
          <w:szCs w:val="28"/>
        </w:rPr>
        <w:t>（2）弃渣场防治区</w:t>
      </w:r>
    </w:p>
    <w:p w14:paraId="10B90EBD">
      <w:pPr>
        <w:adjustRightInd w:val="0"/>
        <w:snapToGrid w:val="0"/>
        <w:spacing w:line="520" w:lineRule="exact"/>
        <w:ind w:firstLine="420" w:firstLineChars="200"/>
        <w:rPr>
          <w:rFonts w:eastAsia="仿宋_GB2312"/>
          <w:szCs w:val="28"/>
        </w:rPr>
      </w:pPr>
      <w:r>
        <w:rPr>
          <w:rFonts w:hint="eastAsia" w:eastAsia="仿宋_GB2312"/>
          <w:szCs w:val="28"/>
        </w:rPr>
        <w:t>①1</w:t>
      </w:r>
      <w:r>
        <w:rPr>
          <w:rFonts w:eastAsia="仿宋_GB2312"/>
          <w:szCs w:val="28"/>
        </w:rPr>
        <w:t>#</w:t>
      </w:r>
      <w:r>
        <w:rPr>
          <w:rFonts w:hint="eastAsia" w:eastAsia="仿宋_GB2312"/>
          <w:szCs w:val="28"/>
        </w:rPr>
        <w:t>弃渣场防治区</w:t>
      </w:r>
    </w:p>
    <w:p w14:paraId="1F00937C">
      <w:pPr>
        <w:adjustRightInd w:val="0"/>
        <w:snapToGrid w:val="0"/>
        <w:spacing w:line="520" w:lineRule="exact"/>
        <w:ind w:firstLine="420" w:firstLineChars="200"/>
        <w:rPr>
          <w:rFonts w:eastAsia="仿宋_GB2312"/>
          <w:szCs w:val="28"/>
        </w:rPr>
      </w:pPr>
      <w:r>
        <w:rPr>
          <w:rFonts w:hint="eastAsia" w:eastAsia="仿宋_GB2312"/>
          <w:szCs w:val="28"/>
        </w:rPr>
        <w:t>1</w:t>
      </w:r>
      <w:r>
        <w:rPr>
          <w:rFonts w:eastAsia="仿宋_GB2312"/>
          <w:szCs w:val="28"/>
        </w:rPr>
        <w:t>#</w:t>
      </w:r>
      <w:r>
        <w:rPr>
          <w:rFonts w:hint="eastAsia" w:eastAsia="仿宋_GB2312"/>
          <w:szCs w:val="28"/>
        </w:rPr>
        <w:t>弃渣场堆渣前坡脚已布设挡渣墙，现已完成复耕；后续施工1</w:t>
      </w:r>
      <w:r>
        <w:rPr>
          <w:rFonts w:eastAsia="仿宋_GB2312"/>
          <w:szCs w:val="28"/>
        </w:rPr>
        <w:t>#</w:t>
      </w:r>
      <w:r>
        <w:rPr>
          <w:rFonts w:hint="eastAsia" w:eastAsia="仿宋_GB2312"/>
          <w:szCs w:val="28"/>
        </w:rPr>
        <w:t>弃渣场按设计在渣体平台、红线处布设截排水沟，出水口处布设沉沙池；布设于</w:t>
      </w:r>
      <w:r>
        <w:rPr>
          <w:rFonts w:eastAsia="仿宋_GB2312"/>
          <w:szCs w:val="28"/>
        </w:rPr>
        <w:t>1</w:t>
      </w:r>
      <w:r>
        <w:rPr>
          <w:rFonts w:hint="eastAsia" w:eastAsia="仿宋_GB2312"/>
          <w:szCs w:val="28"/>
        </w:rPr>
        <w:t>#弃渣场平台处的3处表土堆场堆土前进行临时拦挡，堆土过程及堆土后进行遮盖防护。</w:t>
      </w:r>
    </w:p>
    <w:p w14:paraId="798A22B5">
      <w:pPr>
        <w:adjustRightInd w:val="0"/>
        <w:snapToGrid w:val="0"/>
        <w:spacing w:line="520" w:lineRule="exact"/>
        <w:ind w:firstLine="420" w:firstLineChars="200"/>
        <w:rPr>
          <w:rFonts w:eastAsia="仿宋_GB2312"/>
          <w:szCs w:val="28"/>
        </w:rPr>
      </w:pPr>
      <w:r>
        <w:rPr>
          <w:rFonts w:hint="eastAsia" w:eastAsia="仿宋_GB2312"/>
          <w:szCs w:val="28"/>
        </w:rPr>
        <w:t>②</w:t>
      </w:r>
      <w:r>
        <w:rPr>
          <w:rFonts w:eastAsia="仿宋_GB2312"/>
          <w:szCs w:val="28"/>
        </w:rPr>
        <w:t>3#</w:t>
      </w:r>
      <w:r>
        <w:rPr>
          <w:rFonts w:hint="eastAsia" w:eastAsia="仿宋_GB2312"/>
          <w:szCs w:val="28"/>
        </w:rPr>
        <w:t>弃渣场防治区</w:t>
      </w:r>
    </w:p>
    <w:p w14:paraId="1C156CDD">
      <w:pPr>
        <w:adjustRightInd w:val="0"/>
        <w:snapToGrid w:val="0"/>
        <w:spacing w:line="520" w:lineRule="exact"/>
        <w:ind w:firstLine="420" w:firstLineChars="200"/>
        <w:rPr>
          <w:rFonts w:eastAsia="仿宋_GB2312"/>
          <w:szCs w:val="28"/>
        </w:rPr>
      </w:pPr>
      <w:r>
        <w:rPr>
          <w:rFonts w:hint="eastAsia" w:eastAsia="仿宋_GB2312"/>
          <w:szCs w:val="28"/>
        </w:rPr>
        <w:t>后续施工在裸露边坡区域进行临时遮盖，对表土区域进行剥离并集中堆放于表土堆场内；按设计在红线处布设截排水沟、车辆清洗站、沉沙池；堆渣结束后按设计在渣体上部布设截排水沟，出水口处布设沉沙池，按设计进行复耕、复绿。</w:t>
      </w:r>
    </w:p>
    <w:p w14:paraId="1C3F9C8C">
      <w:pPr>
        <w:adjustRightInd w:val="0"/>
        <w:snapToGrid w:val="0"/>
        <w:spacing w:line="520" w:lineRule="exact"/>
        <w:ind w:firstLine="420" w:firstLineChars="200"/>
        <w:rPr>
          <w:rFonts w:eastAsia="仿宋_GB2312"/>
          <w:szCs w:val="28"/>
        </w:rPr>
      </w:pPr>
      <w:r>
        <w:rPr>
          <w:rFonts w:hint="eastAsia" w:eastAsia="仿宋_GB2312"/>
          <w:szCs w:val="28"/>
        </w:rPr>
        <w:t>（3）施工便道防治区</w:t>
      </w:r>
    </w:p>
    <w:p w14:paraId="6EE56C83">
      <w:pPr>
        <w:adjustRightInd w:val="0"/>
        <w:snapToGrid w:val="0"/>
        <w:spacing w:line="520" w:lineRule="exact"/>
        <w:ind w:firstLine="420" w:firstLineChars="200"/>
        <w:rPr>
          <w:rFonts w:eastAsia="仿宋_GB2312"/>
          <w:szCs w:val="28"/>
        </w:rPr>
      </w:pPr>
      <w:r>
        <w:rPr>
          <w:rFonts w:hint="eastAsia" w:eastAsia="仿宋_GB2312"/>
          <w:szCs w:val="28"/>
        </w:rPr>
        <w:t>除1</w:t>
      </w:r>
      <w:r>
        <w:rPr>
          <w:rFonts w:eastAsia="仿宋_GB2312"/>
          <w:szCs w:val="28"/>
        </w:rPr>
        <w:t>#</w:t>
      </w:r>
      <w:r>
        <w:rPr>
          <w:rFonts w:hint="eastAsia" w:eastAsia="仿宋_GB2312"/>
          <w:szCs w:val="28"/>
        </w:rPr>
        <w:t>施工便道裸露路面进行硬化、移交第三方项目的临时占地外其余裸露区域均进行植被混凝土护坡。</w:t>
      </w:r>
    </w:p>
    <w:p w14:paraId="56ADC742">
      <w:pPr>
        <w:adjustRightInd w:val="0"/>
        <w:snapToGrid w:val="0"/>
        <w:spacing w:line="520" w:lineRule="exact"/>
        <w:ind w:firstLine="420" w:firstLineChars="200"/>
        <w:rPr>
          <w:rFonts w:eastAsia="仿宋_GB2312"/>
          <w:szCs w:val="28"/>
        </w:rPr>
      </w:pPr>
      <w:r>
        <w:rPr>
          <w:rFonts w:hint="eastAsia" w:eastAsia="仿宋_GB2312"/>
          <w:szCs w:val="28"/>
        </w:rPr>
        <w:t>（4）临时堆料场防治区</w:t>
      </w:r>
    </w:p>
    <w:p w14:paraId="14964BFF">
      <w:pPr>
        <w:adjustRightInd w:val="0"/>
        <w:snapToGrid w:val="0"/>
        <w:spacing w:line="520" w:lineRule="exact"/>
        <w:ind w:firstLine="420" w:firstLineChars="200"/>
        <w:rPr>
          <w:rFonts w:eastAsia="仿宋_GB2312"/>
          <w:szCs w:val="28"/>
        </w:rPr>
      </w:pPr>
      <w:r>
        <w:rPr>
          <w:rFonts w:hint="eastAsia" w:eastAsia="仿宋_GB2312"/>
          <w:szCs w:val="28"/>
        </w:rPr>
        <w:t>占地范围已进行复耕。</w:t>
      </w:r>
    </w:p>
    <w:bookmarkEnd w:id="10"/>
    <w:p w14:paraId="0F1E9330">
      <w:pPr>
        <w:adjustRightInd w:val="0"/>
        <w:snapToGrid w:val="0"/>
        <w:spacing w:line="520" w:lineRule="exact"/>
        <w:ind w:firstLine="420" w:firstLineChars="200"/>
        <w:rPr>
          <w:rFonts w:eastAsia="仿宋_GB2312"/>
          <w:szCs w:val="28"/>
        </w:rPr>
      </w:pPr>
      <w:r>
        <w:rPr>
          <w:rFonts w:hint="eastAsia" w:hAnsi="宋体" w:eastAsia="仿宋_GB2312"/>
          <w:szCs w:val="28"/>
        </w:rPr>
        <w:t>（二）水土保持施工组织设计基本可行。</w:t>
      </w:r>
    </w:p>
    <w:bookmarkEnd w:id="11"/>
    <w:bookmarkEnd w:id="12"/>
    <w:bookmarkEnd w:id="13"/>
    <w:p w14:paraId="7D204DE4">
      <w:pPr>
        <w:spacing w:line="520" w:lineRule="exact"/>
        <w:ind w:firstLine="422" w:firstLineChars="200"/>
        <w:rPr>
          <w:rFonts w:eastAsia="仿宋_GB2312"/>
          <w:b/>
          <w:bCs/>
          <w:szCs w:val="28"/>
        </w:rPr>
      </w:pPr>
      <w:r>
        <w:rPr>
          <w:rFonts w:hint="eastAsia" w:hAnsi="宋体" w:eastAsia="仿宋_GB2312"/>
          <w:b/>
          <w:bCs/>
          <w:szCs w:val="28"/>
        </w:rPr>
        <w:t>六、水土保持监测</w:t>
      </w:r>
    </w:p>
    <w:p w14:paraId="3BF7DCED">
      <w:pPr>
        <w:spacing w:line="520" w:lineRule="exact"/>
        <w:ind w:firstLine="420" w:firstLineChars="200"/>
        <w:rPr>
          <w:rFonts w:eastAsia="仿宋_GB2312"/>
          <w:bCs/>
          <w:szCs w:val="28"/>
        </w:rPr>
      </w:pPr>
      <w:r>
        <w:rPr>
          <w:rFonts w:eastAsia="仿宋_GB2312"/>
          <w:bCs/>
          <w:szCs w:val="28"/>
        </w:rPr>
        <w:t>水土保持监测方案基本可行，在开展监测工作时应进一步完善和优化</w:t>
      </w:r>
      <w:r>
        <w:rPr>
          <w:rFonts w:hint="eastAsia" w:eastAsia="仿宋_GB2312"/>
          <w:bCs/>
          <w:szCs w:val="28"/>
        </w:rPr>
        <w:t>。</w:t>
      </w:r>
    </w:p>
    <w:p w14:paraId="554529FB">
      <w:pPr>
        <w:widowControl/>
        <w:spacing w:line="520" w:lineRule="exact"/>
        <w:jc w:val="left"/>
        <w:rPr>
          <w:rFonts w:ascii="宋体" w:hAnsi="宋体" w:cs="宋体"/>
          <w:kern w:val="0"/>
          <w:sz w:val="24"/>
        </w:rPr>
      </w:pPr>
      <w:r>
        <w:rPr>
          <w:rFonts w:ascii="宋体" w:hAnsi="宋体" w:cs="宋体"/>
          <w:kern w:val="0"/>
          <w:sz w:val="24"/>
        </w:rPr>
        <w:drawing>
          <wp:anchor distT="0" distB="0" distL="114300" distR="114300" simplePos="0" relativeHeight="251664384" behindDoc="0" locked="0" layoutInCell="1" allowOverlap="1">
            <wp:simplePos x="0" y="0"/>
            <wp:positionH relativeFrom="column">
              <wp:posOffset>-505460</wp:posOffset>
            </wp:positionH>
            <wp:positionV relativeFrom="paragraph">
              <wp:posOffset>-345440</wp:posOffset>
            </wp:positionV>
            <wp:extent cx="6534150" cy="8143875"/>
            <wp:effectExtent l="19050" t="0" r="0" b="0"/>
            <wp:wrapNone/>
            <wp:docPr id="2" name="图片 8" descr="C:\Users\Administrator\AppData\Roaming\Tencent\Users\1134760804\QQ\WinTemp\RichOle\@A_@L@QRZUFKI}~}R(DZ3M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C:\Users\Administrator\AppData\Roaming\Tencent\Users\1134760804\QQ\WinTemp\RichOle\@A_@L@QRZUFKI}~}R(DZ3MY.png"/>
                    <pic:cNvPicPr>
                      <a:picLocks noChangeAspect="1" noChangeArrowheads="1"/>
                    </pic:cNvPicPr>
                  </pic:nvPicPr>
                  <pic:blipFill>
                    <a:blip r:embed="rId5"/>
                    <a:srcRect/>
                    <a:stretch>
                      <a:fillRect/>
                    </a:stretch>
                  </pic:blipFill>
                  <pic:spPr>
                    <a:xfrm>
                      <a:off x="0" y="0"/>
                      <a:ext cx="6534150" cy="8143875"/>
                    </a:xfrm>
                    <a:prstGeom prst="rect">
                      <a:avLst/>
                    </a:prstGeom>
                    <a:noFill/>
                    <a:ln w="9525">
                      <a:noFill/>
                      <a:miter lim="800000"/>
                      <a:headEnd/>
                      <a:tailEnd/>
                    </a:ln>
                  </pic:spPr>
                </pic:pic>
              </a:graphicData>
            </a:graphic>
          </wp:anchor>
        </w:drawing>
      </w:r>
    </w:p>
    <w:p w14:paraId="5D373079">
      <w:pPr>
        <w:widowControl/>
        <w:spacing w:line="520" w:lineRule="exact"/>
        <w:jc w:val="left"/>
        <w:rPr>
          <w:rFonts w:ascii="宋体" w:hAnsi="宋体" w:cs="宋体"/>
          <w:kern w:val="0"/>
          <w:sz w:val="24"/>
        </w:rPr>
      </w:pPr>
    </w:p>
    <w:p w14:paraId="2583C431">
      <w:pPr>
        <w:pStyle w:val="101"/>
        <w:spacing w:afterLines="0" w:line="520" w:lineRule="exact"/>
        <w:jc w:val="both"/>
        <w:rPr>
          <w:rFonts w:ascii="方正小标宋_GBK" w:eastAsia="方正小标宋_GBK"/>
          <w:sz w:val="44"/>
          <w:szCs w:val="44"/>
        </w:rPr>
      </w:pPr>
    </w:p>
    <w:p w14:paraId="26402F5B">
      <w:pPr>
        <w:pStyle w:val="101"/>
        <w:spacing w:afterLines="0" w:line="520" w:lineRule="exact"/>
        <w:jc w:val="both"/>
        <w:rPr>
          <w:rFonts w:ascii="方正小标宋_GBK" w:eastAsia="方正小标宋_GBK"/>
          <w:sz w:val="44"/>
          <w:szCs w:val="44"/>
        </w:rPr>
      </w:pPr>
    </w:p>
    <w:p w14:paraId="38E4D292">
      <w:pPr>
        <w:pStyle w:val="101"/>
        <w:spacing w:afterLines="0" w:line="520" w:lineRule="exact"/>
        <w:jc w:val="both"/>
        <w:rPr>
          <w:rFonts w:ascii="方正小标宋_GBK" w:eastAsia="方正小标宋_GBK"/>
          <w:sz w:val="44"/>
          <w:szCs w:val="44"/>
        </w:rPr>
      </w:pPr>
    </w:p>
    <w:p w14:paraId="6D273954">
      <w:pPr>
        <w:pStyle w:val="101"/>
        <w:spacing w:afterLines="0" w:line="520" w:lineRule="exact"/>
        <w:jc w:val="both"/>
        <w:rPr>
          <w:rFonts w:ascii="方正小标宋_GBK" w:eastAsia="方正小标宋_GBK"/>
          <w:sz w:val="44"/>
          <w:szCs w:val="44"/>
        </w:rPr>
      </w:pPr>
    </w:p>
    <w:p w14:paraId="4D71D520">
      <w:pPr>
        <w:pStyle w:val="101"/>
        <w:spacing w:afterLines="0" w:line="520" w:lineRule="exact"/>
        <w:jc w:val="both"/>
        <w:rPr>
          <w:rFonts w:ascii="方正小标宋_GBK" w:eastAsia="方正小标宋_GBK"/>
          <w:sz w:val="44"/>
          <w:szCs w:val="44"/>
        </w:rPr>
      </w:pPr>
    </w:p>
    <w:p w14:paraId="6E6263A1">
      <w:pPr>
        <w:pStyle w:val="101"/>
        <w:spacing w:afterLines="0" w:line="520" w:lineRule="exact"/>
        <w:jc w:val="both"/>
        <w:rPr>
          <w:rFonts w:ascii="方正小标宋_GBK" w:eastAsia="方正小标宋_GBK"/>
          <w:sz w:val="44"/>
          <w:szCs w:val="44"/>
        </w:rPr>
      </w:pPr>
    </w:p>
    <w:p w14:paraId="64EB9BFB">
      <w:pPr>
        <w:pStyle w:val="101"/>
        <w:spacing w:afterLines="0" w:line="520" w:lineRule="exact"/>
        <w:jc w:val="both"/>
        <w:rPr>
          <w:rFonts w:ascii="方正小标宋_GBK" w:eastAsia="方正小标宋_GBK"/>
          <w:sz w:val="44"/>
          <w:szCs w:val="44"/>
        </w:rPr>
      </w:pPr>
    </w:p>
    <w:p w14:paraId="24215C21">
      <w:pPr>
        <w:pStyle w:val="101"/>
        <w:spacing w:afterLines="0" w:line="280" w:lineRule="exact"/>
        <w:jc w:val="both"/>
        <w:rPr>
          <w:rFonts w:ascii="方正小标宋_GBK" w:eastAsia="方正小标宋_GBK"/>
          <w:sz w:val="44"/>
          <w:szCs w:val="44"/>
        </w:rPr>
      </w:pPr>
    </w:p>
    <w:p w14:paraId="6ABE3AAC">
      <w:pPr>
        <w:pStyle w:val="101"/>
        <w:spacing w:afterLines="0" w:line="280" w:lineRule="exact"/>
        <w:jc w:val="both"/>
        <w:rPr>
          <w:rFonts w:ascii="方正小标宋_GBK" w:eastAsia="方正小标宋_GBK"/>
          <w:sz w:val="44"/>
          <w:szCs w:val="44"/>
        </w:rPr>
      </w:pPr>
    </w:p>
    <w:p w14:paraId="57C59165">
      <w:pPr>
        <w:pStyle w:val="101"/>
        <w:spacing w:afterLines="0" w:line="280" w:lineRule="exact"/>
        <w:jc w:val="both"/>
        <w:rPr>
          <w:rFonts w:ascii="方正小标宋_GBK" w:eastAsia="方正小标宋_GBK"/>
          <w:sz w:val="44"/>
          <w:szCs w:val="44"/>
        </w:rPr>
      </w:pPr>
    </w:p>
    <w:p w14:paraId="39D95093">
      <w:pPr>
        <w:pStyle w:val="101"/>
        <w:spacing w:afterLines="0" w:line="280" w:lineRule="exact"/>
        <w:jc w:val="both"/>
        <w:rPr>
          <w:rFonts w:ascii="方正小标宋_GBK" w:eastAsia="方正小标宋_GBK"/>
          <w:sz w:val="44"/>
          <w:szCs w:val="44"/>
        </w:rPr>
      </w:pPr>
    </w:p>
    <w:p w14:paraId="1A627E78">
      <w:pPr>
        <w:pStyle w:val="101"/>
        <w:spacing w:afterLines="0" w:line="280" w:lineRule="exact"/>
        <w:jc w:val="both"/>
        <w:rPr>
          <w:rFonts w:ascii="方正小标宋_GBK" w:eastAsia="方正小标宋_GBK"/>
          <w:sz w:val="44"/>
          <w:szCs w:val="44"/>
        </w:rPr>
      </w:pPr>
    </w:p>
    <w:p w14:paraId="75190490">
      <w:pPr>
        <w:pStyle w:val="101"/>
        <w:spacing w:afterLines="0" w:line="280" w:lineRule="exact"/>
        <w:jc w:val="both"/>
        <w:rPr>
          <w:rFonts w:ascii="方正小标宋_GBK" w:eastAsia="方正小标宋_GBK"/>
          <w:sz w:val="44"/>
          <w:szCs w:val="44"/>
        </w:rPr>
      </w:pPr>
    </w:p>
    <w:p w14:paraId="312E3BFA">
      <w:pPr>
        <w:pStyle w:val="101"/>
        <w:spacing w:afterLines="0" w:line="280" w:lineRule="exact"/>
        <w:jc w:val="both"/>
        <w:rPr>
          <w:rFonts w:ascii="方正小标宋_GBK" w:eastAsia="方正小标宋_GBK"/>
          <w:sz w:val="44"/>
          <w:szCs w:val="44"/>
        </w:rPr>
      </w:pPr>
    </w:p>
    <w:p w14:paraId="5C484E65">
      <w:pPr>
        <w:pStyle w:val="101"/>
        <w:spacing w:afterLines="0" w:line="280" w:lineRule="exact"/>
        <w:jc w:val="both"/>
        <w:rPr>
          <w:rFonts w:ascii="方正小标宋_GBK" w:eastAsia="方正小标宋_GBK"/>
          <w:sz w:val="44"/>
          <w:szCs w:val="44"/>
        </w:rPr>
      </w:pPr>
    </w:p>
    <w:p w14:paraId="15CE0ACE">
      <w:pPr>
        <w:pStyle w:val="101"/>
        <w:spacing w:afterLines="0" w:line="280" w:lineRule="exact"/>
        <w:jc w:val="both"/>
        <w:rPr>
          <w:rFonts w:ascii="方正小标宋_GBK" w:eastAsia="方正小标宋_GBK"/>
          <w:sz w:val="44"/>
          <w:szCs w:val="44"/>
        </w:rPr>
      </w:pPr>
    </w:p>
    <w:p w14:paraId="55558F13">
      <w:pPr>
        <w:pStyle w:val="101"/>
        <w:spacing w:afterLines="0" w:line="280" w:lineRule="exact"/>
        <w:jc w:val="both"/>
        <w:rPr>
          <w:rFonts w:ascii="方正小标宋_GBK" w:eastAsia="方正小标宋_GBK"/>
          <w:sz w:val="44"/>
          <w:szCs w:val="44"/>
        </w:rPr>
      </w:pPr>
    </w:p>
    <w:p w14:paraId="0F60A523">
      <w:pPr>
        <w:pStyle w:val="101"/>
        <w:spacing w:afterLines="0" w:line="280" w:lineRule="exact"/>
        <w:jc w:val="both"/>
        <w:rPr>
          <w:rFonts w:ascii="方正小标宋_GBK" w:eastAsia="方正小标宋_GBK"/>
          <w:sz w:val="44"/>
          <w:szCs w:val="44"/>
        </w:rPr>
      </w:pPr>
    </w:p>
    <w:p w14:paraId="3640E481">
      <w:pPr>
        <w:pStyle w:val="101"/>
        <w:spacing w:afterLines="0" w:line="280" w:lineRule="exact"/>
        <w:jc w:val="both"/>
        <w:rPr>
          <w:rFonts w:ascii="方正小标宋_GBK" w:eastAsia="方正小标宋_GBK"/>
          <w:sz w:val="44"/>
          <w:szCs w:val="44"/>
        </w:rPr>
      </w:pPr>
    </w:p>
    <w:p w14:paraId="6D03C58E">
      <w:pPr>
        <w:pStyle w:val="101"/>
        <w:spacing w:afterLines="0" w:line="280" w:lineRule="exact"/>
        <w:jc w:val="both"/>
        <w:rPr>
          <w:rFonts w:ascii="方正小标宋_GBK" w:eastAsia="方正小标宋_GBK"/>
          <w:sz w:val="44"/>
          <w:szCs w:val="44"/>
        </w:rPr>
      </w:pPr>
    </w:p>
    <w:p w14:paraId="07D2744A">
      <w:pPr>
        <w:pStyle w:val="101"/>
        <w:spacing w:afterLines="0" w:line="280" w:lineRule="exact"/>
        <w:jc w:val="both"/>
        <w:rPr>
          <w:rFonts w:ascii="方正小标宋_GBK" w:eastAsia="方正小标宋_GBK"/>
          <w:sz w:val="44"/>
          <w:szCs w:val="44"/>
        </w:rPr>
      </w:pPr>
    </w:p>
    <w:p w14:paraId="678F78D6">
      <w:pPr>
        <w:pStyle w:val="101"/>
        <w:spacing w:afterLines="0" w:line="280" w:lineRule="exact"/>
        <w:jc w:val="both"/>
        <w:rPr>
          <w:rFonts w:ascii="方正小标宋_GBK" w:eastAsia="方正小标宋_GBK"/>
          <w:sz w:val="44"/>
          <w:szCs w:val="44"/>
        </w:rPr>
      </w:pPr>
    </w:p>
    <w:p w14:paraId="22F58E2A">
      <w:pPr>
        <w:pStyle w:val="101"/>
        <w:spacing w:afterLines="0" w:line="280" w:lineRule="exact"/>
        <w:jc w:val="both"/>
        <w:rPr>
          <w:rFonts w:ascii="方正小标宋_GBK" w:eastAsia="方正小标宋_GBK"/>
          <w:sz w:val="44"/>
          <w:szCs w:val="44"/>
        </w:rPr>
      </w:pPr>
    </w:p>
    <w:p w14:paraId="3D31CFD2">
      <w:pPr>
        <w:pStyle w:val="101"/>
        <w:spacing w:afterLines="0" w:line="280" w:lineRule="exact"/>
        <w:jc w:val="both"/>
        <w:rPr>
          <w:rFonts w:ascii="方正小标宋_GBK" w:eastAsia="方正小标宋_GBK"/>
          <w:sz w:val="44"/>
          <w:szCs w:val="44"/>
        </w:rPr>
      </w:pPr>
    </w:p>
    <w:p w14:paraId="2F986A5F">
      <w:pPr>
        <w:pStyle w:val="101"/>
        <w:spacing w:afterLines="0" w:line="280" w:lineRule="exact"/>
        <w:jc w:val="both"/>
        <w:rPr>
          <w:rFonts w:ascii="方正小标宋_GBK" w:eastAsia="方正小标宋_GBK"/>
          <w:sz w:val="44"/>
          <w:szCs w:val="44"/>
        </w:rPr>
      </w:pPr>
    </w:p>
    <w:p w14:paraId="1BD4F461">
      <w:pPr>
        <w:pStyle w:val="101"/>
        <w:spacing w:afterLines="0" w:line="280" w:lineRule="exact"/>
        <w:jc w:val="both"/>
        <w:rPr>
          <w:rFonts w:ascii="方正小标宋_GBK" w:eastAsia="方正小标宋_GBK"/>
          <w:sz w:val="44"/>
          <w:szCs w:val="44"/>
        </w:rPr>
      </w:pPr>
    </w:p>
    <w:sectPr>
      <w:footerReference r:id="rId3" w:type="default"/>
      <w:pgSz w:w="11906" w:h="16838"/>
      <w:pgMar w:top="1984"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1E431">
    <w:pPr>
      <w:pStyle w:val="13"/>
      <w:framePr w:wrap="around" w:vAnchor="text" w:hAnchor="margin" w:xAlign="outside" w:y="1"/>
      <w:rPr>
        <w:rStyle w:val="22"/>
        <w:rFonts w:ascii="宋体"/>
        <w:sz w:val="28"/>
        <w:szCs w:val="28"/>
      </w:rPr>
    </w:pPr>
    <w:r>
      <w:rPr>
        <w:rStyle w:val="22"/>
        <w:rFonts w:ascii="宋体" w:hAnsi="宋体"/>
        <w:sz w:val="28"/>
        <w:szCs w:val="28"/>
      </w:rPr>
      <w:t xml:space="preserve">- </w:t>
    </w:r>
    <w:r>
      <w:rPr>
        <w:rStyle w:val="22"/>
        <w:rFonts w:ascii="宋体" w:hAnsi="宋体"/>
        <w:sz w:val="28"/>
        <w:szCs w:val="28"/>
      </w:rPr>
      <w:fldChar w:fldCharType="begin"/>
    </w:r>
    <w:r>
      <w:rPr>
        <w:rStyle w:val="22"/>
        <w:rFonts w:ascii="宋体" w:hAnsi="宋体"/>
        <w:sz w:val="28"/>
        <w:szCs w:val="28"/>
      </w:rPr>
      <w:instrText xml:space="preserve">PAGE  </w:instrText>
    </w:r>
    <w:r>
      <w:rPr>
        <w:rStyle w:val="22"/>
        <w:rFonts w:ascii="宋体" w:hAnsi="宋体"/>
        <w:sz w:val="28"/>
        <w:szCs w:val="28"/>
      </w:rPr>
      <w:fldChar w:fldCharType="separate"/>
    </w:r>
    <w:r>
      <w:rPr>
        <w:rStyle w:val="22"/>
        <w:rFonts w:ascii="宋体" w:hAnsi="宋体"/>
        <w:sz w:val="28"/>
        <w:szCs w:val="28"/>
      </w:rPr>
      <w:t>5</w:t>
    </w:r>
    <w:r>
      <w:rPr>
        <w:rStyle w:val="22"/>
        <w:rFonts w:ascii="宋体" w:hAnsi="宋体"/>
        <w:sz w:val="28"/>
        <w:szCs w:val="28"/>
      </w:rPr>
      <w:fldChar w:fldCharType="end"/>
    </w:r>
    <w:r>
      <w:rPr>
        <w:rStyle w:val="22"/>
        <w:rFonts w:ascii="宋体" w:hAnsi="宋体"/>
        <w:sz w:val="28"/>
        <w:szCs w:val="28"/>
      </w:rPr>
      <w:t xml:space="preserve"> -</w:t>
    </w:r>
  </w:p>
  <w:p w14:paraId="7B68AF91">
    <w:pPr>
      <w:pStyle w:val="13"/>
      <w:ind w:right="360" w:firstLine="360"/>
      <w:jc w:val="center"/>
    </w:pPr>
  </w:p>
  <w:p w14:paraId="7839F639">
    <w:pPr>
      <w:pStyle w:val="1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562F6E"/>
    <w:multiLevelType w:val="multilevel"/>
    <w:tmpl w:val="42562F6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7258"/>
    <w:rsid w:val="00001CA7"/>
    <w:rsid w:val="00001F90"/>
    <w:rsid w:val="00006CCA"/>
    <w:rsid w:val="00010A7E"/>
    <w:rsid w:val="000152E3"/>
    <w:rsid w:val="000158C6"/>
    <w:rsid w:val="00017633"/>
    <w:rsid w:val="0002035C"/>
    <w:rsid w:val="000236F9"/>
    <w:rsid w:val="00023F38"/>
    <w:rsid w:val="000272A2"/>
    <w:rsid w:val="00031257"/>
    <w:rsid w:val="00031C92"/>
    <w:rsid w:val="00032B06"/>
    <w:rsid w:val="0004210D"/>
    <w:rsid w:val="0005055E"/>
    <w:rsid w:val="00053A0A"/>
    <w:rsid w:val="00054248"/>
    <w:rsid w:val="00054685"/>
    <w:rsid w:val="000563AB"/>
    <w:rsid w:val="0006022C"/>
    <w:rsid w:val="000613AD"/>
    <w:rsid w:val="00061AE2"/>
    <w:rsid w:val="00062215"/>
    <w:rsid w:val="00062AF6"/>
    <w:rsid w:val="00062EF9"/>
    <w:rsid w:val="00063781"/>
    <w:rsid w:val="000644F3"/>
    <w:rsid w:val="00064E76"/>
    <w:rsid w:val="00065DCF"/>
    <w:rsid w:val="000668DA"/>
    <w:rsid w:val="00066F3F"/>
    <w:rsid w:val="000711B7"/>
    <w:rsid w:val="000713EF"/>
    <w:rsid w:val="000729F6"/>
    <w:rsid w:val="00072B98"/>
    <w:rsid w:val="0007561D"/>
    <w:rsid w:val="000771F8"/>
    <w:rsid w:val="00077240"/>
    <w:rsid w:val="000807A3"/>
    <w:rsid w:val="00080C9B"/>
    <w:rsid w:val="000828AC"/>
    <w:rsid w:val="000834DB"/>
    <w:rsid w:val="0008407B"/>
    <w:rsid w:val="00085853"/>
    <w:rsid w:val="000866AF"/>
    <w:rsid w:val="00093451"/>
    <w:rsid w:val="00093FE0"/>
    <w:rsid w:val="000979F0"/>
    <w:rsid w:val="00097F71"/>
    <w:rsid w:val="000A1259"/>
    <w:rsid w:val="000A2317"/>
    <w:rsid w:val="000A255C"/>
    <w:rsid w:val="000A3777"/>
    <w:rsid w:val="000A3DA2"/>
    <w:rsid w:val="000A4FE7"/>
    <w:rsid w:val="000A58C2"/>
    <w:rsid w:val="000A5F2B"/>
    <w:rsid w:val="000A74D1"/>
    <w:rsid w:val="000B04BE"/>
    <w:rsid w:val="000B4605"/>
    <w:rsid w:val="000B5BA3"/>
    <w:rsid w:val="000C090E"/>
    <w:rsid w:val="000C1CB4"/>
    <w:rsid w:val="000C2259"/>
    <w:rsid w:val="000C2449"/>
    <w:rsid w:val="000C57FD"/>
    <w:rsid w:val="000C6DF9"/>
    <w:rsid w:val="000C7BBB"/>
    <w:rsid w:val="000D03F6"/>
    <w:rsid w:val="000D278C"/>
    <w:rsid w:val="000D353F"/>
    <w:rsid w:val="000D61C0"/>
    <w:rsid w:val="000D664A"/>
    <w:rsid w:val="000D6653"/>
    <w:rsid w:val="000D7E2D"/>
    <w:rsid w:val="000E0724"/>
    <w:rsid w:val="000E16EB"/>
    <w:rsid w:val="000E1F67"/>
    <w:rsid w:val="000E2DEC"/>
    <w:rsid w:val="000E4D31"/>
    <w:rsid w:val="000E55F7"/>
    <w:rsid w:val="000E5A9B"/>
    <w:rsid w:val="000E6E2F"/>
    <w:rsid w:val="000E7853"/>
    <w:rsid w:val="000F0A1E"/>
    <w:rsid w:val="000F3254"/>
    <w:rsid w:val="000F3B0A"/>
    <w:rsid w:val="000F4E29"/>
    <w:rsid w:val="00101B35"/>
    <w:rsid w:val="00102BEE"/>
    <w:rsid w:val="0010321B"/>
    <w:rsid w:val="001045D9"/>
    <w:rsid w:val="00104DDF"/>
    <w:rsid w:val="00105A92"/>
    <w:rsid w:val="00105D8F"/>
    <w:rsid w:val="00107C74"/>
    <w:rsid w:val="00107CA9"/>
    <w:rsid w:val="00113C97"/>
    <w:rsid w:val="00113EFF"/>
    <w:rsid w:val="00114F38"/>
    <w:rsid w:val="00115A6B"/>
    <w:rsid w:val="00116098"/>
    <w:rsid w:val="001160C2"/>
    <w:rsid w:val="00116383"/>
    <w:rsid w:val="00116B0C"/>
    <w:rsid w:val="00116EAE"/>
    <w:rsid w:val="001222C5"/>
    <w:rsid w:val="00122A38"/>
    <w:rsid w:val="00126DF9"/>
    <w:rsid w:val="00126F0A"/>
    <w:rsid w:val="00130F59"/>
    <w:rsid w:val="001317B1"/>
    <w:rsid w:val="00131CB7"/>
    <w:rsid w:val="00131F69"/>
    <w:rsid w:val="0013269C"/>
    <w:rsid w:val="001329D5"/>
    <w:rsid w:val="001355CB"/>
    <w:rsid w:val="0013612A"/>
    <w:rsid w:val="00141F18"/>
    <w:rsid w:val="001438EC"/>
    <w:rsid w:val="00145BAE"/>
    <w:rsid w:val="00145C70"/>
    <w:rsid w:val="0015204E"/>
    <w:rsid w:val="0015410F"/>
    <w:rsid w:val="00155580"/>
    <w:rsid w:val="00160673"/>
    <w:rsid w:val="00160854"/>
    <w:rsid w:val="00160A0B"/>
    <w:rsid w:val="00161202"/>
    <w:rsid w:val="00161D04"/>
    <w:rsid w:val="00162D69"/>
    <w:rsid w:val="001634EA"/>
    <w:rsid w:val="00164967"/>
    <w:rsid w:val="0017091C"/>
    <w:rsid w:val="00170D9F"/>
    <w:rsid w:val="00171B8D"/>
    <w:rsid w:val="001739B8"/>
    <w:rsid w:val="00174769"/>
    <w:rsid w:val="00184C6F"/>
    <w:rsid w:val="0018504B"/>
    <w:rsid w:val="00185D69"/>
    <w:rsid w:val="00185DD4"/>
    <w:rsid w:val="00190743"/>
    <w:rsid w:val="00192525"/>
    <w:rsid w:val="00192F97"/>
    <w:rsid w:val="001931E9"/>
    <w:rsid w:val="0019363A"/>
    <w:rsid w:val="00194B45"/>
    <w:rsid w:val="00195364"/>
    <w:rsid w:val="001960A8"/>
    <w:rsid w:val="00197794"/>
    <w:rsid w:val="00197BA8"/>
    <w:rsid w:val="00197BAD"/>
    <w:rsid w:val="001A369A"/>
    <w:rsid w:val="001A4D2A"/>
    <w:rsid w:val="001A6ACD"/>
    <w:rsid w:val="001B024C"/>
    <w:rsid w:val="001B04A1"/>
    <w:rsid w:val="001B1FA0"/>
    <w:rsid w:val="001B35FF"/>
    <w:rsid w:val="001B4789"/>
    <w:rsid w:val="001B569E"/>
    <w:rsid w:val="001B574D"/>
    <w:rsid w:val="001B580A"/>
    <w:rsid w:val="001B6327"/>
    <w:rsid w:val="001B7587"/>
    <w:rsid w:val="001C625E"/>
    <w:rsid w:val="001C6D40"/>
    <w:rsid w:val="001C6EB1"/>
    <w:rsid w:val="001D0C08"/>
    <w:rsid w:val="001D1263"/>
    <w:rsid w:val="001D2237"/>
    <w:rsid w:val="001D2965"/>
    <w:rsid w:val="001D2D30"/>
    <w:rsid w:val="001D3C2F"/>
    <w:rsid w:val="001D5F9B"/>
    <w:rsid w:val="001E1058"/>
    <w:rsid w:val="001E19BE"/>
    <w:rsid w:val="001E1F11"/>
    <w:rsid w:val="001E26B9"/>
    <w:rsid w:val="001E3012"/>
    <w:rsid w:val="001E3372"/>
    <w:rsid w:val="001E458F"/>
    <w:rsid w:val="001E66BD"/>
    <w:rsid w:val="001F1447"/>
    <w:rsid w:val="001F6147"/>
    <w:rsid w:val="001F79D0"/>
    <w:rsid w:val="00203179"/>
    <w:rsid w:val="00203269"/>
    <w:rsid w:val="002039E6"/>
    <w:rsid w:val="00203CD8"/>
    <w:rsid w:val="00204EAF"/>
    <w:rsid w:val="00206135"/>
    <w:rsid w:val="002140DD"/>
    <w:rsid w:val="0021687B"/>
    <w:rsid w:val="00216FFF"/>
    <w:rsid w:val="002178D7"/>
    <w:rsid w:val="002213AB"/>
    <w:rsid w:val="00221CC2"/>
    <w:rsid w:val="00222DC8"/>
    <w:rsid w:val="00225602"/>
    <w:rsid w:val="002257E3"/>
    <w:rsid w:val="0022610C"/>
    <w:rsid w:val="00227232"/>
    <w:rsid w:val="00227280"/>
    <w:rsid w:val="00227BCB"/>
    <w:rsid w:val="00227D71"/>
    <w:rsid w:val="00227FEF"/>
    <w:rsid w:val="0023318F"/>
    <w:rsid w:val="00234CC8"/>
    <w:rsid w:val="00235DA8"/>
    <w:rsid w:val="00236A76"/>
    <w:rsid w:val="00240148"/>
    <w:rsid w:val="00242580"/>
    <w:rsid w:val="00242EFD"/>
    <w:rsid w:val="002435D4"/>
    <w:rsid w:val="002449E3"/>
    <w:rsid w:val="00245122"/>
    <w:rsid w:val="002456DE"/>
    <w:rsid w:val="00246043"/>
    <w:rsid w:val="0024729C"/>
    <w:rsid w:val="00252551"/>
    <w:rsid w:val="00254685"/>
    <w:rsid w:val="002546F0"/>
    <w:rsid w:val="00255362"/>
    <w:rsid w:val="00261485"/>
    <w:rsid w:val="00264973"/>
    <w:rsid w:val="002649C5"/>
    <w:rsid w:val="00265739"/>
    <w:rsid w:val="0026618F"/>
    <w:rsid w:val="00266E78"/>
    <w:rsid w:val="002675EC"/>
    <w:rsid w:val="00270702"/>
    <w:rsid w:val="00271657"/>
    <w:rsid w:val="00272436"/>
    <w:rsid w:val="00272B44"/>
    <w:rsid w:val="002732A4"/>
    <w:rsid w:val="00273AE3"/>
    <w:rsid w:val="00275B4B"/>
    <w:rsid w:val="00276526"/>
    <w:rsid w:val="002807D8"/>
    <w:rsid w:val="00282DF6"/>
    <w:rsid w:val="002835F9"/>
    <w:rsid w:val="00284362"/>
    <w:rsid w:val="00285CF2"/>
    <w:rsid w:val="00286265"/>
    <w:rsid w:val="00287205"/>
    <w:rsid w:val="0028721A"/>
    <w:rsid w:val="0029039B"/>
    <w:rsid w:val="00290825"/>
    <w:rsid w:val="00293DE0"/>
    <w:rsid w:val="00295F76"/>
    <w:rsid w:val="00296514"/>
    <w:rsid w:val="00297278"/>
    <w:rsid w:val="002A18FC"/>
    <w:rsid w:val="002A1BC9"/>
    <w:rsid w:val="002A24A2"/>
    <w:rsid w:val="002A2F07"/>
    <w:rsid w:val="002A4941"/>
    <w:rsid w:val="002A4AC6"/>
    <w:rsid w:val="002A5343"/>
    <w:rsid w:val="002B0091"/>
    <w:rsid w:val="002B0550"/>
    <w:rsid w:val="002B06FC"/>
    <w:rsid w:val="002B0EA4"/>
    <w:rsid w:val="002B2144"/>
    <w:rsid w:val="002B44E8"/>
    <w:rsid w:val="002B4891"/>
    <w:rsid w:val="002B6FE9"/>
    <w:rsid w:val="002B77ED"/>
    <w:rsid w:val="002B79CD"/>
    <w:rsid w:val="002C0CD1"/>
    <w:rsid w:val="002C0DE5"/>
    <w:rsid w:val="002C10F3"/>
    <w:rsid w:val="002C28D5"/>
    <w:rsid w:val="002C2FF8"/>
    <w:rsid w:val="002C4AFA"/>
    <w:rsid w:val="002C5589"/>
    <w:rsid w:val="002C76E8"/>
    <w:rsid w:val="002C7B1B"/>
    <w:rsid w:val="002D0E63"/>
    <w:rsid w:val="002D1884"/>
    <w:rsid w:val="002D1984"/>
    <w:rsid w:val="002D1BCB"/>
    <w:rsid w:val="002D24DE"/>
    <w:rsid w:val="002D3273"/>
    <w:rsid w:val="002D3A08"/>
    <w:rsid w:val="002D3C2E"/>
    <w:rsid w:val="002D5618"/>
    <w:rsid w:val="002D56B9"/>
    <w:rsid w:val="002E1E8D"/>
    <w:rsid w:val="002E2F62"/>
    <w:rsid w:val="002E336C"/>
    <w:rsid w:val="002E3459"/>
    <w:rsid w:val="002E380B"/>
    <w:rsid w:val="002E447E"/>
    <w:rsid w:val="002E613E"/>
    <w:rsid w:val="002E6E80"/>
    <w:rsid w:val="002F028A"/>
    <w:rsid w:val="002F0703"/>
    <w:rsid w:val="002F0FE4"/>
    <w:rsid w:val="002F1337"/>
    <w:rsid w:val="002F1CA8"/>
    <w:rsid w:val="002F2D9E"/>
    <w:rsid w:val="002F47FF"/>
    <w:rsid w:val="002F5529"/>
    <w:rsid w:val="002F6CA4"/>
    <w:rsid w:val="0030012D"/>
    <w:rsid w:val="00300FF0"/>
    <w:rsid w:val="00304122"/>
    <w:rsid w:val="0030476C"/>
    <w:rsid w:val="00304CDC"/>
    <w:rsid w:val="00305394"/>
    <w:rsid w:val="0030624C"/>
    <w:rsid w:val="003079DA"/>
    <w:rsid w:val="00310043"/>
    <w:rsid w:val="003108A6"/>
    <w:rsid w:val="00311603"/>
    <w:rsid w:val="00312F46"/>
    <w:rsid w:val="00313BE8"/>
    <w:rsid w:val="00314884"/>
    <w:rsid w:val="00315320"/>
    <w:rsid w:val="00315535"/>
    <w:rsid w:val="00315EF7"/>
    <w:rsid w:val="003164E9"/>
    <w:rsid w:val="00317765"/>
    <w:rsid w:val="003215AA"/>
    <w:rsid w:val="00321666"/>
    <w:rsid w:val="00321B59"/>
    <w:rsid w:val="00322CA6"/>
    <w:rsid w:val="00324CE8"/>
    <w:rsid w:val="00325B9A"/>
    <w:rsid w:val="00326FA5"/>
    <w:rsid w:val="00327C52"/>
    <w:rsid w:val="003303FF"/>
    <w:rsid w:val="003305A4"/>
    <w:rsid w:val="00331D13"/>
    <w:rsid w:val="00332611"/>
    <w:rsid w:val="00332614"/>
    <w:rsid w:val="00332EAF"/>
    <w:rsid w:val="00333102"/>
    <w:rsid w:val="0033318E"/>
    <w:rsid w:val="00341CB0"/>
    <w:rsid w:val="00343009"/>
    <w:rsid w:val="00345CD9"/>
    <w:rsid w:val="00346832"/>
    <w:rsid w:val="003477CB"/>
    <w:rsid w:val="0035007E"/>
    <w:rsid w:val="00350226"/>
    <w:rsid w:val="003505F0"/>
    <w:rsid w:val="00351A91"/>
    <w:rsid w:val="00354F05"/>
    <w:rsid w:val="003553B1"/>
    <w:rsid w:val="00355767"/>
    <w:rsid w:val="003561FC"/>
    <w:rsid w:val="003578BA"/>
    <w:rsid w:val="00357AEC"/>
    <w:rsid w:val="00357D73"/>
    <w:rsid w:val="0036075A"/>
    <w:rsid w:val="003611D5"/>
    <w:rsid w:val="00361C76"/>
    <w:rsid w:val="00362697"/>
    <w:rsid w:val="00364E80"/>
    <w:rsid w:val="00364FD5"/>
    <w:rsid w:val="00365A41"/>
    <w:rsid w:val="0036726B"/>
    <w:rsid w:val="00367A0A"/>
    <w:rsid w:val="00367AAD"/>
    <w:rsid w:val="003720F6"/>
    <w:rsid w:val="003771B6"/>
    <w:rsid w:val="0038063C"/>
    <w:rsid w:val="0038139C"/>
    <w:rsid w:val="00381777"/>
    <w:rsid w:val="00381AC1"/>
    <w:rsid w:val="00382991"/>
    <w:rsid w:val="00383EC7"/>
    <w:rsid w:val="00385721"/>
    <w:rsid w:val="00385F5F"/>
    <w:rsid w:val="00385FFE"/>
    <w:rsid w:val="00390656"/>
    <w:rsid w:val="00392875"/>
    <w:rsid w:val="0039293D"/>
    <w:rsid w:val="00392AA4"/>
    <w:rsid w:val="00392B2A"/>
    <w:rsid w:val="0039335E"/>
    <w:rsid w:val="003940AB"/>
    <w:rsid w:val="003A04D5"/>
    <w:rsid w:val="003A292D"/>
    <w:rsid w:val="003A7B86"/>
    <w:rsid w:val="003A7F9C"/>
    <w:rsid w:val="003B3B07"/>
    <w:rsid w:val="003B5AE0"/>
    <w:rsid w:val="003C03B9"/>
    <w:rsid w:val="003C26B0"/>
    <w:rsid w:val="003C2C56"/>
    <w:rsid w:val="003C5205"/>
    <w:rsid w:val="003D0C7C"/>
    <w:rsid w:val="003D103D"/>
    <w:rsid w:val="003D3E46"/>
    <w:rsid w:val="003D519B"/>
    <w:rsid w:val="003D709E"/>
    <w:rsid w:val="003E103F"/>
    <w:rsid w:val="003E1101"/>
    <w:rsid w:val="003E4ACD"/>
    <w:rsid w:val="003E54D8"/>
    <w:rsid w:val="003E58B4"/>
    <w:rsid w:val="003E5CE8"/>
    <w:rsid w:val="003E6550"/>
    <w:rsid w:val="003E76F5"/>
    <w:rsid w:val="003E7CB9"/>
    <w:rsid w:val="003F078D"/>
    <w:rsid w:val="003F22C1"/>
    <w:rsid w:val="003F22CA"/>
    <w:rsid w:val="003F3D70"/>
    <w:rsid w:val="003F4E8E"/>
    <w:rsid w:val="003F581E"/>
    <w:rsid w:val="003F643A"/>
    <w:rsid w:val="003F64D6"/>
    <w:rsid w:val="003F6AD7"/>
    <w:rsid w:val="004008DB"/>
    <w:rsid w:val="004010AF"/>
    <w:rsid w:val="004021E6"/>
    <w:rsid w:val="004061DD"/>
    <w:rsid w:val="004101B9"/>
    <w:rsid w:val="004116D2"/>
    <w:rsid w:val="00412B12"/>
    <w:rsid w:val="00413707"/>
    <w:rsid w:val="00417421"/>
    <w:rsid w:val="0042507E"/>
    <w:rsid w:val="0042578C"/>
    <w:rsid w:val="00426288"/>
    <w:rsid w:val="00426923"/>
    <w:rsid w:val="004275EE"/>
    <w:rsid w:val="0042773A"/>
    <w:rsid w:val="00430589"/>
    <w:rsid w:val="00431691"/>
    <w:rsid w:val="004341F0"/>
    <w:rsid w:val="00434DE4"/>
    <w:rsid w:val="004411F3"/>
    <w:rsid w:val="00442648"/>
    <w:rsid w:val="00442FDC"/>
    <w:rsid w:val="0044351C"/>
    <w:rsid w:val="00443D37"/>
    <w:rsid w:val="00444D5A"/>
    <w:rsid w:val="00444E2E"/>
    <w:rsid w:val="00445DFD"/>
    <w:rsid w:val="004460C3"/>
    <w:rsid w:val="00446A03"/>
    <w:rsid w:val="00447210"/>
    <w:rsid w:val="00450339"/>
    <w:rsid w:val="004506F6"/>
    <w:rsid w:val="004520CA"/>
    <w:rsid w:val="00452E86"/>
    <w:rsid w:val="00453987"/>
    <w:rsid w:val="00453B0A"/>
    <w:rsid w:val="00456632"/>
    <w:rsid w:val="00460486"/>
    <w:rsid w:val="004606C2"/>
    <w:rsid w:val="0046336C"/>
    <w:rsid w:val="0046340E"/>
    <w:rsid w:val="0046470C"/>
    <w:rsid w:val="00464FA2"/>
    <w:rsid w:val="00466890"/>
    <w:rsid w:val="004670DF"/>
    <w:rsid w:val="00470AA7"/>
    <w:rsid w:val="00470DA1"/>
    <w:rsid w:val="00470F29"/>
    <w:rsid w:val="0047244A"/>
    <w:rsid w:val="0047249C"/>
    <w:rsid w:val="0047385A"/>
    <w:rsid w:val="00474B1B"/>
    <w:rsid w:val="004771CC"/>
    <w:rsid w:val="00481115"/>
    <w:rsid w:val="00481936"/>
    <w:rsid w:val="00481A43"/>
    <w:rsid w:val="004826C8"/>
    <w:rsid w:val="0048327B"/>
    <w:rsid w:val="00485911"/>
    <w:rsid w:val="00486D08"/>
    <w:rsid w:val="00487072"/>
    <w:rsid w:val="00487951"/>
    <w:rsid w:val="00487ED9"/>
    <w:rsid w:val="0049017E"/>
    <w:rsid w:val="00490782"/>
    <w:rsid w:val="00491895"/>
    <w:rsid w:val="00491A02"/>
    <w:rsid w:val="004928B4"/>
    <w:rsid w:val="004A3C34"/>
    <w:rsid w:val="004A56A2"/>
    <w:rsid w:val="004A6F7E"/>
    <w:rsid w:val="004A72C7"/>
    <w:rsid w:val="004B04E7"/>
    <w:rsid w:val="004B0B1D"/>
    <w:rsid w:val="004B1A06"/>
    <w:rsid w:val="004B3B8E"/>
    <w:rsid w:val="004C1DC6"/>
    <w:rsid w:val="004C22A8"/>
    <w:rsid w:val="004C23D7"/>
    <w:rsid w:val="004C3387"/>
    <w:rsid w:val="004C4640"/>
    <w:rsid w:val="004C5091"/>
    <w:rsid w:val="004C6982"/>
    <w:rsid w:val="004C6FEB"/>
    <w:rsid w:val="004C73A4"/>
    <w:rsid w:val="004D03F9"/>
    <w:rsid w:val="004D1C0C"/>
    <w:rsid w:val="004D2282"/>
    <w:rsid w:val="004D2F50"/>
    <w:rsid w:val="004D3055"/>
    <w:rsid w:val="004D3C84"/>
    <w:rsid w:val="004D5FDC"/>
    <w:rsid w:val="004D76A9"/>
    <w:rsid w:val="004D773C"/>
    <w:rsid w:val="004D779E"/>
    <w:rsid w:val="004D7D2B"/>
    <w:rsid w:val="004E0378"/>
    <w:rsid w:val="004E0E8A"/>
    <w:rsid w:val="004E1AC4"/>
    <w:rsid w:val="004E399E"/>
    <w:rsid w:val="004E697A"/>
    <w:rsid w:val="004E7741"/>
    <w:rsid w:val="004F0673"/>
    <w:rsid w:val="004F17ED"/>
    <w:rsid w:val="004F313D"/>
    <w:rsid w:val="004F43ED"/>
    <w:rsid w:val="004F4BF3"/>
    <w:rsid w:val="004F4D61"/>
    <w:rsid w:val="004F53CC"/>
    <w:rsid w:val="004F5668"/>
    <w:rsid w:val="004F71EC"/>
    <w:rsid w:val="004F7E43"/>
    <w:rsid w:val="004F7F96"/>
    <w:rsid w:val="00500AF7"/>
    <w:rsid w:val="005018AD"/>
    <w:rsid w:val="005023E0"/>
    <w:rsid w:val="005028C1"/>
    <w:rsid w:val="005033C9"/>
    <w:rsid w:val="00504AD1"/>
    <w:rsid w:val="00507A08"/>
    <w:rsid w:val="00510419"/>
    <w:rsid w:val="00511991"/>
    <w:rsid w:val="0051238C"/>
    <w:rsid w:val="005126A5"/>
    <w:rsid w:val="0051291A"/>
    <w:rsid w:val="00512C1A"/>
    <w:rsid w:val="00514055"/>
    <w:rsid w:val="005161D2"/>
    <w:rsid w:val="005162B3"/>
    <w:rsid w:val="00516528"/>
    <w:rsid w:val="00521A81"/>
    <w:rsid w:val="00523FD3"/>
    <w:rsid w:val="005247E9"/>
    <w:rsid w:val="00527C20"/>
    <w:rsid w:val="00531CC3"/>
    <w:rsid w:val="005347F5"/>
    <w:rsid w:val="00534E8B"/>
    <w:rsid w:val="00535339"/>
    <w:rsid w:val="00536985"/>
    <w:rsid w:val="00536AF9"/>
    <w:rsid w:val="00536E56"/>
    <w:rsid w:val="005371F4"/>
    <w:rsid w:val="00537406"/>
    <w:rsid w:val="0054095D"/>
    <w:rsid w:val="0054162F"/>
    <w:rsid w:val="005417AD"/>
    <w:rsid w:val="005436A5"/>
    <w:rsid w:val="005448CD"/>
    <w:rsid w:val="00545598"/>
    <w:rsid w:val="00546841"/>
    <w:rsid w:val="0055001B"/>
    <w:rsid w:val="00551813"/>
    <w:rsid w:val="005535BE"/>
    <w:rsid w:val="005578A0"/>
    <w:rsid w:val="00560139"/>
    <w:rsid w:val="00560BD1"/>
    <w:rsid w:val="005619BD"/>
    <w:rsid w:val="0056389A"/>
    <w:rsid w:val="005704DD"/>
    <w:rsid w:val="00570E25"/>
    <w:rsid w:val="005721BB"/>
    <w:rsid w:val="00573597"/>
    <w:rsid w:val="00574623"/>
    <w:rsid w:val="00574E71"/>
    <w:rsid w:val="00575098"/>
    <w:rsid w:val="0058086C"/>
    <w:rsid w:val="00580CE7"/>
    <w:rsid w:val="00583674"/>
    <w:rsid w:val="005851A4"/>
    <w:rsid w:val="00586BC9"/>
    <w:rsid w:val="0058796F"/>
    <w:rsid w:val="00590693"/>
    <w:rsid w:val="00591150"/>
    <w:rsid w:val="005917CF"/>
    <w:rsid w:val="00592783"/>
    <w:rsid w:val="00593CB3"/>
    <w:rsid w:val="005962A1"/>
    <w:rsid w:val="00596564"/>
    <w:rsid w:val="005965EB"/>
    <w:rsid w:val="00596DF7"/>
    <w:rsid w:val="005A2BC3"/>
    <w:rsid w:val="005A2EE1"/>
    <w:rsid w:val="005A3A60"/>
    <w:rsid w:val="005A3F63"/>
    <w:rsid w:val="005A5881"/>
    <w:rsid w:val="005A7135"/>
    <w:rsid w:val="005B01AF"/>
    <w:rsid w:val="005B03EC"/>
    <w:rsid w:val="005B081C"/>
    <w:rsid w:val="005B0F6A"/>
    <w:rsid w:val="005B15EB"/>
    <w:rsid w:val="005B1FFA"/>
    <w:rsid w:val="005B39D1"/>
    <w:rsid w:val="005B55E8"/>
    <w:rsid w:val="005B591E"/>
    <w:rsid w:val="005B6C9E"/>
    <w:rsid w:val="005C0AFE"/>
    <w:rsid w:val="005C11B9"/>
    <w:rsid w:val="005C1B7C"/>
    <w:rsid w:val="005C3FC3"/>
    <w:rsid w:val="005C424D"/>
    <w:rsid w:val="005C4330"/>
    <w:rsid w:val="005C4697"/>
    <w:rsid w:val="005C50AD"/>
    <w:rsid w:val="005C54C8"/>
    <w:rsid w:val="005D124A"/>
    <w:rsid w:val="005D183E"/>
    <w:rsid w:val="005D22FD"/>
    <w:rsid w:val="005D23AC"/>
    <w:rsid w:val="005D3B50"/>
    <w:rsid w:val="005D3F64"/>
    <w:rsid w:val="005D4527"/>
    <w:rsid w:val="005D6D8A"/>
    <w:rsid w:val="005E0D16"/>
    <w:rsid w:val="005E1D08"/>
    <w:rsid w:val="005E23AF"/>
    <w:rsid w:val="005E3951"/>
    <w:rsid w:val="005E3973"/>
    <w:rsid w:val="005E3E82"/>
    <w:rsid w:val="005E4B6C"/>
    <w:rsid w:val="005E4BF8"/>
    <w:rsid w:val="005E4C97"/>
    <w:rsid w:val="005E6405"/>
    <w:rsid w:val="005E64BA"/>
    <w:rsid w:val="005E6B72"/>
    <w:rsid w:val="005E6F93"/>
    <w:rsid w:val="005F14D0"/>
    <w:rsid w:val="005F21B4"/>
    <w:rsid w:val="005F2588"/>
    <w:rsid w:val="005F2C8F"/>
    <w:rsid w:val="005F3298"/>
    <w:rsid w:val="005F33E8"/>
    <w:rsid w:val="005F53B3"/>
    <w:rsid w:val="00603D2A"/>
    <w:rsid w:val="00604F8C"/>
    <w:rsid w:val="00605183"/>
    <w:rsid w:val="00607E3E"/>
    <w:rsid w:val="00610802"/>
    <w:rsid w:val="00612239"/>
    <w:rsid w:val="006124E9"/>
    <w:rsid w:val="00612724"/>
    <w:rsid w:val="00613104"/>
    <w:rsid w:val="00613FFB"/>
    <w:rsid w:val="006140A7"/>
    <w:rsid w:val="006145C3"/>
    <w:rsid w:val="006161FE"/>
    <w:rsid w:val="00617AD2"/>
    <w:rsid w:val="00621B00"/>
    <w:rsid w:val="00622200"/>
    <w:rsid w:val="006222C6"/>
    <w:rsid w:val="00622587"/>
    <w:rsid w:val="0062324F"/>
    <w:rsid w:val="00623BF2"/>
    <w:rsid w:val="00624D44"/>
    <w:rsid w:val="00626964"/>
    <w:rsid w:val="00626F85"/>
    <w:rsid w:val="0063000E"/>
    <w:rsid w:val="006304E3"/>
    <w:rsid w:val="00634C22"/>
    <w:rsid w:val="00635460"/>
    <w:rsid w:val="00636D6B"/>
    <w:rsid w:val="00637AA4"/>
    <w:rsid w:val="00637E48"/>
    <w:rsid w:val="006416F7"/>
    <w:rsid w:val="00641FEF"/>
    <w:rsid w:val="006424C2"/>
    <w:rsid w:val="00642CE6"/>
    <w:rsid w:val="00645726"/>
    <w:rsid w:val="006462A4"/>
    <w:rsid w:val="00646816"/>
    <w:rsid w:val="00646A27"/>
    <w:rsid w:val="00652023"/>
    <w:rsid w:val="00652485"/>
    <w:rsid w:val="00653FBB"/>
    <w:rsid w:val="00654070"/>
    <w:rsid w:val="00654246"/>
    <w:rsid w:val="0065479F"/>
    <w:rsid w:val="00654AC9"/>
    <w:rsid w:val="00654D5C"/>
    <w:rsid w:val="006555B3"/>
    <w:rsid w:val="00657C21"/>
    <w:rsid w:val="006601F0"/>
    <w:rsid w:val="0066099F"/>
    <w:rsid w:val="00661C76"/>
    <w:rsid w:val="00662A49"/>
    <w:rsid w:val="006631F7"/>
    <w:rsid w:val="00666215"/>
    <w:rsid w:val="00667C03"/>
    <w:rsid w:val="00670F63"/>
    <w:rsid w:val="00671906"/>
    <w:rsid w:val="00672F4B"/>
    <w:rsid w:val="00674078"/>
    <w:rsid w:val="00674349"/>
    <w:rsid w:val="00674883"/>
    <w:rsid w:val="00675ED6"/>
    <w:rsid w:val="00683007"/>
    <w:rsid w:val="00683A6A"/>
    <w:rsid w:val="00684629"/>
    <w:rsid w:val="00691793"/>
    <w:rsid w:val="00693EDB"/>
    <w:rsid w:val="00695418"/>
    <w:rsid w:val="006A0B9D"/>
    <w:rsid w:val="006A1384"/>
    <w:rsid w:val="006A19C8"/>
    <w:rsid w:val="006A5511"/>
    <w:rsid w:val="006A723B"/>
    <w:rsid w:val="006A72E8"/>
    <w:rsid w:val="006A741A"/>
    <w:rsid w:val="006A7BF1"/>
    <w:rsid w:val="006A7D11"/>
    <w:rsid w:val="006A7FB9"/>
    <w:rsid w:val="006B24E7"/>
    <w:rsid w:val="006B2885"/>
    <w:rsid w:val="006B2AAA"/>
    <w:rsid w:val="006B2C62"/>
    <w:rsid w:val="006B4A9D"/>
    <w:rsid w:val="006B4DFC"/>
    <w:rsid w:val="006B6C85"/>
    <w:rsid w:val="006B77D3"/>
    <w:rsid w:val="006C0025"/>
    <w:rsid w:val="006C022B"/>
    <w:rsid w:val="006C027F"/>
    <w:rsid w:val="006C0362"/>
    <w:rsid w:val="006C0AB3"/>
    <w:rsid w:val="006C19D7"/>
    <w:rsid w:val="006C288F"/>
    <w:rsid w:val="006C58AA"/>
    <w:rsid w:val="006C6381"/>
    <w:rsid w:val="006C6432"/>
    <w:rsid w:val="006D00EF"/>
    <w:rsid w:val="006D3DF8"/>
    <w:rsid w:val="006E019B"/>
    <w:rsid w:val="006E1A11"/>
    <w:rsid w:val="006E1E3C"/>
    <w:rsid w:val="006E3624"/>
    <w:rsid w:val="006E6079"/>
    <w:rsid w:val="006E6D8A"/>
    <w:rsid w:val="006E71D5"/>
    <w:rsid w:val="006E749E"/>
    <w:rsid w:val="006F0A34"/>
    <w:rsid w:val="006F4A7C"/>
    <w:rsid w:val="006F4F25"/>
    <w:rsid w:val="006F57C2"/>
    <w:rsid w:val="006F57D3"/>
    <w:rsid w:val="006F7126"/>
    <w:rsid w:val="006F7F3A"/>
    <w:rsid w:val="007001CF"/>
    <w:rsid w:val="00700A9A"/>
    <w:rsid w:val="00702C93"/>
    <w:rsid w:val="00705372"/>
    <w:rsid w:val="00706315"/>
    <w:rsid w:val="00707C11"/>
    <w:rsid w:val="00710412"/>
    <w:rsid w:val="00712612"/>
    <w:rsid w:val="00713BEB"/>
    <w:rsid w:val="00714B30"/>
    <w:rsid w:val="00716D1B"/>
    <w:rsid w:val="00716F2E"/>
    <w:rsid w:val="00720027"/>
    <w:rsid w:val="007200A5"/>
    <w:rsid w:val="007217D2"/>
    <w:rsid w:val="007225A5"/>
    <w:rsid w:val="007233C0"/>
    <w:rsid w:val="00723D29"/>
    <w:rsid w:val="00725A77"/>
    <w:rsid w:val="00726C6D"/>
    <w:rsid w:val="00731096"/>
    <w:rsid w:val="0073145A"/>
    <w:rsid w:val="0073451F"/>
    <w:rsid w:val="00734DB3"/>
    <w:rsid w:val="007355D2"/>
    <w:rsid w:val="00736239"/>
    <w:rsid w:val="00736580"/>
    <w:rsid w:val="00737DE2"/>
    <w:rsid w:val="00741286"/>
    <w:rsid w:val="00741BE2"/>
    <w:rsid w:val="007458D3"/>
    <w:rsid w:val="007504B6"/>
    <w:rsid w:val="0075238B"/>
    <w:rsid w:val="00752BC5"/>
    <w:rsid w:val="00753BF2"/>
    <w:rsid w:val="00756103"/>
    <w:rsid w:val="00757209"/>
    <w:rsid w:val="00760498"/>
    <w:rsid w:val="0076122F"/>
    <w:rsid w:val="007624A4"/>
    <w:rsid w:val="00762E78"/>
    <w:rsid w:val="00763BFC"/>
    <w:rsid w:val="007642ED"/>
    <w:rsid w:val="00764E47"/>
    <w:rsid w:val="00765391"/>
    <w:rsid w:val="00766240"/>
    <w:rsid w:val="00770124"/>
    <w:rsid w:val="00770C0F"/>
    <w:rsid w:val="00774445"/>
    <w:rsid w:val="0077588B"/>
    <w:rsid w:val="00776B07"/>
    <w:rsid w:val="00782C44"/>
    <w:rsid w:val="007836B6"/>
    <w:rsid w:val="0078413A"/>
    <w:rsid w:val="00784419"/>
    <w:rsid w:val="007845F5"/>
    <w:rsid w:val="00784C02"/>
    <w:rsid w:val="007854B7"/>
    <w:rsid w:val="007867A7"/>
    <w:rsid w:val="00787453"/>
    <w:rsid w:val="00787682"/>
    <w:rsid w:val="007918B9"/>
    <w:rsid w:val="00793EEB"/>
    <w:rsid w:val="00795E04"/>
    <w:rsid w:val="007A174D"/>
    <w:rsid w:val="007A1E5F"/>
    <w:rsid w:val="007A455E"/>
    <w:rsid w:val="007A59FF"/>
    <w:rsid w:val="007A5BCD"/>
    <w:rsid w:val="007B0478"/>
    <w:rsid w:val="007B1159"/>
    <w:rsid w:val="007B26F9"/>
    <w:rsid w:val="007B40E9"/>
    <w:rsid w:val="007B464F"/>
    <w:rsid w:val="007B531C"/>
    <w:rsid w:val="007B59A3"/>
    <w:rsid w:val="007B698E"/>
    <w:rsid w:val="007C2C98"/>
    <w:rsid w:val="007C5114"/>
    <w:rsid w:val="007C614C"/>
    <w:rsid w:val="007C6429"/>
    <w:rsid w:val="007C7545"/>
    <w:rsid w:val="007D061C"/>
    <w:rsid w:val="007D3032"/>
    <w:rsid w:val="007D517A"/>
    <w:rsid w:val="007D559A"/>
    <w:rsid w:val="007D6F9C"/>
    <w:rsid w:val="007E0295"/>
    <w:rsid w:val="007E213E"/>
    <w:rsid w:val="007E2770"/>
    <w:rsid w:val="007E2F38"/>
    <w:rsid w:val="007E3786"/>
    <w:rsid w:val="007E3AE6"/>
    <w:rsid w:val="007E3ECA"/>
    <w:rsid w:val="007E425F"/>
    <w:rsid w:val="007E6280"/>
    <w:rsid w:val="007F0C99"/>
    <w:rsid w:val="007F22AA"/>
    <w:rsid w:val="007F354E"/>
    <w:rsid w:val="007F7727"/>
    <w:rsid w:val="00800EF5"/>
    <w:rsid w:val="00801FF0"/>
    <w:rsid w:val="0080244F"/>
    <w:rsid w:val="00803472"/>
    <w:rsid w:val="008046FB"/>
    <w:rsid w:val="008056F1"/>
    <w:rsid w:val="00806317"/>
    <w:rsid w:val="00810243"/>
    <w:rsid w:val="008112CB"/>
    <w:rsid w:val="0081333E"/>
    <w:rsid w:val="0081475E"/>
    <w:rsid w:val="008156A4"/>
    <w:rsid w:val="00815FDD"/>
    <w:rsid w:val="0081639B"/>
    <w:rsid w:val="0082248C"/>
    <w:rsid w:val="008230C9"/>
    <w:rsid w:val="008302C2"/>
    <w:rsid w:val="008309C7"/>
    <w:rsid w:val="00830E46"/>
    <w:rsid w:val="0083170F"/>
    <w:rsid w:val="00833D7E"/>
    <w:rsid w:val="008347F3"/>
    <w:rsid w:val="008407E2"/>
    <w:rsid w:val="008429A3"/>
    <w:rsid w:val="00843EA7"/>
    <w:rsid w:val="0084438D"/>
    <w:rsid w:val="0084592D"/>
    <w:rsid w:val="00850357"/>
    <w:rsid w:val="0085094D"/>
    <w:rsid w:val="008510D3"/>
    <w:rsid w:val="00852414"/>
    <w:rsid w:val="00853172"/>
    <w:rsid w:val="008535A5"/>
    <w:rsid w:val="0085365C"/>
    <w:rsid w:val="00855376"/>
    <w:rsid w:val="00855B2B"/>
    <w:rsid w:val="008562EB"/>
    <w:rsid w:val="008604D4"/>
    <w:rsid w:val="00860E5E"/>
    <w:rsid w:val="008622E5"/>
    <w:rsid w:val="00862C76"/>
    <w:rsid w:val="008634CE"/>
    <w:rsid w:val="00866DC7"/>
    <w:rsid w:val="00872B3F"/>
    <w:rsid w:val="0087394C"/>
    <w:rsid w:val="008757AF"/>
    <w:rsid w:val="008777B9"/>
    <w:rsid w:val="00883AE7"/>
    <w:rsid w:val="008861A3"/>
    <w:rsid w:val="0088757F"/>
    <w:rsid w:val="008900A4"/>
    <w:rsid w:val="00894606"/>
    <w:rsid w:val="00894FF9"/>
    <w:rsid w:val="00896451"/>
    <w:rsid w:val="00896ACF"/>
    <w:rsid w:val="008A1F66"/>
    <w:rsid w:val="008A2F2A"/>
    <w:rsid w:val="008A4618"/>
    <w:rsid w:val="008A562C"/>
    <w:rsid w:val="008A5C00"/>
    <w:rsid w:val="008A651A"/>
    <w:rsid w:val="008B45EC"/>
    <w:rsid w:val="008B5DA5"/>
    <w:rsid w:val="008B7857"/>
    <w:rsid w:val="008D4C25"/>
    <w:rsid w:val="008D68ED"/>
    <w:rsid w:val="008D691C"/>
    <w:rsid w:val="008D6ABB"/>
    <w:rsid w:val="008D6C06"/>
    <w:rsid w:val="008D71F3"/>
    <w:rsid w:val="008D71F9"/>
    <w:rsid w:val="008E1660"/>
    <w:rsid w:val="008E1991"/>
    <w:rsid w:val="008E58D4"/>
    <w:rsid w:val="008E657D"/>
    <w:rsid w:val="008F0DA8"/>
    <w:rsid w:val="008F3E51"/>
    <w:rsid w:val="008F47F1"/>
    <w:rsid w:val="008F6B1A"/>
    <w:rsid w:val="009005B2"/>
    <w:rsid w:val="00900E93"/>
    <w:rsid w:val="00900FE1"/>
    <w:rsid w:val="009014E5"/>
    <w:rsid w:val="009015B8"/>
    <w:rsid w:val="00902155"/>
    <w:rsid w:val="00902767"/>
    <w:rsid w:val="00910204"/>
    <w:rsid w:val="009105EA"/>
    <w:rsid w:val="00914CDE"/>
    <w:rsid w:val="00920366"/>
    <w:rsid w:val="00920660"/>
    <w:rsid w:val="00921775"/>
    <w:rsid w:val="00921CF2"/>
    <w:rsid w:val="00922AE4"/>
    <w:rsid w:val="00923FF9"/>
    <w:rsid w:val="009249B7"/>
    <w:rsid w:val="009262B6"/>
    <w:rsid w:val="00926447"/>
    <w:rsid w:val="00926A08"/>
    <w:rsid w:val="00927CB8"/>
    <w:rsid w:val="009307D6"/>
    <w:rsid w:val="00931289"/>
    <w:rsid w:val="00932145"/>
    <w:rsid w:val="009330D8"/>
    <w:rsid w:val="009332B0"/>
    <w:rsid w:val="009335DF"/>
    <w:rsid w:val="00933FCC"/>
    <w:rsid w:val="00934760"/>
    <w:rsid w:val="00936001"/>
    <w:rsid w:val="00936D45"/>
    <w:rsid w:val="009404EE"/>
    <w:rsid w:val="0094109E"/>
    <w:rsid w:val="009452EE"/>
    <w:rsid w:val="00951C12"/>
    <w:rsid w:val="00953288"/>
    <w:rsid w:val="00953FD4"/>
    <w:rsid w:val="0095447E"/>
    <w:rsid w:val="00955592"/>
    <w:rsid w:val="00960478"/>
    <w:rsid w:val="00961269"/>
    <w:rsid w:val="00962989"/>
    <w:rsid w:val="00962B59"/>
    <w:rsid w:val="009638D7"/>
    <w:rsid w:val="00965CC6"/>
    <w:rsid w:val="00966ECE"/>
    <w:rsid w:val="009679BF"/>
    <w:rsid w:val="00971F92"/>
    <w:rsid w:val="00972010"/>
    <w:rsid w:val="00973723"/>
    <w:rsid w:val="00973D0C"/>
    <w:rsid w:val="009771CE"/>
    <w:rsid w:val="009803F8"/>
    <w:rsid w:val="00981FEB"/>
    <w:rsid w:val="0098212B"/>
    <w:rsid w:val="0098250B"/>
    <w:rsid w:val="00982801"/>
    <w:rsid w:val="00983CBF"/>
    <w:rsid w:val="009852DF"/>
    <w:rsid w:val="00985F20"/>
    <w:rsid w:val="009861B3"/>
    <w:rsid w:val="00986AED"/>
    <w:rsid w:val="00986C56"/>
    <w:rsid w:val="009872CD"/>
    <w:rsid w:val="009873F3"/>
    <w:rsid w:val="00990064"/>
    <w:rsid w:val="00990F31"/>
    <w:rsid w:val="00992BD0"/>
    <w:rsid w:val="009936AC"/>
    <w:rsid w:val="009941BF"/>
    <w:rsid w:val="00997BAE"/>
    <w:rsid w:val="009A08B7"/>
    <w:rsid w:val="009A1E42"/>
    <w:rsid w:val="009A3A48"/>
    <w:rsid w:val="009A6621"/>
    <w:rsid w:val="009A6E08"/>
    <w:rsid w:val="009B0BED"/>
    <w:rsid w:val="009B1875"/>
    <w:rsid w:val="009B2E39"/>
    <w:rsid w:val="009B3240"/>
    <w:rsid w:val="009B3AE4"/>
    <w:rsid w:val="009B541D"/>
    <w:rsid w:val="009B6A46"/>
    <w:rsid w:val="009C0A99"/>
    <w:rsid w:val="009C1AFA"/>
    <w:rsid w:val="009C1B8E"/>
    <w:rsid w:val="009C1D9F"/>
    <w:rsid w:val="009C2F4B"/>
    <w:rsid w:val="009C4F63"/>
    <w:rsid w:val="009C6FF7"/>
    <w:rsid w:val="009D017A"/>
    <w:rsid w:val="009D1852"/>
    <w:rsid w:val="009D6788"/>
    <w:rsid w:val="009D7CE3"/>
    <w:rsid w:val="009E0CA9"/>
    <w:rsid w:val="009E3927"/>
    <w:rsid w:val="009E42B3"/>
    <w:rsid w:val="009E43CC"/>
    <w:rsid w:val="009E5AA5"/>
    <w:rsid w:val="009E7279"/>
    <w:rsid w:val="009E7546"/>
    <w:rsid w:val="009E7E7D"/>
    <w:rsid w:val="009F016D"/>
    <w:rsid w:val="009F0580"/>
    <w:rsid w:val="009F0824"/>
    <w:rsid w:val="009F3FE9"/>
    <w:rsid w:val="009F73B7"/>
    <w:rsid w:val="009F7D42"/>
    <w:rsid w:val="00A033E1"/>
    <w:rsid w:val="00A03983"/>
    <w:rsid w:val="00A03D21"/>
    <w:rsid w:val="00A04245"/>
    <w:rsid w:val="00A06369"/>
    <w:rsid w:val="00A06C05"/>
    <w:rsid w:val="00A11570"/>
    <w:rsid w:val="00A1220E"/>
    <w:rsid w:val="00A1281A"/>
    <w:rsid w:val="00A141DE"/>
    <w:rsid w:val="00A1422D"/>
    <w:rsid w:val="00A15F75"/>
    <w:rsid w:val="00A16734"/>
    <w:rsid w:val="00A16CA0"/>
    <w:rsid w:val="00A16F97"/>
    <w:rsid w:val="00A20A18"/>
    <w:rsid w:val="00A218D9"/>
    <w:rsid w:val="00A21A2C"/>
    <w:rsid w:val="00A22A39"/>
    <w:rsid w:val="00A25B88"/>
    <w:rsid w:val="00A3195D"/>
    <w:rsid w:val="00A31E02"/>
    <w:rsid w:val="00A32255"/>
    <w:rsid w:val="00A32768"/>
    <w:rsid w:val="00A32E89"/>
    <w:rsid w:val="00A330D7"/>
    <w:rsid w:val="00A3324C"/>
    <w:rsid w:val="00A33527"/>
    <w:rsid w:val="00A34335"/>
    <w:rsid w:val="00A35EA0"/>
    <w:rsid w:val="00A3658C"/>
    <w:rsid w:val="00A41743"/>
    <w:rsid w:val="00A42230"/>
    <w:rsid w:val="00A42AA6"/>
    <w:rsid w:val="00A43FD0"/>
    <w:rsid w:val="00A450AA"/>
    <w:rsid w:val="00A454DB"/>
    <w:rsid w:val="00A456CC"/>
    <w:rsid w:val="00A464DE"/>
    <w:rsid w:val="00A46526"/>
    <w:rsid w:val="00A4717A"/>
    <w:rsid w:val="00A47A86"/>
    <w:rsid w:val="00A510FB"/>
    <w:rsid w:val="00A515F8"/>
    <w:rsid w:val="00A530EF"/>
    <w:rsid w:val="00A538D9"/>
    <w:rsid w:val="00A543DF"/>
    <w:rsid w:val="00A54A48"/>
    <w:rsid w:val="00A60485"/>
    <w:rsid w:val="00A617CB"/>
    <w:rsid w:val="00A628FF"/>
    <w:rsid w:val="00A62A7C"/>
    <w:rsid w:val="00A636B0"/>
    <w:rsid w:val="00A64EF4"/>
    <w:rsid w:val="00A660F0"/>
    <w:rsid w:val="00A66216"/>
    <w:rsid w:val="00A66DA1"/>
    <w:rsid w:val="00A66DB4"/>
    <w:rsid w:val="00A70A37"/>
    <w:rsid w:val="00A715ED"/>
    <w:rsid w:val="00A738DD"/>
    <w:rsid w:val="00A73E76"/>
    <w:rsid w:val="00A75E19"/>
    <w:rsid w:val="00A76394"/>
    <w:rsid w:val="00A77FAE"/>
    <w:rsid w:val="00A80B31"/>
    <w:rsid w:val="00A81842"/>
    <w:rsid w:val="00A81A97"/>
    <w:rsid w:val="00A81E37"/>
    <w:rsid w:val="00A8209F"/>
    <w:rsid w:val="00A8434B"/>
    <w:rsid w:val="00A87928"/>
    <w:rsid w:val="00A9148A"/>
    <w:rsid w:val="00A92D1E"/>
    <w:rsid w:val="00A92E05"/>
    <w:rsid w:val="00A9533C"/>
    <w:rsid w:val="00A95ADC"/>
    <w:rsid w:val="00A979C2"/>
    <w:rsid w:val="00AA0FFA"/>
    <w:rsid w:val="00AA1AF4"/>
    <w:rsid w:val="00AA3DC2"/>
    <w:rsid w:val="00AA3DF7"/>
    <w:rsid w:val="00AA42BA"/>
    <w:rsid w:val="00AA58EC"/>
    <w:rsid w:val="00AA5CDD"/>
    <w:rsid w:val="00AA6B41"/>
    <w:rsid w:val="00AA7307"/>
    <w:rsid w:val="00AA7F30"/>
    <w:rsid w:val="00AB0353"/>
    <w:rsid w:val="00AB1BCA"/>
    <w:rsid w:val="00AB4799"/>
    <w:rsid w:val="00AB4A04"/>
    <w:rsid w:val="00AB4F66"/>
    <w:rsid w:val="00AB5283"/>
    <w:rsid w:val="00AB52BC"/>
    <w:rsid w:val="00AB53D6"/>
    <w:rsid w:val="00AB5C76"/>
    <w:rsid w:val="00AB608E"/>
    <w:rsid w:val="00AB66C7"/>
    <w:rsid w:val="00AB6CA0"/>
    <w:rsid w:val="00AC4A1D"/>
    <w:rsid w:val="00AC515D"/>
    <w:rsid w:val="00AD0229"/>
    <w:rsid w:val="00AD0E56"/>
    <w:rsid w:val="00AD32FD"/>
    <w:rsid w:val="00AD4407"/>
    <w:rsid w:val="00AD5002"/>
    <w:rsid w:val="00AD5142"/>
    <w:rsid w:val="00AD5667"/>
    <w:rsid w:val="00AE202A"/>
    <w:rsid w:val="00AF0153"/>
    <w:rsid w:val="00AF0999"/>
    <w:rsid w:val="00AF2F8A"/>
    <w:rsid w:val="00AF3C4B"/>
    <w:rsid w:val="00AF4E3E"/>
    <w:rsid w:val="00AF74D6"/>
    <w:rsid w:val="00B04945"/>
    <w:rsid w:val="00B04979"/>
    <w:rsid w:val="00B04A3F"/>
    <w:rsid w:val="00B060E6"/>
    <w:rsid w:val="00B07739"/>
    <w:rsid w:val="00B1003A"/>
    <w:rsid w:val="00B103DF"/>
    <w:rsid w:val="00B1108C"/>
    <w:rsid w:val="00B11421"/>
    <w:rsid w:val="00B115C3"/>
    <w:rsid w:val="00B1416D"/>
    <w:rsid w:val="00B15D44"/>
    <w:rsid w:val="00B218C6"/>
    <w:rsid w:val="00B22A1F"/>
    <w:rsid w:val="00B26886"/>
    <w:rsid w:val="00B3045E"/>
    <w:rsid w:val="00B30C62"/>
    <w:rsid w:val="00B3150B"/>
    <w:rsid w:val="00B33155"/>
    <w:rsid w:val="00B337C2"/>
    <w:rsid w:val="00B33D20"/>
    <w:rsid w:val="00B347F3"/>
    <w:rsid w:val="00B35B3E"/>
    <w:rsid w:val="00B36749"/>
    <w:rsid w:val="00B370A6"/>
    <w:rsid w:val="00B40A0A"/>
    <w:rsid w:val="00B41426"/>
    <w:rsid w:val="00B419DB"/>
    <w:rsid w:val="00B4278F"/>
    <w:rsid w:val="00B435D3"/>
    <w:rsid w:val="00B43AE8"/>
    <w:rsid w:val="00B4472D"/>
    <w:rsid w:val="00B44B23"/>
    <w:rsid w:val="00B5277A"/>
    <w:rsid w:val="00B529D0"/>
    <w:rsid w:val="00B53480"/>
    <w:rsid w:val="00B5519A"/>
    <w:rsid w:val="00B57402"/>
    <w:rsid w:val="00B57837"/>
    <w:rsid w:val="00B57ECC"/>
    <w:rsid w:val="00B61DF1"/>
    <w:rsid w:val="00B62292"/>
    <w:rsid w:val="00B623AD"/>
    <w:rsid w:val="00B62E59"/>
    <w:rsid w:val="00B63A5E"/>
    <w:rsid w:val="00B63C5B"/>
    <w:rsid w:val="00B64652"/>
    <w:rsid w:val="00B67100"/>
    <w:rsid w:val="00B67F79"/>
    <w:rsid w:val="00B7088A"/>
    <w:rsid w:val="00B719C4"/>
    <w:rsid w:val="00B71F14"/>
    <w:rsid w:val="00B752CD"/>
    <w:rsid w:val="00B8031A"/>
    <w:rsid w:val="00B81020"/>
    <w:rsid w:val="00B81C05"/>
    <w:rsid w:val="00B825EF"/>
    <w:rsid w:val="00B84926"/>
    <w:rsid w:val="00B86F4B"/>
    <w:rsid w:val="00B9057C"/>
    <w:rsid w:val="00B91051"/>
    <w:rsid w:val="00B91213"/>
    <w:rsid w:val="00B9143A"/>
    <w:rsid w:val="00B95C7A"/>
    <w:rsid w:val="00B96F21"/>
    <w:rsid w:val="00B9768F"/>
    <w:rsid w:val="00B97C0E"/>
    <w:rsid w:val="00B97D2A"/>
    <w:rsid w:val="00B97F12"/>
    <w:rsid w:val="00BA0E69"/>
    <w:rsid w:val="00BA34C1"/>
    <w:rsid w:val="00BA35DC"/>
    <w:rsid w:val="00BA43D4"/>
    <w:rsid w:val="00BA64BF"/>
    <w:rsid w:val="00BA746C"/>
    <w:rsid w:val="00BA7E32"/>
    <w:rsid w:val="00BB1618"/>
    <w:rsid w:val="00BB1D02"/>
    <w:rsid w:val="00BB27CE"/>
    <w:rsid w:val="00BB31E2"/>
    <w:rsid w:val="00BB399F"/>
    <w:rsid w:val="00BB4811"/>
    <w:rsid w:val="00BB58A0"/>
    <w:rsid w:val="00BB65A0"/>
    <w:rsid w:val="00BB68AE"/>
    <w:rsid w:val="00BB6F59"/>
    <w:rsid w:val="00BB732D"/>
    <w:rsid w:val="00BC0859"/>
    <w:rsid w:val="00BC1393"/>
    <w:rsid w:val="00BC4020"/>
    <w:rsid w:val="00BC4027"/>
    <w:rsid w:val="00BC612D"/>
    <w:rsid w:val="00BC7621"/>
    <w:rsid w:val="00BC7D1B"/>
    <w:rsid w:val="00BD2CDC"/>
    <w:rsid w:val="00BD3AF1"/>
    <w:rsid w:val="00BD471D"/>
    <w:rsid w:val="00BD48A7"/>
    <w:rsid w:val="00BD6545"/>
    <w:rsid w:val="00BD70E0"/>
    <w:rsid w:val="00BE06FC"/>
    <w:rsid w:val="00BE0A56"/>
    <w:rsid w:val="00BE12D7"/>
    <w:rsid w:val="00BE355B"/>
    <w:rsid w:val="00BE45D4"/>
    <w:rsid w:val="00BE6F7F"/>
    <w:rsid w:val="00BF1DE6"/>
    <w:rsid w:val="00BF29FA"/>
    <w:rsid w:val="00BF4ABD"/>
    <w:rsid w:val="00BF61F4"/>
    <w:rsid w:val="00BF6EFF"/>
    <w:rsid w:val="00C01520"/>
    <w:rsid w:val="00C0157E"/>
    <w:rsid w:val="00C015C1"/>
    <w:rsid w:val="00C03244"/>
    <w:rsid w:val="00C03379"/>
    <w:rsid w:val="00C05074"/>
    <w:rsid w:val="00C05A82"/>
    <w:rsid w:val="00C06421"/>
    <w:rsid w:val="00C116DF"/>
    <w:rsid w:val="00C11890"/>
    <w:rsid w:val="00C13094"/>
    <w:rsid w:val="00C144A8"/>
    <w:rsid w:val="00C1466D"/>
    <w:rsid w:val="00C14676"/>
    <w:rsid w:val="00C1702F"/>
    <w:rsid w:val="00C178EC"/>
    <w:rsid w:val="00C215F8"/>
    <w:rsid w:val="00C23B34"/>
    <w:rsid w:val="00C23DBA"/>
    <w:rsid w:val="00C25864"/>
    <w:rsid w:val="00C26476"/>
    <w:rsid w:val="00C3166F"/>
    <w:rsid w:val="00C31782"/>
    <w:rsid w:val="00C31B03"/>
    <w:rsid w:val="00C342CA"/>
    <w:rsid w:val="00C34E97"/>
    <w:rsid w:val="00C363F4"/>
    <w:rsid w:val="00C37213"/>
    <w:rsid w:val="00C37938"/>
    <w:rsid w:val="00C379AD"/>
    <w:rsid w:val="00C37FE9"/>
    <w:rsid w:val="00C41775"/>
    <w:rsid w:val="00C41858"/>
    <w:rsid w:val="00C46239"/>
    <w:rsid w:val="00C50A55"/>
    <w:rsid w:val="00C51EDB"/>
    <w:rsid w:val="00C5251B"/>
    <w:rsid w:val="00C527A1"/>
    <w:rsid w:val="00C52C4B"/>
    <w:rsid w:val="00C53199"/>
    <w:rsid w:val="00C544F9"/>
    <w:rsid w:val="00C56DFE"/>
    <w:rsid w:val="00C57C23"/>
    <w:rsid w:val="00C63581"/>
    <w:rsid w:val="00C635C8"/>
    <w:rsid w:val="00C6502C"/>
    <w:rsid w:val="00C66839"/>
    <w:rsid w:val="00C675E1"/>
    <w:rsid w:val="00C67EF2"/>
    <w:rsid w:val="00C703D7"/>
    <w:rsid w:val="00C70A70"/>
    <w:rsid w:val="00C715E4"/>
    <w:rsid w:val="00C71812"/>
    <w:rsid w:val="00C71EF4"/>
    <w:rsid w:val="00C7246B"/>
    <w:rsid w:val="00C746EC"/>
    <w:rsid w:val="00C7518C"/>
    <w:rsid w:val="00C75A95"/>
    <w:rsid w:val="00C76DD0"/>
    <w:rsid w:val="00C778B8"/>
    <w:rsid w:val="00C77AC3"/>
    <w:rsid w:val="00C77E19"/>
    <w:rsid w:val="00C8233E"/>
    <w:rsid w:val="00C859AB"/>
    <w:rsid w:val="00C859D9"/>
    <w:rsid w:val="00C86C76"/>
    <w:rsid w:val="00C87E94"/>
    <w:rsid w:val="00C90B71"/>
    <w:rsid w:val="00C928B0"/>
    <w:rsid w:val="00C93544"/>
    <w:rsid w:val="00C938A7"/>
    <w:rsid w:val="00C944D5"/>
    <w:rsid w:val="00C95F7B"/>
    <w:rsid w:val="00C966FB"/>
    <w:rsid w:val="00CA1821"/>
    <w:rsid w:val="00CA3200"/>
    <w:rsid w:val="00CA6860"/>
    <w:rsid w:val="00CB0AA3"/>
    <w:rsid w:val="00CB2C0F"/>
    <w:rsid w:val="00CB2FBD"/>
    <w:rsid w:val="00CB3C89"/>
    <w:rsid w:val="00CB3E9F"/>
    <w:rsid w:val="00CB4261"/>
    <w:rsid w:val="00CB47F9"/>
    <w:rsid w:val="00CB49B7"/>
    <w:rsid w:val="00CB6DCA"/>
    <w:rsid w:val="00CB7C82"/>
    <w:rsid w:val="00CC1BF4"/>
    <w:rsid w:val="00CC3E6F"/>
    <w:rsid w:val="00CC4E59"/>
    <w:rsid w:val="00CC73FC"/>
    <w:rsid w:val="00CC78FF"/>
    <w:rsid w:val="00CC7CBC"/>
    <w:rsid w:val="00CD099B"/>
    <w:rsid w:val="00CD1AC3"/>
    <w:rsid w:val="00CD1D01"/>
    <w:rsid w:val="00CD2B74"/>
    <w:rsid w:val="00CD2C85"/>
    <w:rsid w:val="00CD6324"/>
    <w:rsid w:val="00CE1F57"/>
    <w:rsid w:val="00CE245F"/>
    <w:rsid w:val="00CE66BE"/>
    <w:rsid w:val="00CE7D40"/>
    <w:rsid w:val="00CF10FD"/>
    <w:rsid w:val="00CF1246"/>
    <w:rsid w:val="00CF1D0B"/>
    <w:rsid w:val="00CF230F"/>
    <w:rsid w:val="00CF3012"/>
    <w:rsid w:val="00CF3F40"/>
    <w:rsid w:val="00CF471C"/>
    <w:rsid w:val="00CF49FB"/>
    <w:rsid w:val="00CF525F"/>
    <w:rsid w:val="00CF7D86"/>
    <w:rsid w:val="00D00A85"/>
    <w:rsid w:val="00D00EB2"/>
    <w:rsid w:val="00D00F07"/>
    <w:rsid w:val="00D01931"/>
    <w:rsid w:val="00D02312"/>
    <w:rsid w:val="00D02520"/>
    <w:rsid w:val="00D03B3F"/>
    <w:rsid w:val="00D03F99"/>
    <w:rsid w:val="00D050FA"/>
    <w:rsid w:val="00D0570B"/>
    <w:rsid w:val="00D057A4"/>
    <w:rsid w:val="00D05A34"/>
    <w:rsid w:val="00D07500"/>
    <w:rsid w:val="00D15377"/>
    <w:rsid w:val="00D15699"/>
    <w:rsid w:val="00D2063C"/>
    <w:rsid w:val="00D21656"/>
    <w:rsid w:val="00D21A05"/>
    <w:rsid w:val="00D22C54"/>
    <w:rsid w:val="00D24919"/>
    <w:rsid w:val="00D255E5"/>
    <w:rsid w:val="00D25A55"/>
    <w:rsid w:val="00D26E55"/>
    <w:rsid w:val="00D27852"/>
    <w:rsid w:val="00D27B64"/>
    <w:rsid w:val="00D3226C"/>
    <w:rsid w:val="00D3295F"/>
    <w:rsid w:val="00D336DF"/>
    <w:rsid w:val="00D36907"/>
    <w:rsid w:val="00D40246"/>
    <w:rsid w:val="00D40BCA"/>
    <w:rsid w:val="00D40E57"/>
    <w:rsid w:val="00D435B8"/>
    <w:rsid w:val="00D46888"/>
    <w:rsid w:val="00D47265"/>
    <w:rsid w:val="00D47A55"/>
    <w:rsid w:val="00D47FEB"/>
    <w:rsid w:val="00D50609"/>
    <w:rsid w:val="00D50A19"/>
    <w:rsid w:val="00D5130F"/>
    <w:rsid w:val="00D51463"/>
    <w:rsid w:val="00D51C0C"/>
    <w:rsid w:val="00D5355D"/>
    <w:rsid w:val="00D549F9"/>
    <w:rsid w:val="00D55ECC"/>
    <w:rsid w:val="00D562D1"/>
    <w:rsid w:val="00D56BC9"/>
    <w:rsid w:val="00D62501"/>
    <w:rsid w:val="00D636C5"/>
    <w:rsid w:val="00D6452B"/>
    <w:rsid w:val="00D6486C"/>
    <w:rsid w:val="00D64CD2"/>
    <w:rsid w:val="00D65370"/>
    <w:rsid w:val="00D66D02"/>
    <w:rsid w:val="00D675BC"/>
    <w:rsid w:val="00D70960"/>
    <w:rsid w:val="00D718D2"/>
    <w:rsid w:val="00D71B12"/>
    <w:rsid w:val="00D72F4F"/>
    <w:rsid w:val="00D76D62"/>
    <w:rsid w:val="00D773C1"/>
    <w:rsid w:val="00D81E41"/>
    <w:rsid w:val="00D81F0D"/>
    <w:rsid w:val="00D82569"/>
    <w:rsid w:val="00D82BF6"/>
    <w:rsid w:val="00D85BEB"/>
    <w:rsid w:val="00D921A7"/>
    <w:rsid w:val="00D937A3"/>
    <w:rsid w:val="00D94FAC"/>
    <w:rsid w:val="00DA1E85"/>
    <w:rsid w:val="00DA2CD3"/>
    <w:rsid w:val="00DA3F21"/>
    <w:rsid w:val="00DA3FF1"/>
    <w:rsid w:val="00DA6822"/>
    <w:rsid w:val="00DA6970"/>
    <w:rsid w:val="00DA799C"/>
    <w:rsid w:val="00DA7F53"/>
    <w:rsid w:val="00DB0790"/>
    <w:rsid w:val="00DB1E25"/>
    <w:rsid w:val="00DB1F48"/>
    <w:rsid w:val="00DB2ECD"/>
    <w:rsid w:val="00DC1D03"/>
    <w:rsid w:val="00DC2F7B"/>
    <w:rsid w:val="00DC3156"/>
    <w:rsid w:val="00DC5B0E"/>
    <w:rsid w:val="00DC64CE"/>
    <w:rsid w:val="00DC6D20"/>
    <w:rsid w:val="00DC6E85"/>
    <w:rsid w:val="00DC74C5"/>
    <w:rsid w:val="00DC76E4"/>
    <w:rsid w:val="00DD058E"/>
    <w:rsid w:val="00DD6045"/>
    <w:rsid w:val="00DD7233"/>
    <w:rsid w:val="00DD7386"/>
    <w:rsid w:val="00DE16B8"/>
    <w:rsid w:val="00DE3F21"/>
    <w:rsid w:val="00DE4549"/>
    <w:rsid w:val="00DE5B5B"/>
    <w:rsid w:val="00DE5E4F"/>
    <w:rsid w:val="00DF073F"/>
    <w:rsid w:val="00DF164A"/>
    <w:rsid w:val="00DF335F"/>
    <w:rsid w:val="00DF440E"/>
    <w:rsid w:val="00DF457D"/>
    <w:rsid w:val="00DF54DE"/>
    <w:rsid w:val="00DF55E1"/>
    <w:rsid w:val="00DF5EEC"/>
    <w:rsid w:val="00E008E3"/>
    <w:rsid w:val="00E00DA0"/>
    <w:rsid w:val="00E0422F"/>
    <w:rsid w:val="00E0573B"/>
    <w:rsid w:val="00E057FE"/>
    <w:rsid w:val="00E10CE4"/>
    <w:rsid w:val="00E10D1E"/>
    <w:rsid w:val="00E10FEA"/>
    <w:rsid w:val="00E11905"/>
    <w:rsid w:val="00E13782"/>
    <w:rsid w:val="00E1409D"/>
    <w:rsid w:val="00E14C6A"/>
    <w:rsid w:val="00E1533A"/>
    <w:rsid w:val="00E15705"/>
    <w:rsid w:val="00E167DC"/>
    <w:rsid w:val="00E17088"/>
    <w:rsid w:val="00E212BB"/>
    <w:rsid w:val="00E22340"/>
    <w:rsid w:val="00E225C8"/>
    <w:rsid w:val="00E22BC9"/>
    <w:rsid w:val="00E23215"/>
    <w:rsid w:val="00E24C1D"/>
    <w:rsid w:val="00E26598"/>
    <w:rsid w:val="00E27344"/>
    <w:rsid w:val="00E277BB"/>
    <w:rsid w:val="00E3041F"/>
    <w:rsid w:val="00E315B5"/>
    <w:rsid w:val="00E31984"/>
    <w:rsid w:val="00E33614"/>
    <w:rsid w:val="00E33BC2"/>
    <w:rsid w:val="00E33CB8"/>
    <w:rsid w:val="00E36AB5"/>
    <w:rsid w:val="00E37C27"/>
    <w:rsid w:val="00E40C4A"/>
    <w:rsid w:val="00E41160"/>
    <w:rsid w:val="00E413F1"/>
    <w:rsid w:val="00E42BED"/>
    <w:rsid w:val="00E46B02"/>
    <w:rsid w:val="00E51020"/>
    <w:rsid w:val="00E5189A"/>
    <w:rsid w:val="00E5212B"/>
    <w:rsid w:val="00E5286D"/>
    <w:rsid w:val="00E54EAC"/>
    <w:rsid w:val="00E55109"/>
    <w:rsid w:val="00E55852"/>
    <w:rsid w:val="00E55E06"/>
    <w:rsid w:val="00E571AA"/>
    <w:rsid w:val="00E57D5C"/>
    <w:rsid w:val="00E60030"/>
    <w:rsid w:val="00E619A1"/>
    <w:rsid w:val="00E64222"/>
    <w:rsid w:val="00E65C6F"/>
    <w:rsid w:val="00E66E33"/>
    <w:rsid w:val="00E704DB"/>
    <w:rsid w:val="00E723F7"/>
    <w:rsid w:val="00E72588"/>
    <w:rsid w:val="00E7309D"/>
    <w:rsid w:val="00E74CB3"/>
    <w:rsid w:val="00E81036"/>
    <w:rsid w:val="00E83B67"/>
    <w:rsid w:val="00E85D3F"/>
    <w:rsid w:val="00E9097B"/>
    <w:rsid w:val="00E93AA2"/>
    <w:rsid w:val="00E96F67"/>
    <w:rsid w:val="00E97C23"/>
    <w:rsid w:val="00E97C53"/>
    <w:rsid w:val="00EA0179"/>
    <w:rsid w:val="00EA0E68"/>
    <w:rsid w:val="00EA2991"/>
    <w:rsid w:val="00EA4A81"/>
    <w:rsid w:val="00EA70C4"/>
    <w:rsid w:val="00EA7289"/>
    <w:rsid w:val="00EB0685"/>
    <w:rsid w:val="00EB3E5D"/>
    <w:rsid w:val="00EB51A7"/>
    <w:rsid w:val="00EB7B90"/>
    <w:rsid w:val="00EC0FF0"/>
    <w:rsid w:val="00EC2538"/>
    <w:rsid w:val="00EC2D8D"/>
    <w:rsid w:val="00EC42E1"/>
    <w:rsid w:val="00EC4EFA"/>
    <w:rsid w:val="00ED0401"/>
    <w:rsid w:val="00ED2769"/>
    <w:rsid w:val="00ED2ABB"/>
    <w:rsid w:val="00ED5A3D"/>
    <w:rsid w:val="00ED5B82"/>
    <w:rsid w:val="00ED64FC"/>
    <w:rsid w:val="00EE15B4"/>
    <w:rsid w:val="00EE4089"/>
    <w:rsid w:val="00EE4939"/>
    <w:rsid w:val="00EE5AC2"/>
    <w:rsid w:val="00EE5FA7"/>
    <w:rsid w:val="00EF0BC9"/>
    <w:rsid w:val="00EF0E0F"/>
    <w:rsid w:val="00EF1C44"/>
    <w:rsid w:val="00EF3240"/>
    <w:rsid w:val="00EF3C2C"/>
    <w:rsid w:val="00EF3C98"/>
    <w:rsid w:val="00EF4A4A"/>
    <w:rsid w:val="00EF4C14"/>
    <w:rsid w:val="00EF529D"/>
    <w:rsid w:val="00EF6E1A"/>
    <w:rsid w:val="00EF7258"/>
    <w:rsid w:val="00F00588"/>
    <w:rsid w:val="00F00C9C"/>
    <w:rsid w:val="00F02F1E"/>
    <w:rsid w:val="00F0332C"/>
    <w:rsid w:val="00F0372D"/>
    <w:rsid w:val="00F0389E"/>
    <w:rsid w:val="00F05FAE"/>
    <w:rsid w:val="00F068CE"/>
    <w:rsid w:val="00F07BE2"/>
    <w:rsid w:val="00F12904"/>
    <w:rsid w:val="00F137FF"/>
    <w:rsid w:val="00F13EC7"/>
    <w:rsid w:val="00F14731"/>
    <w:rsid w:val="00F172E8"/>
    <w:rsid w:val="00F17746"/>
    <w:rsid w:val="00F20C9D"/>
    <w:rsid w:val="00F21119"/>
    <w:rsid w:val="00F2162E"/>
    <w:rsid w:val="00F22C55"/>
    <w:rsid w:val="00F22FC4"/>
    <w:rsid w:val="00F24846"/>
    <w:rsid w:val="00F2712E"/>
    <w:rsid w:val="00F272BB"/>
    <w:rsid w:val="00F27D1E"/>
    <w:rsid w:val="00F3083B"/>
    <w:rsid w:val="00F31ED2"/>
    <w:rsid w:val="00F32A0C"/>
    <w:rsid w:val="00F349CC"/>
    <w:rsid w:val="00F35C3A"/>
    <w:rsid w:val="00F36C3F"/>
    <w:rsid w:val="00F409F5"/>
    <w:rsid w:val="00F43F50"/>
    <w:rsid w:val="00F45207"/>
    <w:rsid w:val="00F4520A"/>
    <w:rsid w:val="00F4569A"/>
    <w:rsid w:val="00F51A61"/>
    <w:rsid w:val="00F527F4"/>
    <w:rsid w:val="00F53723"/>
    <w:rsid w:val="00F54324"/>
    <w:rsid w:val="00F55ED8"/>
    <w:rsid w:val="00F57E79"/>
    <w:rsid w:val="00F61502"/>
    <w:rsid w:val="00F6556D"/>
    <w:rsid w:val="00F65987"/>
    <w:rsid w:val="00F67326"/>
    <w:rsid w:val="00F7201A"/>
    <w:rsid w:val="00F72F22"/>
    <w:rsid w:val="00F742CD"/>
    <w:rsid w:val="00F746F5"/>
    <w:rsid w:val="00F772F3"/>
    <w:rsid w:val="00F778D1"/>
    <w:rsid w:val="00F81C6C"/>
    <w:rsid w:val="00F821B4"/>
    <w:rsid w:val="00F83410"/>
    <w:rsid w:val="00F83947"/>
    <w:rsid w:val="00F83B6B"/>
    <w:rsid w:val="00F858FB"/>
    <w:rsid w:val="00F86310"/>
    <w:rsid w:val="00F87C31"/>
    <w:rsid w:val="00F9059C"/>
    <w:rsid w:val="00F910AF"/>
    <w:rsid w:val="00F94CA3"/>
    <w:rsid w:val="00F958DF"/>
    <w:rsid w:val="00F9598B"/>
    <w:rsid w:val="00F9682B"/>
    <w:rsid w:val="00F9752E"/>
    <w:rsid w:val="00F97BDD"/>
    <w:rsid w:val="00F97CC5"/>
    <w:rsid w:val="00FA13B4"/>
    <w:rsid w:val="00FA486D"/>
    <w:rsid w:val="00FB1B2D"/>
    <w:rsid w:val="00FB28F9"/>
    <w:rsid w:val="00FB3D9A"/>
    <w:rsid w:val="00FB4A9C"/>
    <w:rsid w:val="00FB51AE"/>
    <w:rsid w:val="00FB5436"/>
    <w:rsid w:val="00FB65CB"/>
    <w:rsid w:val="00FB6F2D"/>
    <w:rsid w:val="00FB7418"/>
    <w:rsid w:val="00FC13FA"/>
    <w:rsid w:val="00FC177E"/>
    <w:rsid w:val="00FC2DDA"/>
    <w:rsid w:val="00FC30FE"/>
    <w:rsid w:val="00FC3EB9"/>
    <w:rsid w:val="00FC4460"/>
    <w:rsid w:val="00FC4868"/>
    <w:rsid w:val="00FC4E6E"/>
    <w:rsid w:val="00FC55DB"/>
    <w:rsid w:val="00FC5A26"/>
    <w:rsid w:val="00FC5A57"/>
    <w:rsid w:val="00FC7634"/>
    <w:rsid w:val="00FD26CC"/>
    <w:rsid w:val="00FD2E1A"/>
    <w:rsid w:val="00FD4176"/>
    <w:rsid w:val="00FD47CA"/>
    <w:rsid w:val="00FD7956"/>
    <w:rsid w:val="00FD7F5D"/>
    <w:rsid w:val="00FD7FA3"/>
    <w:rsid w:val="00FE21B3"/>
    <w:rsid w:val="00FE2C74"/>
    <w:rsid w:val="00FE3F1E"/>
    <w:rsid w:val="00FE43C7"/>
    <w:rsid w:val="00FE4427"/>
    <w:rsid w:val="00FE4CDF"/>
    <w:rsid w:val="00FE501C"/>
    <w:rsid w:val="00FE6F96"/>
    <w:rsid w:val="00FE76FB"/>
    <w:rsid w:val="00FF19BD"/>
    <w:rsid w:val="00FF3267"/>
    <w:rsid w:val="00FF3B14"/>
    <w:rsid w:val="00FF446E"/>
    <w:rsid w:val="00FF4AE1"/>
    <w:rsid w:val="00FF585D"/>
    <w:rsid w:val="00FF6E67"/>
    <w:rsid w:val="00FF79FA"/>
    <w:rsid w:val="00FF7AB9"/>
    <w:rsid w:val="00FF7E30"/>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B4B4CB5"/>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E04AF"/>
    <w:rsid w:val="3C544F86"/>
    <w:rsid w:val="3D385C34"/>
    <w:rsid w:val="3E8E3C47"/>
    <w:rsid w:val="3EE80197"/>
    <w:rsid w:val="41103EF0"/>
    <w:rsid w:val="41443989"/>
    <w:rsid w:val="41924392"/>
    <w:rsid w:val="419B2EE8"/>
    <w:rsid w:val="42924743"/>
    <w:rsid w:val="438D5D65"/>
    <w:rsid w:val="43BE346C"/>
    <w:rsid w:val="44F9600F"/>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DBD2D6F"/>
    <w:rsid w:val="60373727"/>
    <w:rsid w:val="610A664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9"/>
    <w:pPr>
      <w:keepNext/>
      <w:keepLines/>
      <w:spacing w:beforeLines="50" w:line="560" w:lineRule="exact"/>
      <w:jc w:val="left"/>
      <w:outlineLvl w:val="0"/>
    </w:pPr>
    <w:rPr>
      <w:rFonts w:ascii="仿宋" w:hAnsi="宋体" w:eastAsia="仿宋"/>
      <w:b/>
      <w:bCs/>
      <w:kern w:val="44"/>
      <w:sz w:val="36"/>
      <w:szCs w:val="44"/>
    </w:rPr>
  </w:style>
  <w:style w:type="paragraph" w:styleId="3">
    <w:name w:val="heading 3"/>
    <w:basedOn w:val="4"/>
    <w:next w:val="1"/>
    <w:link w:val="24"/>
    <w:qFormat/>
    <w:uiPriority w:val="99"/>
    <w:pPr>
      <w:spacing w:before="260" w:after="260" w:line="416" w:lineRule="auto"/>
      <w:outlineLvl w:val="2"/>
    </w:pPr>
    <w:rPr>
      <w:b/>
      <w:sz w:val="32"/>
      <w:szCs w:val="32"/>
    </w:rPr>
  </w:style>
  <w:style w:type="paragraph" w:styleId="4">
    <w:name w:val="heading 4"/>
    <w:basedOn w:val="1"/>
    <w:next w:val="1"/>
    <w:unhideWhenUsed/>
    <w:qFormat/>
    <w:locked/>
    <w:uiPriority w:val="9"/>
    <w:pPr>
      <w:keepNext/>
      <w:keepLines/>
      <w:spacing w:beforeLines="100" w:line="377" w:lineRule="auto"/>
      <w:outlineLvl w:val="3"/>
    </w:pPr>
    <w:rPr>
      <w:rFonts w:ascii="Cambria" w:hAnsi="Cambria" w:eastAsia="黑体"/>
      <w:bCs/>
      <w:szCs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16"/>
    <w:qFormat/>
    <w:uiPriority w:val="99"/>
    <w:pPr>
      <w:spacing w:line="360" w:lineRule="auto"/>
      <w:ind w:firstLine="420"/>
    </w:pPr>
    <w:rPr>
      <w:sz w:val="24"/>
      <w:szCs w:val="20"/>
    </w:rPr>
  </w:style>
  <w:style w:type="paragraph" w:styleId="6">
    <w:name w:val="caption"/>
    <w:next w:val="1"/>
    <w:unhideWhenUsed/>
    <w:qFormat/>
    <w:locked/>
    <w:uiPriority w:val="35"/>
    <w:pPr>
      <w:ind w:firstLine="200" w:firstLineChars="200"/>
      <w:jc w:val="both"/>
    </w:pPr>
    <w:rPr>
      <w:rFonts w:ascii="Times New Roman" w:hAnsi="Times New Roman" w:eastAsia="黑体" w:cstheme="majorBidi"/>
      <w:b/>
      <w:kern w:val="2"/>
      <w:sz w:val="24"/>
      <w:lang w:val="en-US" w:eastAsia="zh-CN" w:bidi="ar-SA"/>
    </w:rPr>
  </w:style>
  <w:style w:type="paragraph" w:styleId="7">
    <w:name w:val="List Bullet 3"/>
    <w:basedOn w:val="1"/>
    <w:qFormat/>
    <w:uiPriority w:val="0"/>
    <w:pPr>
      <w:tabs>
        <w:tab w:val="left" w:pos="1200"/>
      </w:tabs>
      <w:adjustRightInd w:val="0"/>
      <w:snapToGrid w:val="0"/>
      <w:spacing w:line="360" w:lineRule="exact"/>
      <w:ind w:left="1200" w:hanging="360" w:firstLineChars="200"/>
      <w:jc w:val="left"/>
      <w:textAlignment w:val="baseline"/>
    </w:pPr>
    <w:rPr>
      <w:rFonts w:eastAsia="仿宋_GB2312"/>
      <w:snapToGrid w:val="0"/>
      <w:kern w:val="24"/>
      <w:sz w:val="24"/>
      <w:szCs w:val="20"/>
    </w:rPr>
  </w:style>
  <w:style w:type="paragraph" w:styleId="8">
    <w:name w:val="Body Text"/>
    <w:basedOn w:val="1"/>
    <w:link w:val="32"/>
    <w:qFormat/>
    <w:uiPriority w:val="99"/>
    <w:pPr>
      <w:spacing w:after="120"/>
    </w:pPr>
    <w:rPr>
      <w:sz w:val="24"/>
      <w:szCs w:val="20"/>
    </w:rPr>
  </w:style>
  <w:style w:type="paragraph" w:styleId="9">
    <w:name w:val="Body Text Indent"/>
    <w:basedOn w:val="1"/>
    <w:link w:val="38"/>
    <w:qFormat/>
    <w:uiPriority w:val="99"/>
    <w:pPr>
      <w:ind w:firstLine="645"/>
    </w:pPr>
    <w:rPr>
      <w:rFonts w:ascii="华文仿宋" w:hAnsi="华文仿宋" w:eastAsia="华文仿宋"/>
      <w:sz w:val="32"/>
    </w:rPr>
  </w:style>
  <w:style w:type="paragraph" w:styleId="10">
    <w:name w:val="Date"/>
    <w:basedOn w:val="1"/>
    <w:next w:val="1"/>
    <w:link w:val="36"/>
    <w:qFormat/>
    <w:uiPriority w:val="99"/>
    <w:pPr>
      <w:ind w:left="100" w:leftChars="2500"/>
    </w:p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7"/>
    <w:semiHidden/>
    <w:qFormat/>
    <w:uiPriority w:val="99"/>
    <w:rPr>
      <w:sz w:val="18"/>
      <w:szCs w:val="18"/>
    </w:rPr>
  </w:style>
  <w:style w:type="paragraph" w:styleId="13">
    <w:name w:val="footer"/>
    <w:basedOn w:val="1"/>
    <w:link w:val="35"/>
    <w:qFormat/>
    <w:uiPriority w:val="0"/>
    <w:pPr>
      <w:tabs>
        <w:tab w:val="center" w:pos="4153"/>
        <w:tab w:val="right" w:pos="8306"/>
      </w:tabs>
      <w:snapToGrid w:val="0"/>
      <w:jc w:val="left"/>
    </w:pPr>
    <w:rPr>
      <w:sz w:val="18"/>
      <w:szCs w:val="20"/>
    </w:rPr>
  </w:style>
  <w:style w:type="paragraph" w:styleId="14">
    <w:name w:val="header"/>
    <w:basedOn w:val="1"/>
    <w:link w:val="33"/>
    <w:qFormat/>
    <w:uiPriority w:val="99"/>
    <w:pPr>
      <w:pBdr>
        <w:bottom w:val="single" w:color="auto" w:sz="6" w:space="1"/>
      </w:pBdr>
      <w:tabs>
        <w:tab w:val="center" w:pos="4153"/>
        <w:tab w:val="right" w:pos="8306"/>
      </w:tabs>
      <w:snapToGrid w:val="0"/>
      <w:jc w:val="center"/>
    </w:pPr>
    <w:rPr>
      <w:sz w:val="18"/>
      <w:szCs w:val="20"/>
    </w:rPr>
  </w:style>
  <w:style w:type="paragraph" w:styleId="15">
    <w:name w:val="Body Text Indent 3"/>
    <w:basedOn w:val="1"/>
    <w:link w:val="39"/>
    <w:qFormat/>
    <w:uiPriority w:val="99"/>
    <w:pPr>
      <w:spacing w:after="120"/>
      <w:ind w:left="420" w:leftChars="200"/>
    </w:pPr>
    <w:rPr>
      <w:sz w:val="16"/>
      <w:szCs w:val="16"/>
    </w:rPr>
  </w:style>
  <w:style w:type="paragraph" w:styleId="16">
    <w:name w:val="Title"/>
    <w:basedOn w:val="1"/>
    <w:next w:val="1"/>
    <w:link w:val="64"/>
    <w:qFormat/>
    <w:uiPriority w:val="99"/>
    <w:pPr>
      <w:widowControl/>
      <w:spacing w:line="520" w:lineRule="exact"/>
      <w:jc w:val="left"/>
    </w:pPr>
    <w:rPr>
      <w:rFonts w:eastAsia="仿宋"/>
      <w:b/>
      <w:bCs/>
      <w:kern w:val="44"/>
      <w:sz w:val="32"/>
      <w:szCs w:val="32"/>
    </w:rPr>
  </w:style>
  <w:style w:type="paragraph" w:styleId="17">
    <w:name w:val="Body Text First Indent"/>
    <w:basedOn w:val="8"/>
    <w:link w:val="66"/>
    <w:qFormat/>
    <w:uiPriority w:val="99"/>
    <w:pPr>
      <w:widowControl/>
      <w:spacing w:line="520" w:lineRule="exact"/>
      <w:ind w:firstLine="420" w:firstLineChars="100"/>
      <w:jc w:val="left"/>
    </w:pPr>
    <w:rPr>
      <w:rFonts w:eastAsia="仿宋_GB2312"/>
      <w:kern w:val="0"/>
    </w:rPr>
  </w:style>
  <w:style w:type="paragraph" w:styleId="18">
    <w:name w:val="Body Text First Indent 2"/>
    <w:basedOn w:val="9"/>
    <w:link w:val="114"/>
    <w:semiHidden/>
    <w:unhideWhenUsed/>
    <w:qFormat/>
    <w:uiPriority w:val="99"/>
    <w:pPr>
      <w:spacing w:after="120"/>
      <w:ind w:left="420" w:leftChars="200" w:firstLine="420" w:firstLineChars="200"/>
    </w:pPr>
    <w:rPr>
      <w:rFonts w:ascii="Times New Roman" w:hAnsi="Times New Roman" w:eastAsia="宋体"/>
      <w:sz w:val="21"/>
    </w:rPr>
  </w:style>
  <w:style w:type="table" w:styleId="20">
    <w:name w:val="Table Grid"/>
    <w:basedOn w:val="1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99"/>
    <w:rPr>
      <w:rFonts w:cs="Times New Roman"/>
    </w:rPr>
  </w:style>
  <w:style w:type="character" w:customStyle="1" w:styleId="23">
    <w:name w:val="标题 1 Char"/>
    <w:basedOn w:val="21"/>
    <w:link w:val="2"/>
    <w:qFormat/>
    <w:locked/>
    <w:uiPriority w:val="99"/>
    <w:rPr>
      <w:rFonts w:ascii="仿宋" w:hAnsi="宋体" w:eastAsia="仿宋" w:cs="Times New Roman"/>
      <w:b/>
      <w:bCs/>
      <w:kern w:val="44"/>
      <w:sz w:val="44"/>
      <w:szCs w:val="44"/>
    </w:rPr>
  </w:style>
  <w:style w:type="character" w:customStyle="1" w:styleId="24">
    <w:name w:val="标题 3 Char"/>
    <w:basedOn w:val="21"/>
    <w:link w:val="3"/>
    <w:qFormat/>
    <w:locked/>
    <w:uiPriority w:val="99"/>
    <w:rPr>
      <w:rFonts w:cs="Times New Roman"/>
      <w:b/>
      <w:bCs/>
      <w:kern w:val="2"/>
      <w:sz w:val="32"/>
      <w:szCs w:val="32"/>
    </w:rPr>
  </w:style>
  <w:style w:type="character" w:customStyle="1" w:styleId="25">
    <w:name w:val="Header Char"/>
    <w:qFormat/>
    <w:locked/>
    <w:uiPriority w:val="99"/>
    <w:rPr>
      <w:kern w:val="2"/>
      <w:sz w:val="18"/>
    </w:rPr>
  </w:style>
  <w:style w:type="character" w:customStyle="1" w:styleId="26">
    <w:name w:val="Footer Char"/>
    <w:qFormat/>
    <w:locked/>
    <w:uiPriority w:val="99"/>
    <w:rPr>
      <w:kern w:val="2"/>
      <w:sz w:val="18"/>
    </w:rPr>
  </w:style>
  <w:style w:type="character" w:customStyle="1" w:styleId="27">
    <w:name w:val="正文文字110 Char Char"/>
    <w:link w:val="28"/>
    <w:qFormat/>
    <w:locked/>
    <w:uiPriority w:val="99"/>
    <w:rPr>
      <w:kern w:val="2"/>
      <w:sz w:val="24"/>
    </w:rPr>
  </w:style>
  <w:style w:type="paragraph" w:customStyle="1" w:styleId="28">
    <w:name w:val="正文文字110"/>
    <w:basedOn w:val="1"/>
    <w:link w:val="27"/>
    <w:qFormat/>
    <w:uiPriority w:val="99"/>
    <w:pPr>
      <w:spacing w:line="460" w:lineRule="exact"/>
      <w:ind w:firstLine="200" w:firstLineChars="200"/>
    </w:pPr>
    <w:rPr>
      <w:sz w:val="24"/>
      <w:szCs w:val="20"/>
    </w:rPr>
  </w:style>
  <w:style w:type="character" w:customStyle="1" w:styleId="29">
    <w:name w:val="样式 样式 报告书正文 + 首行缩进:  2 字符 + 蓝色 Char"/>
    <w:link w:val="30"/>
    <w:qFormat/>
    <w:locked/>
    <w:uiPriority w:val="99"/>
    <w:rPr>
      <w:color w:val="0000FF"/>
      <w:kern w:val="2"/>
      <w:sz w:val="24"/>
    </w:rPr>
  </w:style>
  <w:style w:type="paragraph" w:customStyle="1" w:styleId="30">
    <w:name w:val="样式 样式 报告书正文 + 首行缩进:  2 字符 + 蓝色"/>
    <w:basedOn w:val="1"/>
    <w:link w:val="29"/>
    <w:qFormat/>
    <w:uiPriority w:val="99"/>
    <w:pPr>
      <w:widowControl/>
      <w:adjustRightInd w:val="0"/>
      <w:jc w:val="left"/>
      <w:textAlignment w:val="baseline"/>
    </w:pPr>
    <w:rPr>
      <w:color w:val="0000FF"/>
      <w:sz w:val="24"/>
      <w:szCs w:val="20"/>
    </w:rPr>
  </w:style>
  <w:style w:type="character" w:customStyle="1" w:styleId="31">
    <w:name w:val="Body Text Char"/>
    <w:qFormat/>
    <w:locked/>
    <w:uiPriority w:val="99"/>
    <w:rPr>
      <w:kern w:val="2"/>
      <w:sz w:val="24"/>
    </w:rPr>
  </w:style>
  <w:style w:type="character" w:customStyle="1" w:styleId="32">
    <w:name w:val="正文文本 Char"/>
    <w:basedOn w:val="21"/>
    <w:link w:val="8"/>
    <w:semiHidden/>
    <w:qFormat/>
    <w:locked/>
    <w:uiPriority w:val="99"/>
    <w:rPr>
      <w:rFonts w:cs="Times New Roman"/>
      <w:sz w:val="24"/>
      <w:szCs w:val="24"/>
    </w:rPr>
  </w:style>
  <w:style w:type="character" w:customStyle="1" w:styleId="33">
    <w:name w:val="页眉 Char"/>
    <w:basedOn w:val="21"/>
    <w:link w:val="14"/>
    <w:semiHidden/>
    <w:qFormat/>
    <w:locked/>
    <w:uiPriority w:val="99"/>
    <w:rPr>
      <w:rFonts w:cs="Times New Roman"/>
      <w:sz w:val="18"/>
      <w:szCs w:val="18"/>
    </w:rPr>
  </w:style>
  <w:style w:type="character" w:customStyle="1" w:styleId="34">
    <w:name w:val="正文文本缩进 2 Char"/>
    <w:basedOn w:val="21"/>
    <w:link w:val="11"/>
    <w:semiHidden/>
    <w:qFormat/>
    <w:locked/>
    <w:uiPriority w:val="99"/>
    <w:rPr>
      <w:rFonts w:cs="Times New Roman"/>
      <w:sz w:val="24"/>
      <w:szCs w:val="24"/>
    </w:rPr>
  </w:style>
  <w:style w:type="character" w:customStyle="1" w:styleId="35">
    <w:name w:val="页脚 Char"/>
    <w:basedOn w:val="21"/>
    <w:link w:val="13"/>
    <w:qFormat/>
    <w:locked/>
    <w:uiPriority w:val="0"/>
    <w:rPr>
      <w:rFonts w:cs="Times New Roman"/>
      <w:sz w:val="18"/>
      <w:szCs w:val="18"/>
    </w:rPr>
  </w:style>
  <w:style w:type="character" w:customStyle="1" w:styleId="36">
    <w:name w:val="日期 Char"/>
    <w:basedOn w:val="21"/>
    <w:link w:val="10"/>
    <w:semiHidden/>
    <w:qFormat/>
    <w:locked/>
    <w:uiPriority w:val="99"/>
    <w:rPr>
      <w:rFonts w:cs="Times New Roman"/>
      <w:sz w:val="24"/>
      <w:szCs w:val="24"/>
    </w:rPr>
  </w:style>
  <w:style w:type="character" w:customStyle="1" w:styleId="37">
    <w:name w:val="批注框文本 Char"/>
    <w:basedOn w:val="21"/>
    <w:link w:val="12"/>
    <w:semiHidden/>
    <w:qFormat/>
    <w:locked/>
    <w:uiPriority w:val="99"/>
    <w:rPr>
      <w:rFonts w:cs="Times New Roman"/>
      <w:sz w:val="2"/>
    </w:rPr>
  </w:style>
  <w:style w:type="character" w:customStyle="1" w:styleId="38">
    <w:name w:val="正文文本缩进 Char"/>
    <w:basedOn w:val="21"/>
    <w:link w:val="9"/>
    <w:semiHidden/>
    <w:qFormat/>
    <w:locked/>
    <w:uiPriority w:val="99"/>
    <w:rPr>
      <w:rFonts w:cs="Times New Roman"/>
      <w:sz w:val="24"/>
      <w:szCs w:val="24"/>
    </w:rPr>
  </w:style>
  <w:style w:type="character" w:customStyle="1" w:styleId="39">
    <w:name w:val="正文文本缩进 3 Char"/>
    <w:basedOn w:val="21"/>
    <w:link w:val="15"/>
    <w:semiHidden/>
    <w:qFormat/>
    <w:locked/>
    <w:uiPriority w:val="99"/>
    <w:rPr>
      <w:rFonts w:cs="Times New Roman"/>
      <w:sz w:val="16"/>
      <w:szCs w:val="16"/>
    </w:rPr>
  </w:style>
  <w:style w:type="paragraph" w:customStyle="1" w:styleId="40">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41">
    <w:name w:val="gg_body"/>
    <w:basedOn w:val="1"/>
    <w:qFormat/>
    <w:uiPriority w:val="99"/>
    <w:pPr>
      <w:spacing w:line="460" w:lineRule="exact"/>
      <w:ind w:firstLine="200" w:firstLineChars="200"/>
    </w:pPr>
    <w:rPr>
      <w:rFonts w:ascii="宋体" w:hAnsi="宋体"/>
      <w:sz w:val="24"/>
      <w:u w:color="000000"/>
    </w:rPr>
  </w:style>
  <w:style w:type="paragraph" w:customStyle="1" w:styleId="42">
    <w:name w:val="表格1"/>
    <w:basedOn w:val="1"/>
    <w:qFormat/>
    <w:uiPriority w:val="99"/>
    <w:pPr>
      <w:adjustRightInd w:val="0"/>
      <w:spacing w:line="20" w:lineRule="atLeast"/>
      <w:jc w:val="center"/>
    </w:pPr>
    <w:rPr>
      <w:rFonts w:ascii="宋体"/>
      <w:kern w:val="0"/>
      <w:szCs w:val="21"/>
    </w:rPr>
  </w:style>
  <w:style w:type="paragraph" w:customStyle="1" w:styleId="43">
    <w:name w:val="Char"/>
    <w:basedOn w:val="1"/>
    <w:qFormat/>
    <w:uiPriority w:val="99"/>
  </w:style>
  <w:style w:type="paragraph" w:customStyle="1" w:styleId="44">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45">
    <w:name w:val="font21"/>
    <w:basedOn w:val="21"/>
    <w:qFormat/>
    <w:uiPriority w:val="99"/>
    <w:rPr>
      <w:rFonts w:ascii="宋体" w:hAnsi="宋体" w:eastAsia="宋体" w:cs="宋体"/>
      <w:color w:val="000000"/>
      <w:sz w:val="21"/>
      <w:szCs w:val="21"/>
      <w:u w:val="none"/>
    </w:rPr>
  </w:style>
  <w:style w:type="character" w:customStyle="1" w:styleId="46">
    <w:name w:val="font31"/>
    <w:basedOn w:val="21"/>
    <w:qFormat/>
    <w:uiPriority w:val="99"/>
    <w:rPr>
      <w:rFonts w:ascii="Times New Roman" w:hAnsi="Times New Roman" w:cs="Times New Roman"/>
      <w:color w:val="000000"/>
      <w:sz w:val="21"/>
      <w:szCs w:val="21"/>
      <w:u w:val="none"/>
    </w:rPr>
  </w:style>
  <w:style w:type="character" w:customStyle="1" w:styleId="47">
    <w:name w:val="font11"/>
    <w:basedOn w:val="21"/>
    <w:qFormat/>
    <w:uiPriority w:val="99"/>
    <w:rPr>
      <w:rFonts w:ascii="Times New Roman" w:hAnsi="Times New Roman" w:cs="Times New Roman"/>
      <w:color w:val="000000"/>
      <w:sz w:val="21"/>
      <w:szCs w:val="21"/>
      <w:u w:val="none"/>
      <w:vertAlign w:val="superscript"/>
    </w:rPr>
  </w:style>
  <w:style w:type="character" w:customStyle="1" w:styleId="48">
    <w:name w:val="表标题样式 Char"/>
    <w:link w:val="49"/>
    <w:qFormat/>
    <w:locked/>
    <w:uiPriority w:val="99"/>
    <w:rPr>
      <w:rFonts w:ascii="宋体"/>
      <w:b/>
      <w:kern w:val="2"/>
      <w:sz w:val="22"/>
    </w:rPr>
  </w:style>
  <w:style w:type="paragraph" w:customStyle="1" w:styleId="49">
    <w:name w:val="表标题样式"/>
    <w:basedOn w:val="1"/>
    <w:link w:val="48"/>
    <w:qFormat/>
    <w:uiPriority w:val="99"/>
    <w:pPr>
      <w:spacing w:line="520" w:lineRule="exact"/>
    </w:pPr>
    <w:rPr>
      <w:rFonts w:ascii="宋体"/>
      <w:b/>
      <w:sz w:val="22"/>
      <w:szCs w:val="20"/>
    </w:rPr>
  </w:style>
  <w:style w:type="character" w:customStyle="1" w:styleId="50">
    <w:name w:val="表格 Char"/>
    <w:link w:val="51"/>
    <w:qFormat/>
    <w:locked/>
    <w:uiPriority w:val="0"/>
    <w:rPr>
      <w:kern w:val="2"/>
      <w:sz w:val="21"/>
    </w:rPr>
  </w:style>
  <w:style w:type="paragraph" w:customStyle="1" w:styleId="51">
    <w:name w:val="表格"/>
    <w:basedOn w:val="1"/>
    <w:link w:val="50"/>
    <w:qFormat/>
    <w:uiPriority w:val="0"/>
    <w:pPr>
      <w:framePr w:wrap="around" w:vAnchor="text" w:hAnchor="text" w:y="1"/>
      <w:spacing w:line="240" w:lineRule="atLeast"/>
      <w:jc w:val="center"/>
    </w:pPr>
    <w:rPr>
      <w:szCs w:val="20"/>
    </w:rPr>
  </w:style>
  <w:style w:type="paragraph" w:customStyle="1" w:styleId="52">
    <w:name w:val="表格文本"/>
    <w:next w:val="1"/>
    <w:link w:val="87"/>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customStyle="1" w:styleId="53">
    <w:name w:val="图表名称"/>
    <w:basedOn w:val="16"/>
    <w:link w:val="86"/>
    <w:qFormat/>
    <w:uiPriority w:val="0"/>
    <w:pPr>
      <w:jc w:val="center"/>
    </w:pPr>
    <w:rPr>
      <w:rFonts w:eastAsia="黑体"/>
      <w:sz w:val="24"/>
    </w:rPr>
  </w:style>
  <w:style w:type="character" w:customStyle="1" w:styleId="54">
    <w:name w:val="正文首行缩进2 Char Char"/>
    <w:basedOn w:val="21"/>
    <w:link w:val="55"/>
    <w:qFormat/>
    <w:locked/>
    <w:uiPriority w:val="0"/>
    <w:rPr>
      <w:rFonts w:ascii="宋体" w:eastAsia="宋体" w:cs="Times New Roman"/>
      <w:spacing w:val="6"/>
      <w:sz w:val="24"/>
      <w:szCs w:val="24"/>
    </w:rPr>
  </w:style>
  <w:style w:type="paragraph" w:customStyle="1" w:styleId="55">
    <w:name w:val="正文首行缩进2"/>
    <w:basedOn w:val="1"/>
    <w:next w:val="1"/>
    <w:link w:val="54"/>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56">
    <w:name w:val="Title Char"/>
    <w:qFormat/>
    <w:locked/>
    <w:uiPriority w:val="99"/>
    <w:rPr>
      <w:rFonts w:eastAsia="仿宋"/>
      <w:b/>
      <w:kern w:val="44"/>
      <w:sz w:val="32"/>
    </w:rPr>
  </w:style>
  <w:style w:type="character" w:customStyle="1" w:styleId="57">
    <w:name w:val="表格标题 Char"/>
    <w:basedOn w:val="21"/>
    <w:link w:val="58"/>
    <w:qFormat/>
    <w:locked/>
    <w:uiPriority w:val="0"/>
    <w:rPr>
      <w:rFonts w:eastAsia="仿宋_GB2312" w:cs="Times New Roman"/>
      <w:sz w:val="24"/>
      <w:szCs w:val="24"/>
      <w:lang w:val="en-US" w:eastAsia="zh-CN" w:bidi="ar-SA"/>
    </w:rPr>
  </w:style>
  <w:style w:type="paragraph" w:customStyle="1" w:styleId="58">
    <w:name w:val="表格标题"/>
    <w:link w:val="57"/>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59">
    <w:name w:val="Body Text First Indent Char"/>
    <w:qFormat/>
    <w:locked/>
    <w:uiPriority w:val="99"/>
    <w:rPr>
      <w:rFonts w:eastAsia="仿宋_GB2312"/>
      <w:sz w:val="24"/>
    </w:rPr>
  </w:style>
  <w:style w:type="character" w:customStyle="1" w:styleId="60">
    <w:name w:val="表中文字 Char Char"/>
    <w:qFormat/>
    <w:uiPriority w:val="0"/>
    <w:rPr>
      <w:rFonts w:ascii="楷体_GB2312" w:eastAsia="楷体_GB2312"/>
      <w:sz w:val="24"/>
      <w:lang w:val="en-US" w:eastAsia="zh-CN"/>
    </w:rPr>
  </w:style>
  <w:style w:type="character" w:customStyle="1" w:styleId="61">
    <w:name w:val="标题3 Char Char"/>
    <w:basedOn w:val="21"/>
    <w:link w:val="62"/>
    <w:qFormat/>
    <w:locked/>
    <w:uiPriority w:val="99"/>
    <w:rPr>
      <w:rFonts w:ascii="宋体" w:eastAsia="宋体" w:cs="Times New Roman"/>
      <w:bCs/>
      <w:spacing w:val="8"/>
      <w:kern w:val="2"/>
      <w:sz w:val="24"/>
      <w:szCs w:val="24"/>
    </w:rPr>
  </w:style>
  <w:style w:type="paragraph" w:customStyle="1" w:styleId="62">
    <w:name w:val="标题3"/>
    <w:basedOn w:val="3"/>
    <w:link w:val="61"/>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63">
    <w:name w:val="Title Char1"/>
    <w:basedOn w:val="21"/>
    <w:link w:val="16"/>
    <w:qFormat/>
    <w:locked/>
    <w:uiPriority w:val="99"/>
    <w:rPr>
      <w:rFonts w:ascii="Cambria" w:hAnsi="Cambria" w:cs="Times New Roman"/>
      <w:b/>
      <w:bCs/>
      <w:sz w:val="32"/>
      <w:szCs w:val="32"/>
    </w:rPr>
  </w:style>
  <w:style w:type="character" w:customStyle="1" w:styleId="64">
    <w:name w:val="标题 Char"/>
    <w:basedOn w:val="21"/>
    <w:link w:val="16"/>
    <w:qFormat/>
    <w:locked/>
    <w:uiPriority w:val="99"/>
    <w:rPr>
      <w:rFonts w:ascii="Cambria" w:hAnsi="Cambria" w:cs="Times New Roman"/>
      <w:b/>
      <w:bCs/>
      <w:kern w:val="2"/>
      <w:sz w:val="32"/>
      <w:szCs w:val="32"/>
    </w:rPr>
  </w:style>
  <w:style w:type="character" w:customStyle="1" w:styleId="65">
    <w:name w:val="Body Text First Indent Char1"/>
    <w:basedOn w:val="31"/>
    <w:link w:val="17"/>
    <w:semiHidden/>
    <w:qFormat/>
    <w:locked/>
    <w:uiPriority w:val="99"/>
    <w:rPr>
      <w:rFonts w:cs="Times New Roman"/>
      <w:szCs w:val="24"/>
    </w:rPr>
  </w:style>
  <w:style w:type="character" w:customStyle="1" w:styleId="66">
    <w:name w:val="正文首行缩进 Char"/>
    <w:basedOn w:val="31"/>
    <w:link w:val="17"/>
    <w:qFormat/>
    <w:locked/>
    <w:uiPriority w:val="99"/>
    <w:rPr>
      <w:rFonts w:cs="Times New Roman"/>
      <w:szCs w:val="24"/>
    </w:rPr>
  </w:style>
  <w:style w:type="paragraph" w:customStyle="1" w:styleId="67">
    <w:name w:val="默认段落字体 Para Char Char Char Char Char Char Char Char Char Char"/>
    <w:basedOn w:val="1"/>
    <w:qFormat/>
    <w:uiPriority w:val="99"/>
    <w:rPr>
      <w:rFonts w:ascii="Arial" w:hAnsi="Arial" w:cs="Arial"/>
      <w:sz w:val="20"/>
      <w:szCs w:val="20"/>
    </w:rPr>
  </w:style>
  <w:style w:type="paragraph" w:customStyle="1" w:styleId="68">
    <w:name w:val="表头编号"/>
    <w:basedOn w:val="53"/>
    <w:next w:val="52"/>
    <w:qFormat/>
    <w:uiPriority w:val="99"/>
    <w:pPr>
      <w:adjustRightInd w:val="0"/>
      <w:snapToGrid w:val="0"/>
      <w:ind w:firstLine="482"/>
      <w:jc w:val="left"/>
    </w:pPr>
  </w:style>
  <w:style w:type="paragraph" w:customStyle="1" w:styleId="69">
    <w:name w:val="List Paragraph1"/>
    <w:basedOn w:val="1"/>
    <w:qFormat/>
    <w:uiPriority w:val="99"/>
    <w:pPr>
      <w:ind w:firstLine="420" w:firstLineChars="200"/>
    </w:pPr>
    <w:rPr>
      <w:rFonts w:ascii="Calibri" w:hAnsi="Calibri"/>
      <w:szCs w:val="22"/>
    </w:rPr>
  </w:style>
  <w:style w:type="paragraph" w:customStyle="1" w:styleId="70">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71">
    <w:name w:val="样式 样式 (符号) 宋体 四号 + 首行缩进:  2 字符"/>
    <w:basedOn w:val="1"/>
    <w:qFormat/>
    <w:uiPriority w:val="99"/>
    <w:pPr>
      <w:ind w:firstLine="480"/>
    </w:pPr>
    <w:rPr>
      <w:rFonts w:hAnsi="仿宋_GB2312" w:cs="仿宋_GB2312"/>
      <w:sz w:val="24"/>
      <w:szCs w:val="20"/>
    </w:rPr>
  </w:style>
  <w:style w:type="paragraph" w:customStyle="1" w:styleId="72">
    <w:name w:val="表头样式"/>
    <w:basedOn w:val="53"/>
    <w:qFormat/>
    <w:uiPriority w:val="99"/>
    <w:pPr>
      <w:jc w:val="left"/>
    </w:pPr>
    <w:rPr>
      <w:rFonts w:eastAsia="宋体"/>
      <w:szCs w:val="21"/>
    </w:rPr>
  </w:style>
  <w:style w:type="paragraph" w:customStyle="1" w:styleId="73">
    <w:name w:val="报告文本"/>
    <w:basedOn w:val="1"/>
    <w:qFormat/>
    <w:uiPriority w:val="99"/>
    <w:pPr>
      <w:spacing w:line="440" w:lineRule="exact"/>
    </w:pPr>
    <w:rPr>
      <w:szCs w:val="22"/>
    </w:rPr>
  </w:style>
  <w:style w:type="paragraph" w:customStyle="1" w:styleId="74">
    <w:name w:val="！！正文"/>
    <w:basedOn w:val="75"/>
    <w:qFormat/>
    <w:uiPriority w:val="0"/>
    <w:pPr>
      <w:autoSpaceDE w:val="0"/>
      <w:spacing w:line="480" w:lineRule="exact"/>
      <w:ind w:firstLine="200" w:firstLineChars="200"/>
      <w:jc w:val="both"/>
      <w:textAlignment w:val="center"/>
    </w:pPr>
  </w:style>
  <w:style w:type="paragraph" w:styleId="75">
    <w:name w:val="No Spacing"/>
    <w:qFormat/>
    <w:uiPriority w:val="1"/>
    <w:rPr>
      <w:rFonts w:ascii="Times New Roman" w:hAnsi="Times New Roman" w:eastAsia="宋体" w:cs="Times New Roman"/>
      <w:sz w:val="24"/>
      <w:szCs w:val="22"/>
      <w:lang w:val="en-US" w:eastAsia="zh-CN" w:bidi="ar-SA"/>
    </w:rPr>
  </w:style>
  <w:style w:type="paragraph" w:customStyle="1" w:styleId="76">
    <w:name w:val="B二级标题"/>
    <w:basedOn w:val="75"/>
    <w:qFormat/>
    <w:uiPriority w:val="0"/>
    <w:pPr>
      <w:spacing w:line="480" w:lineRule="exact"/>
      <w:outlineLvl w:val="1"/>
    </w:pPr>
    <w:rPr>
      <w:b/>
      <w:sz w:val="30"/>
    </w:rPr>
  </w:style>
  <w:style w:type="paragraph" w:customStyle="1" w:styleId="77">
    <w:name w:val="C三级标题"/>
    <w:basedOn w:val="75"/>
    <w:qFormat/>
    <w:uiPriority w:val="0"/>
    <w:pPr>
      <w:spacing w:line="520" w:lineRule="exact"/>
      <w:outlineLvl w:val="2"/>
    </w:pPr>
    <w:rPr>
      <w:b/>
      <w:sz w:val="28"/>
    </w:rPr>
  </w:style>
  <w:style w:type="paragraph" w:customStyle="1" w:styleId="78">
    <w:name w:val="！四级标题"/>
    <w:basedOn w:val="75"/>
    <w:qFormat/>
    <w:uiPriority w:val="0"/>
    <w:pPr>
      <w:spacing w:line="520" w:lineRule="exact"/>
      <w:outlineLvl w:val="3"/>
    </w:pPr>
    <w:rPr>
      <w:b/>
    </w:rPr>
  </w:style>
  <w:style w:type="paragraph" w:customStyle="1" w:styleId="79">
    <w:name w:val="！表头"/>
    <w:basedOn w:val="75"/>
    <w:qFormat/>
    <w:uiPriority w:val="0"/>
    <w:pPr>
      <w:jc w:val="center"/>
    </w:pPr>
    <w:rPr>
      <w:b/>
    </w:rPr>
  </w:style>
  <w:style w:type="paragraph" w:customStyle="1" w:styleId="80">
    <w:name w:val="！表格字体"/>
    <w:basedOn w:val="75"/>
    <w:qFormat/>
    <w:uiPriority w:val="0"/>
    <w:pPr>
      <w:snapToGrid w:val="0"/>
      <w:spacing w:line="240" w:lineRule="atLeast"/>
    </w:pPr>
    <w:rPr>
      <w:sz w:val="21"/>
    </w:rPr>
  </w:style>
  <w:style w:type="paragraph" w:customStyle="1" w:styleId="81">
    <w:name w:val="！三级标题"/>
    <w:basedOn w:val="75"/>
    <w:qFormat/>
    <w:uiPriority w:val="0"/>
    <w:pPr>
      <w:spacing w:line="415" w:lineRule="auto"/>
      <w:outlineLvl w:val="2"/>
    </w:pPr>
    <w:rPr>
      <w:b/>
      <w:sz w:val="28"/>
    </w:rPr>
  </w:style>
  <w:style w:type="character" w:customStyle="1" w:styleId="82">
    <w:name w:val="表格标题-w Char"/>
    <w:link w:val="83"/>
    <w:qFormat/>
    <w:uiPriority w:val="0"/>
    <w:rPr>
      <w:b/>
      <w:kern w:val="2"/>
      <w:sz w:val="24"/>
    </w:rPr>
  </w:style>
  <w:style w:type="paragraph" w:customStyle="1" w:styleId="83">
    <w:name w:val="表格标题-w"/>
    <w:basedOn w:val="1"/>
    <w:next w:val="1"/>
    <w:link w:val="82"/>
    <w:qFormat/>
    <w:uiPriority w:val="0"/>
    <w:pPr>
      <w:spacing w:line="480" w:lineRule="exact"/>
    </w:pPr>
    <w:rPr>
      <w:b/>
      <w:sz w:val="24"/>
      <w:szCs w:val="20"/>
    </w:rPr>
  </w:style>
  <w:style w:type="character" w:customStyle="1" w:styleId="84">
    <w:name w:val="表格内文字-w Char"/>
    <w:link w:val="85"/>
    <w:qFormat/>
    <w:uiPriority w:val="0"/>
    <w:rPr>
      <w:kern w:val="2"/>
      <w:sz w:val="21"/>
    </w:rPr>
  </w:style>
  <w:style w:type="paragraph" w:customStyle="1" w:styleId="85">
    <w:name w:val="表格内文字-w"/>
    <w:basedOn w:val="1"/>
    <w:link w:val="84"/>
    <w:qFormat/>
    <w:uiPriority w:val="0"/>
    <w:pPr>
      <w:spacing w:line="240" w:lineRule="atLeast"/>
      <w:jc w:val="center"/>
    </w:pPr>
    <w:rPr>
      <w:szCs w:val="20"/>
    </w:rPr>
  </w:style>
  <w:style w:type="character" w:customStyle="1" w:styleId="86">
    <w:name w:val="图表名称 Char"/>
    <w:basedOn w:val="64"/>
    <w:link w:val="53"/>
    <w:qFormat/>
    <w:uiPriority w:val="0"/>
    <w:rPr>
      <w:rFonts w:eastAsia="黑体"/>
      <w:kern w:val="44"/>
      <w:sz w:val="24"/>
    </w:rPr>
  </w:style>
  <w:style w:type="character" w:customStyle="1" w:styleId="87">
    <w:name w:val="表格文本 Char"/>
    <w:link w:val="52"/>
    <w:qFormat/>
    <w:uiPriority w:val="0"/>
    <w:rPr>
      <w:rFonts w:eastAsia="仿宋"/>
      <w:color w:val="000000"/>
      <w:kern w:val="21"/>
      <w:sz w:val="24"/>
      <w:szCs w:val="21"/>
    </w:rPr>
  </w:style>
  <w:style w:type="character" w:customStyle="1" w:styleId="88">
    <w:name w:val="表格文字 Char"/>
    <w:link w:val="89"/>
    <w:qFormat/>
    <w:uiPriority w:val="0"/>
    <w:rPr>
      <w:rFonts w:ascii="宋体"/>
      <w:kern w:val="21"/>
      <w:sz w:val="21"/>
    </w:rPr>
  </w:style>
  <w:style w:type="paragraph" w:customStyle="1" w:styleId="89">
    <w:name w:val="表格文字"/>
    <w:basedOn w:val="1"/>
    <w:link w:val="88"/>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90">
    <w:name w:val="表头 Char1"/>
    <w:basedOn w:val="21"/>
    <w:qFormat/>
    <w:uiPriority w:val="99"/>
    <w:rPr>
      <w:rFonts w:ascii="仿宋_GB2312" w:hAnsi="宋体" w:eastAsia="宋体" w:cs="仿宋_GB2312"/>
      <w:b/>
      <w:bCs/>
      <w:spacing w:val="-12"/>
      <w:position w:val="-18"/>
      <w:sz w:val="21"/>
      <w:szCs w:val="21"/>
      <w:lang w:val="en-US" w:eastAsia="zh-CN"/>
    </w:rPr>
  </w:style>
  <w:style w:type="paragraph" w:styleId="91">
    <w:name w:val="List Paragraph"/>
    <w:basedOn w:val="1"/>
    <w:unhideWhenUsed/>
    <w:qFormat/>
    <w:uiPriority w:val="99"/>
    <w:pPr>
      <w:ind w:firstLine="420" w:firstLineChars="200"/>
    </w:pPr>
  </w:style>
  <w:style w:type="character" w:customStyle="1" w:styleId="92">
    <w:name w:val="Char Char Char Char Char1"/>
    <w:link w:val="93"/>
    <w:qFormat/>
    <w:uiPriority w:val="0"/>
    <w:rPr>
      <w:rFonts w:ascii="宋体" w:hAnsi="宋体" w:cs="宋体"/>
      <w:kern w:val="2"/>
      <w:sz w:val="24"/>
      <w:szCs w:val="24"/>
    </w:rPr>
  </w:style>
  <w:style w:type="paragraph" w:customStyle="1" w:styleId="93">
    <w:name w:val="Char Char Char Char"/>
    <w:basedOn w:val="1"/>
    <w:link w:val="92"/>
    <w:qFormat/>
    <w:uiPriority w:val="0"/>
    <w:pPr>
      <w:spacing w:line="360" w:lineRule="auto"/>
      <w:ind w:firstLine="200" w:firstLineChars="200"/>
    </w:pPr>
    <w:rPr>
      <w:rFonts w:ascii="宋体" w:hAnsi="宋体" w:cs="宋体"/>
      <w:sz w:val="24"/>
    </w:rPr>
  </w:style>
  <w:style w:type="character" w:customStyle="1" w:styleId="94">
    <w:name w:val="表头文字小 Char"/>
    <w:link w:val="95"/>
    <w:qFormat/>
    <w:uiPriority w:val="0"/>
    <w:rPr>
      <w:rFonts w:ascii="宋体" w:hAnsi="宋体"/>
      <w:color w:val="000000"/>
      <w:spacing w:val="6"/>
      <w:kern w:val="2"/>
      <w:sz w:val="18"/>
      <w:szCs w:val="21"/>
    </w:rPr>
  </w:style>
  <w:style w:type="paragraph" w:customStyle="1" w:styleId="95">
    <w:name w:val="表头文字小"/>
    <w:basedOn w:val="1"/>
    <w:link w:val="94"/>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96">
    <w:name w:val="样式 xns表格 + 行距: 最小值 0 磅"/>
    <w:basedOn w:val="1"/>
    <w:qFormat/>
    <w:uiPriority w:val="0"/>
    <w:pPr>
      <w:spacing w:line="0" w:lineRule="atLeast"/>
      <w:jc w:val="center"/>
    </w:pPr>
    <w:rPr>
      <w:rFonts w:ascii="宋体" w:eastAsia="仿宋_GB2312" w:cs="宋体"/>
      <w:color w:val="FF00FF"/>
      <w:szCs w:val="20"/>
    </w:rPr>
  </w:style>
  <w:style w:type="paragraph" w:customStyle="1" w:styleId="97">
    <w:name w:val="样式 样式 正文首行缩进 + 首行缩进:  1 字符 + 宋体"/>
    <w:basedOn w:val="1"/>
    <w:qFormat/>
    <w:uiPriority w:val="0"/>
    <w:pPr>
      <w:ind w:firstLine="480" w:firstLineChars="200"/>
      <w:jc w:val="left"/>
    </w:pPr>
    <w:rPr>
      <w:rFonts w:ascii="宋体"/>
      <w:color w:val="0000FF"/>
    </w:rPr>
  </w:style>
  <w:style w:type="paragraph" w:customStyle="1" w:styleId="98">
    <w:name w:val="08表格-20"/>
    <w:basedOn w:val="1"/>
    <w:next w:val="1"/>
    <w:qFormat/>
    <w:uiPriority w:val="8"/>
    <w:pPr>
      <w:spacing w:line="240" w:lineRule="exact"/>
      <w:jc w:val="center"/>
    </w:pPr>
    <w:rPr>
      <w:rFonts w:ascii="宋体" w:hAnsi="宋体"/>
      <w:szCs w:val="20"/>
    </w:rPr>
  </w:style>
  <w:style w:type="character" w:customStyle="1" w:styleId="99">
    <w:name w:val="JJ表内 字符"/>
    <w:link w:val="100"/>
    <w:qFormat/>
    <w:uiPriority w:val="0"/>
    <w:rPr>
      <w:rFonts w:eastAsia="仿宋_GB2312"/>
      <w:kern w:val="2"/>
      <w:sz w:val="21"/>
      <w:szCs w:val="22"/>
    </w:rPr>
  </w:style>
  <w:style w:type="paragraph" w:customStyle="1" w:styleId="100">
    <w:name w:val="JJ表内"/>
    <w:basedOn w:val="1"/>
    <w:link w:val="99"/>
    <w:qFormat/>
    <w:uiPriority w:val="0"/>
    <w:pPr>
      <w:spacing w:line="0" w:lineRule="atLeast"/>
      <w:jc w:val="center"/>
    </w:pPr>
    <w:rPr>
      <w:rFonts w:eastAsia="仿宋_GB2312"/>
      <w:szCs w:val="22"/>
    </w:rPr>
  </w:style>
  <w:style w:type="paragraph" w:customStyle="1" w:styleId="101">
    <w:name w:val="样式2"/>
    <w:basedOn w:val="1"/>
    <w:qFormat/>
    <w:uiPriority w:val="0"/>
    <w:pPr>
      <w:autoSpaceDE w:val="0"/>
      <w:autoSpaceDN w:val="0"/>
      <w:adjustRightInd w:val="0"/>
      <w:spacing w:afterLines="50"/>
      <w:jc w:val="center"/>
    </w:pPr>
    <w:rPr>
      <w:rFonts w:ascii="宋体"/>
      <w:kern w:val="0"/>
      <w:sz w:val="24"/>
    </w:rPr>
  </w:style>
  <w:style w:type="character" w:customStyle="1" w:styleId="102">
    <w:name w:val="标准样式 Char1"/>
    <w:link w:val="103"/>
    <w:qFormat/>
    <w:uiPriority w:val="0"/>
    <w:rPr>
      <w:rFonts w:ascii="Calibri" w:hAnsi="Calibri"/>
      <w:kern w:val="2"/>
      <w:sz w:val="28"/>
    </w:rPr>
  </w:style>
  <w:style w:type="paragraph" w:customStyle="1" w:styleId="103">
    <w:name w:val="标准样式"/>
    <w:basedOn w:val="1"/>
    <w:link w:val="102"/>
    <w:qFormat/>
    <w:uiPriority w:val="0"/>
    <w:pPr>
      <w:spacing w:line="600" w:lineRule="exact"/>
      <w:ind w:firstLine="567"/>
    </w:pPr>
    <w:rPr>
      <w:rFonts w:ascii="Calibri" w:hAnsi="Calibri"/>
      <w:sz w:val="28"/>
      <w:szCs w:val="20"/>
    </w:rPr>
  </w:style>
  <w:style w:type="paragraph" w:customStyle="1" w:styleId="104">
    <w:name w:val="表名"/>
    <w:basedOn w:val="1"/>
    <w:uiPriority w:val="0"/>
    <w:pPr>
      <w:jc w:val="center"/>
    </w:pPr>
    <w:rPr>
      <w:rFonts w:eastAsia="黑体"/>
      <w:szCs w:val="20"/>
    </w:rPr>
  </w:style>
  <w:style w:type="paragraph" w:customStyle="1" w:styleId="105">
    <w:name w:val="表头（水保用）"/>
    <w:basedOn w:val="1"/>
    <w:link w:val="106"/>
    <w:qFormat/>
    <w:uiPriority w:val="0"/>
    <w:pPr>
      <w:spacing w:line="400" w:lineRule="exact"/>
      <w:jc w:val="center"/>
    </w:pPr>
    <w:rPr>
      <w:rFonts w:eastAsia="仿宋_GB2312" w:cstheme="minorBidi"/>
      <w:b/>
      <w:szCs w:val="22"/>
    </w:rPr>
  </w:style>
  <w:style w:type="character" w:customStyle="1" w:styleId="106">
    <w:name w:val="表头（水保用） 字符"/>
    <w:basedOn w:val="21"/>
    <w:link w:val="105"/>
    <w:qFormat/>
    <w:uiPriority w:val="0"/>
    <w:rPr>
      <w:rFonts w:eastAsia="仿宋_GB2312" w:cstheme="minorBidi"/>
      <w:b/>
      <w:kern w:val="2"/>
      <w:sz w:val="21"/>
      <w:szCs w:val="22"/>
    </w:rPr>
  </w:style>
  <w:style w:type="paragraph" w:customStyle="1" w:styleId="107">
    <w:name w:val="07表头"/>
    <w:basedOn w:val="1"/>
    <w:next w:val="1"/>
    <w:qFormat/>
    <w:uiPriority w:val="7"/>
    <w:pPr>
      <w:spacing w:line="500" w:lineRule="exact"/>
      <w:jc w:val="center"/>
    </w:pPr>
    <w:rPr>
      <w:rFonts w:eastAsia="仿宋_GB2312"/>
      <w:b/>
      <w:sz w:val="24"/>
      <w:szCs w:val="20"/>
    </w:rPr>
  </w:style>
  <w:style w:type="paragraph" w:customStyle="1" w:styleId="108">
    <w:name w:val="表格内容格式"/>
    <w:basedOn w:val="1"/>
    <w:qFormat/>
    <w:uiPriority w:val="0"/>
    <w:pPr>
      <w:snapToGrid w:val="0"/>
      <w:spacing w:line="360" w:lineRule="auto"/>
      <w:jc w:val="center"/>
    </w:pPr>
    <w:rPr>
      <w:rFonts w:eastAsia="仿宋_GB2312"/>
      <w:color w:val="000000"/>
      <w:kern w:val="0"/>
      <w:sz w:val="20"/>
      <w:szCs w:val="21"/>
    </w:rPr>
  </w:style>
  <w:style w:type="paragraph" w:customStyle="1" w:styleId="109">
    <w:name w:val="样式 表格文字 + 宋体"/>
    <w:basedOn w:val="89"/>
    <w:qFormat/>
    <w:uiPriority w:val="0"/>
    <w:pPr>
      <w:widowControl/>
      <w:tabs>
        <w:tab w:val="left" w:pos="-24"/>
      </w:tabs>
      <w:adjustRightInd/>
      <w:spacing w:before="0" w:line="0" w:lineRule="atLeast"/>
      <w:ind w:firstLine="0" w:firstLineChars="0"/>
      <w:jc w:val="center"/>
    </w:pPr>
    <w:rPr>
      <w:rFonts w:hAnsi="宋体"/>
      <w:color w:val="000000"/>
      <w:kern w:val="0"/>
      <w:u w:color="000000"/>
    </w:rPr>
  </w:style>
  <w:style w:type="character" w:customStyle="1" w:styleId="110">
    <w:name w:val="表文 Char2"/>
    <w:link w:val="111"/>
    <w:qFormat/>
    <w:uiPriority w:val="0"/>
    <w:rPr>
      <w:rFonts w:eastAsia="仿宋_GB2312"/>
      <w:sz w:val="18"/>
    </w:rPr>
  </w:style>
  <w:style w:type="paragraph" w:customStyle="1" w:styleId="111">
    <w:name w:val="表文"/>
    <w:basedOn w:val="1"/>
    <w:link w:val="110"/>
    <w:qFormat/>
    <w:uiPriority w:val="0"/>
    <w:pPr>
      <w:autoSpaceDE w:val="0"/>
      <w:autoSpaceDN w:val="0"/>
      <w:adjustRightInd w:val="0"/>
      <w:jc w:val="center"/>
      <w:textAlignment w:val="baseline"/>
    </w:pPr>
    <w:rPr>
      <w:rFonts w:eastAsia="仿宋_GB2312"/>
      <w:kern w:val="0"/>
      <w:sz w:val="18"/>
      <w:szCs w:val="20"/>
    </w:rPr>
  </w:style>
  <w:style w:type="character" w:customStyle="1" w:styleId="112">
    <w:name w:val="表格内容 Char1"/>
    <w:link w:val="113"/>
    <w:qFormat/>
    <w:uiPriority w:val="0"/>
    <w:rPr>
      <w:rFonts w:eastAsia="仿宋_GB2312"/>
      <w:szCs w:val="21"/>
    </w:rPr>
  </w:style>
  <w:style w:type="paragraph" w:customStyle="1" w:styleId="113">
    <w:name w:val="表格内容"/>
    <w:next w:val="1"/>
    <w:link w:val="112"/>
    <w:qFormat/>
    <w:uiPriority w:val="0"/>
    <w:pPr>
      <w:adjustRightInd w:val="0"/>
      <w:jc w:val="center"/>
      <w:textAlignment w:val="center"/>
    </w:pPr>
    <w:rPr>
      <w:rFonts w:ascii="Times New Roman" w:hAnsi="Times New Roman" w:eastAsia="仿宋_GB2312" w:cs="Times New Roman"/>
      <w:szCs w:val="21"/>
      <w:lang w:val="en-US" w:eastAsia="zh-CN" w:bidi="ar-SA"/>
    </w:rPr>
  </w:style>
  <w:style w:type="character" w:customStyle="1" w:styleId="114">
    <w:name w:val="正文首行缩进 2 Char"/>
    <w:basedOn w:val="38"/>
    <w:link w:val="18"/>
    <w:semiHidden/>
    <w:qFormat/>
    <w:uiPriority w:val="99"/>
    <w:rPr>
      <w:kern w:val="2"/>
      <w:sz w:val="21"/>
    </w:rPr>
  </w:style>
  <w:style w:type="paragraph" w:customStyle="1" w:styleId="115">
    <w:name w:val="章标题"/>
    <w:basedOn w:val="1"/>
    <w:next w:val="1"/>
    <w:qFormat/>
    <w:uiPriority w:val="0"/>
    <w:pPr>
      <w:widowControl/>
      <w:spacing w:before="158" w:after="153" w:line="323" w:lineRule="atLeast"/>
      <w:jc w:val="center"/>
      <w:textAlignment w:val="baseline"/>
    </w:pPr>
    <w:rPr>
      <w:rFonts w:ascii="Arial" w:eastAsia="黑体"/>
      <w:color w:val="000000"/>
      <w:kern w:val="0"/>
      <w:sz w:val="31"/>
      <w:szCs w:val="20"/>
      <w:u w:color="000000"/>
    </w:rPr>
  </w:style>
  <w:style w:type="character" w:customStyle="1" w:styleId="116">
    <w:name w:val="正文缩进 Char"/>
    <w:link w:val="5"/>
    <w:qFormat/>
    <w:uiPriority w:val="99"/>
    <w:rPr>
      <w:kern w:val="2"/>
      <w:sz w:val="24"/>
    </w:rPr>
  </w:style>
  <w:style w:type="paragraph" w:customStyle="1" w:styleId="117">
    <w:name w:val="样式 正文缩进正文缩进 Char Char Char Char Char正文缩进 Char Char Char Char正..."/>
    <w:basedOn w:val="5"/>
    <w:qFormat/>
    <w:uiPriority w:val="0"/>
    <w:pPr>
      <w:widowControl/>
      <w:ind w:firstLine="480" w:firstLineChars="200"/>
      <w:jc w:val="left"/>
    </w:pPr>
    <w:rPr>
      <w:rFonts w:hAnsi="宋体"/>
      <w:color w:val="000000"/>
    </w:rPr>
  </w:style>
  <w:style w:type="paragraph" w:customStyle="1" w:styleId="118">
    <w:name w:val="表格表头"/>
    <w:basedOn w:val="1"/>
    <w:link w:val="119"/>
    <w:qFormat/>
    <w:uiPriority w:val="0"/>
    <w:pPr>
      <w:adjustRightInd w:val="0"/>
      <w:snapToGrid w:val="0"/>
      <w:jc w:val="center"/>
    </w:pPr>
    <w:rPr>
      <w:rFonts w:eastAsia="仿宋_GB2312"/>
      <w:b/>
      <w:sz w:val="24"/>
    </w:rPr>
  </w:style>
  <w:style w:type="character" w:customStyle="1" w:styleId="119">
    <w:name w:val="表格表头 字符"/>
    <w:basedOn w:val="21"/>
    <w:link w:val="118"/>
    <w:qFormat/>
    <w:uiPriority w:val="0"/>
    <w:rPr>
      <w:rFonts w:eastAsia="仿宋_GB2312"/>
      <w:b/>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4"/>
    <customShpInfo spid="_x0000_s103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CB2F37-EE9A-487F-AA53-F97A26F8AAAF}">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11</Pages>
  <Words>1710</Words>
  <Characters>1950</Characters>
  <Lines>49</Lines>
  <Paragraphs>13</Paragraphs>
  <TotalTime>572</TotalTime>
  <ScaleCrop>false</ScaleCrop>
  <LinksUpToDate>false</LinksUpToDate>
  <CharactersWithSpaces>2032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2019-09-26T02:06:00Z</dcterms:created>
  <dc:creator>陈*何*马</dc:creator>
  <cp:lastModifiedBy>安然弱水</cp:lastModifiedBy>
  <cp:lastPrinted>2019-09-26T02:04:00Z</cp:lastPrinted>
  <dcterms:modified xsi:type="dcterms:W3CDTF">2024-12-05T01:32:42Z</dcterms:modified>
  <dc:title>石柱土家族自治县水利局</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DD6CCCC31A684C01A31F6BE7183ACB47_12</vt:lpwstr>
  </property>
</Properties>
</file>