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C188D">
      <w:pPr>
        <w:widowControl w:val="0"/>
        <w:shd w:val="clear" w:color="auto" w:fill="FFFFFF"/>
        <w:spacing w:line="550" w:lineRule="exact"/>
        <w:jc w:val="center"/>
        <w:rPr>
          <w:rFonts w:hint="eastAsia"/>
          <w:lang w:eastAsia="zh-CN"/>
        </w:rPr>
      </w:pPr>
      <w:r>
        <w:rPr>
          <w:rFonts w:hint="eastAsia" w:ascii="Times New Roman" w:hAnsi="Times New Roman" w:eastAsia="黑体" w:cs="黑体"/>
          <w:color w:val="auto"/>
          <w:sz w:val="36"/>
          <w:szCs w:val="36"/>
          <w:lang w:eastAsia="zh-CN"/>
        </w:rPr>
        <w:t>石柱土家族自治县司法局</w:t>
      </w:r>
      <w:r>
        <w:rPr>
          <w:rFonts w:hint="eastAsia" w:ascii="Times New Roman" w:hAnsi="Times New Roman" w:eastAsia="黑体" w:cs="黑体"/>
          <w:color w:val="auto"/>
          <w:sz w:val="36"/>
          <w:szCs w:val="36"/>
          <w:lang w:val="en-US" w:eastAsia="zh-CN"/>
        </w:rPr>
        <w:t>2025年度</w:t>
      </w:r>
      <w:r>
        <w:rPr>
          <w:rFonts w:hint="eastAsia" w:ascii="Times New Roman" w:hAnsi="Times New Roman" w:eastAsia="黑体" w:cs="黑体"/>
          <w:color w:val="auto"/>
          <w:sz w:val="36"/>
          <w:szCs w:val="36"/>
          <w:lang w:eastAsia="zh-CN"/>
        </w:rPr>
        <w:t>随机抽查结果公示</w:t>
      </w:r>
    </w:p>
    <w:tbl>
      <w:tblPr>
        <w:tblStyle w:val="3"/>
        <w:tblW w:w="14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410"/>
        <w:gridCol w:w="3390"/>
        <w:gridCol w:w="2655"/>
        <w:gridCol w:w="1080"/>
        <w:gridCol w:w="1230"/>
        <w:gridCol w:w="1080"/>
        <w:gridCol w:w="2174"/>
      </w:tblGrid>
      <w:tr w14:paraId="202A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0386ADE0">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被抽查</w:t>
            </w:r>
          </w:p>
          <w:p w14:paraId="4F4EF3CB">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对象名称</w:t>
            </w:r>
          </w:p>
        </w:tc>
        <w:tc>
          <w:tcPr>
            <w:tcW w:w="1410" w:type="dxa"/>
            <w:tcBorders>
              <w:top w:val="single" w:color="auto" w:sz="4" w:space="0"/>
              <w:left w:val="nil"/>
              <w:bottom w:val="single" w:color="auto" w:sz="4" w:space="0"/>
              <w:right w:val="single" w:color="auto" w:sz="4" w:space="0"/>
            </w:tcBorders>
            <w:noWrap w:val="0"/>
            <w:vAlign w:val="center"/>
          </w:tcPr>
          <w:p w14:paraId="51E88966">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统一社会信用代码/执业证书编号</w:t>
            </w:r>
          </w:p>
        </w:tc>
        <w:tc>
          <w:tcPr>
            <w:tcW w:w="3390" w:type="dxa"/>
            <w:tcBorders>
              <w:top w:val="single" w:color="auto" w:sz="4" w:space="0"/>
              <w:left w:val="nil"/>
              <w:bottom w:val="single" w:color="auto" w:sz="4" w:space="0"/>
              <w:right w:val="single" w:color="auto" w:sz="4" w:space="0"/>
            </w:tcBorders>
            <w:noWrap w:val="0"/>
            <w:vAlign w:val="center"/>
          </w:tcPr>
          <w:p w14:paraId="64DC8239">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抽查事项和检查内容</w:t>
            </w:r>
          </w:p>
        </w:tc>
        <w:tc>
          <w:tcPr>
            <w:tcW w:w="2655" w:type="dxa"/>
            <w:tcBorders>
              <w:top w:val="single" w:color="auto" w:sz="4" w:space="0"/>
              <w:left w:val="nil"/>
              <w:bottom w:val="single" w:color="auto" w:sz="4" w:space="0"/>
              <w:right w:val="single" w:color="auto" w:sz="4" w:space="0"/>
            </w:tcBorders>
            <w:noWrap w:val="0"/>
            <w:vAlign w:val="center"/>
          </w:tcPr>
          <w:p w14:paraId="3C1D2FA6">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检查</w:t>
            </w:r>
          </w:p>
          <w:p w14:paraId="5CBCFFEB">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依据</w:t>
            </w:r>
          </w:p>
        </w:tc>
        <w:tc>
          <w:tcPr>
            <w:tcW w:w="1080" w:type="dxa"/>
            <w:tcBorders>
              <w:top w:val="single" w:color="auto" w:sz="4" w:space="0"/>
              <w:left w:val="nil"/>
              <w:bottom w:val="single" w:color="auto" w:sz="4" w:space="0"/>
              <w:right w:val="single" w:color="auto" w:sz="4" w:space="0"/>
            </w:tcBorders>
            <w:noWrap w:val="0"/>
            <w:vAlign w:val="center"/>
          </w:tcPr>
          <w:p w14:paraId="115AD4D9">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抽查</w:t>
            </w:r>
          </w:p>
          <w:p w14:paraId="5BFADB3B">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结果</w:t>
            </w:r>
          </w:p>
        </w:tc>
        <w:tc>
          <w:tcPr>
            <w:tcW w:w="1230" w:type="dxa"/>
            <w:tcBorders>
              <w:top w:val="single" w:color="auto" w:sz="4" w:space="0"/>
              <w:left w:val="nil"/>
              <w:bottom w:val="single" w:color="auto" w:sz="4" w:space="0"/>
              <w:right w:val="single" w:color="auto" w:sz="4" w:space="0"/>
            </w:tcBorders>
            <w:noWrap w:val="0"/>
            <w:vAlign w:val="center"/>
          </w:tcPr>
          <w:p w14:paraId="4E9E0F14">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抽查</w:t>
            </w:r>
          </w:p>
          <w:p w14:paraId="4639E884">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时间</w:t>
            </w:r>
          </w:p>
        </w:tc>
        <w:tc>
          <w:tcPr>
            <w:tcW w:w="1080" w:type="dxa"/>
            <w:tcBorders>
              <w:top w:val="single" w:color="auto" w:sz="4" w:space="0"/>
              <w:left w:val="nil"/>
              <w:bottom w:val="single" w:color="auto" w:sz="4" w:space="0"/>
              <w:right w:val="single" w:color="auto" w:sz="4" w:space="0"/>
            </w:tcBorders>
            <w:noWrap w:val="0"/>
            <w:vAlign w:val="center"/>
          </w:tcPr>
          <w:p w14:paraId="2CACF60F">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抽查</w:t>
            </w:r>
          </w:p>
          <w:p w14:paraId="04AF1799">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机关</w:t>
            </w:r>
          </w:p>
        </w:tc>
        <w:tc>
          <w:tcPr>
            <w:tcW w:w="2174" w:type="dxa"/>
            <w:tcBorders>
              <w:top w:val="single" w:color="auto" w:sz="4" w:space="0"/>
              <w:left w:val="nil"/>
              <w:bottom w:val="single" w:color="auto" w:sz="4" w:space="0"/>
              <w:right w:val="single" w:color="auto" w:sz="4" w:space="0"/>
            </w:tcBorders>
            <w:noWrap w:val="0"/>
            <w:vAlign w:val="center"/>
          </w:tcPr>
          <w:p w14:paraId="4C8BBE94">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抽查</w:t>
            </w:r>
          </w:p>
          <w:p w14:paraId="6EF2F386">
            <w:pPr>
              <w:shd w:val="clear" w:color="auto" w:fill="FFFFFF"/>
              <w:spacing w:line="300" w:lineRule="exact"/>
              <w:jc w:val="center"/>
              <w:rPr>
                <w:rFonts w:hint="eastAsia" w:ascii="方正黑体_GBK" w:hAnsi="方正黑体_GBK" w:eastAsia="方正黑体_GBK" w:cs="方正黑体_GBK"/>
                <w:color w:val="auto"/>
                <w:kern w:val="0"/>
                <w:sz w:val="24"/>
                <w:szCs w:val="24"/>
              </w:rPr>
            </w:pPr>
            <w:r>
              <w:rPr>
                <w:rFonts w:hint="eastAsia" w:ascii="方正黑体_GBK" w:hAnsi="方正黑体_GBK" w:eastAsia="方正黑体_GBK" w:cs="方正黑体_GBK"/>
                <w:color w:val="auto"/>
                <w:kern w:val="0"/>
                <w:sz w:val="24"/>
                <w:szCs w:val="24"/>
              </w:rPr>
              <w:t>人员</w:t>
            </w:r>
          </w:p>
        </w:tc>
      </w:tr>
      <w:tr w14:paraId="54A7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0FB84864">
            <w:pPr>
              <w:shd w:val="clear" w:color="auto" w:fill="FFFFFF"/>
              <w:spacing w:line="3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北京市东方（重庆）律师律师所</w:t>
            </w:r>
          </w:p>
        </w:tc>
        <w:tc>
          <w:tcPr>
            <w:tcW w:w="1410" w:type="dxa"/>
            <w:tcBorders>
              <w:top w:val="single" w:color="auto" w:sz="4" w:space="0"/>
              <w:left w:val="nil"/>
              <w:bottom w:val="single" w:color="auto" w:sz="4" w:space="0"/>
              <w:right w:val="single" w:color="auto" w:sz="4" w:space="0"/>
            </w:tcBorders>
            <w:noWrap w:val="0"/>
            <w:vAlign w:val="center"/>
          </w:tcPr>
          <w:p w14:paraId="2F4859F8">
            <w:pPr>
              <w:shd w:val="clear" w:color="auto" w:fill="FFFFFF"/>
              <w:spacing w:line="300" w:lineRule="exact"/>
              <w:jc w:val="center"/>
              <w:rPr>
                <w:rFonts w:hint="eastAsia" w:ascii="方正仿宋_GBK" w:hAnsi="方正仿宋_GBK" w:eastAsia="方正仿宋_GBK" w:cs="方正仿宋_GBK"/>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31500000MD03183315</w:t>
            </w:r>
          </w:p>
        </w:tc>
        <w:tc>
          <w:tcPr>
            <w:tcW w:w="3390" w:type="dxa"/>
            <w:tcBorders>
              <w:top w:val="single" w:color="auto" w:sz="4" w:space="0"/>
              <w:left w:val="nil"/>
              <w:bottom w:val="single" w:color="auto" w:sz="4" w:space="0"/>
              <w:right w:val="single" w:color="auto" w:sz="4" w:space="0"/>
            </w:tcBorders>
            <w:noWrap w:val="0"/>
            <w:vAlign w:val="center"/>
          </w:tcPr>
          <w:p w14:paraId="5BDB276E">
            <w:pPr>
              <w:shd w:val="clear" w:color="auto" w:fill="FFFFFF"/>
              <w:spacing w:line="300" w:lineRule="exact"/>
              <w:jc w:val="center"/>
              <w:rPr>
                <w:rFonts w:hint="eastAsia" w:eastAsia="方正仿宋_GBK"/>
                <w:color w:val="auto"/>
                <w:kern w:val="0"/>
                <w:sz w:val="24"/>
                <w:szCs w:val="24"/>
                <w:lang w:eastAsia="zh-CN"/>
              </w:rPr>
            </w:pPr>
            <w:r>
              <w:rPr>
                <w:rFonts w:hint="eastAsia" w:eastAsia="方正仿宋_GBK"/>
                <w:color w:val="auto"/>
                <w:kern w:val="0"/>
                <w:sz w:val="24"/>
                <w:szCs w:val="24"/>
                <w:lang w:val="en-US" w:eastAsia="zh-CN"/>
              </w:rPr>
              <w:t>1.</w:t>
            </w:r>
            <w:r>
              <w:rPr>
                <w:rFonts w:eastAsia="方正仿宋_GBK"/>
                <w:color w:val="auto"/>
                <w:kern w:val="0"/>
                <w:sz w:val="24"/>
                <w:szCs w:val="24"/>
              </w:rPr>
              <w:t>律师事务所监督检查</w:t>
            </w:r>
            <w:r>
              <w:rPr>
                <w:rFonts w:hint="eastAsia" w:eastAsia="方正仿宋_GBK"/>
                <w:color w:val="auto"/>
                <w:kern w:val="0"/>
                <w:sz w:val="24"/>
                <w:szCs w:val="24"/>
                <w:lang w:eastAsia="zh-CN"/>
              </w:rPr>
              <w:t>。</w:t>
            </w:r>
          </w:p>
          <w:p w14:paraId="4933C20C">
            <w:pPr>
              <w:shd w:val="clear" w:color="auto" w:fill="FFFFFF"/>
              <w:spacing w:line="300" w:lineRule="exact"/>
              <w:ind w:left="0" w:leftChars="0" w:right="0" w:rightChars="0" w:firstLine="0" w:firstLineChars="0"/>
              <w:jc w:val="center"/>
              <w:rPr>
                <w:rFonts w:hint="default" w:ascii="宋体" w:hAnsi="宋体" w:eastAsia="方正仿宋_GBK" w:cs="宋体"/>
                <w:color w:val="auto"/>
                <w:spacing w:val="0"/>
                <w:kern w:val="0"/>
                <w:position w:val="0"/>
                <w:sz w:val="24"/>
                <w:szCs w:val="24"/>
                <w:lang w:val="en-US" w:eastAsia="zh-CN" w:bidi="ar-SA"/>
              </w:rPr>
            </w:pPr>
            <w:r>
              <w:rPr>
                <w:rFonts w:hint="eastAsia" w:eastAsia="方正仿宋_GBK"/>
                <w:color w:val="auto"/>
                <w:kern w:val="0"/>
                <w:sz w:val="24"/>
                <w:szCs w:val="24"/>
                <w:lang w:val="en-US" w:eastAsia="zh-CN"/>
              </w:rPr>
              <w:t>2.</w:t>
            </w:r>
            <w:r>
              <w:rPr>
                <w:rFonts w:eastAsia="方正仿宋_GBK"/>
                <w:color w:val="auto"/>
                <w:kern w:val="0"/>
                <w:sz w:val="24"/>
                <w:szCs w:val="24"/>
              </w:rPr>
              <w:t>是否存在违反法定程序办理变更名称、负责人、章程、合伙协议、住所、合伙人等重大事项的违法行为</w:t>
            </w:r>
            <w:r>
              <w:rPr>
                <w:rFonts w:hint="eastAsia" w:eastAsia="方正仿宋_GBK"/>
                <w:color w:val="auto"/>
                <w:kern w:val="0"/>
                <w:sz w:val="24"/>
                <w:szCs w:val="24"/>
                <w:lang w:eastAsia="zh-CN"/>
              </w:rPr>
              <w:t>；</w:t>
            </w:r>
            <w:r>
              <w:rPr>
                <w:rFonts w:eastAsia="方正仿宋_GBK"/>
                <w:color w:val="auto"/>
                <w:kern w:val="0"/>
                <w:sz w:val="24"/>
                <w:szCs w:val="24"/>
              </w:rPr>
              <w:t>是否存在向司法行政部门提供虚假材料或者有其他弄虚作假行为的违法行为</w:t>
            </w:r>
            <w:r>
              <w:rPr>
                <w:rFonts w:hint="eastAsia" w:eastAsia="方正仿宋_GBK"/>
                <w:color w:val="auto"/>
                <w:kern w:val="0"/>
                <w:sz w:val="24"/>
                <w:szCs w:val="24"/>
                <w:lang w:eastAsia="zh-CN"/>
              </w:rPr>
              <w:t>；</w:t>
            </w:r>
            <w:r>
              <w:rPr>
                <w:rFonts w:eastAsia="方正仿宋_GBK"/>
                <w:color w:val="auto"/>
                <w:kern w:val="0"/>
                <w:sz w:val="24"/>
                <w:szCs w:val="24"/>
              </w:rPr>
              <w:t>是否存在对本所律师疏于管理，造成严重后果的违法行为</w:t>
            </w:r>
            <w:r>
              <w:rPr>
                <w:rFonts w:hint="eastAsia" w:eastAsia="方正仿宋_GBK"/>
                <w:color w:val="auto"/>
                <w:kern w:val="0"/>
                <w:sz w:val="24"/>
                <w:szCs w:val="24"/>
                <w:lang w:eastAsia="zh-CN"/>
              </w:rPr>
              <w:t>；</w:t>
            </w:r>
            <w:r>
              <w:rPr>
                <w:rFonts w:eastAsia="方正仿宋_GBK"/>
                <w:color w:val="auto"/>
                <w:kern w:val="0"/>
                <w:sz w:val="24"/>
                <w:szCs w:val="24"/>
              </w:rPr>
              <w:t>是否存在从事法律服务以外的经营活动的违法行为</w:t>
            </w:r>
            <w:r>
              <w:rPr>
                <w:rFonts w:hint="eastAsia" w:eastAsia="方正仿宋_GBK"/>
                <w:color w:val="auto"/>
                <w:kern w:val="0"/>
                <w:sz w:val="24"/>
                <w:szCs w:val="24"/>
                <w:lang w:eastAsia="zh-CN"/>
              </w:rPr>
              <w:t>。</w:t>
            </w:r>
          </w:p>
        </w:tc>
        <w:tc>
          <w:tcPr>
            <w:tcW w:w="2655" w:type="dxa"/>
            <w:tcBorders>
              <w:top w:val="single" w:color="auto" w:sz="4" w:space="0"/>
              <w:left w:val="nil"/>
              <w:bottom w:val="single" w:color="auto" w:sz="4" w:space="0"/>
              <w:right w:val="single" w:color="auto" w:sz="4" w:space="0"/>
            </w:tcBorders>
            <w:noWrap w:val="0"/>
            <w:vAlign w:val="center"/>
          </w:tcPr>
          <w:p w14:paraId="00039BAB">
            <w:pPr>
              <w:shd w:val="clear" w:color="auto" w:fill="FFFFFF"/>
              <w:spacing w:line="300" w:lineRule="exact"/>
              <w:jc w:val="center"/>
              <w:rPr>
                <w:rFonts w:hint="eastAsia" w:ascii="宋体" w:hAnsi="宋体" w:eastAsia="宋体" w:cs="宋体"/>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律师法》《律师事务所管理办法》（司法部令第142号）《律师执业管理办法》（司法部令第134号）《律师事务所年度检查考核办法》（司法部令第121号）《律师和律师事务所违法行为处罚办法》</w:t>
            </w:r>
            <w:r>
              <w:rPr>
                <w:rFonts w:hint="eastAsia" w:eastAsia="方正仿宋_GBK"/>
                <w:color w:val="auto"/>
                <w:kern w:val="0"/>
                <w:sz w:val="24"/>
                <w:szCs w:val="24"/>
              </w:rPr>
              <w:t>（司法部令第122号）</w:t>
            </w:r>
          </w:p>
        </w:tc>
        <w:tc>
          <w:tcPr>
            <w:tcW w:w="1080" w:type="dxa"/>
            <w:tcBorders>
              <w:top w:val="single" w:color="auto" w:sz="4" w:space="0"/>
              <w:left w:val="nil"/>
              <w:bottom w:val="single" w:color="auto" w:sz="4" w:space="0"/>
              <w:right w:val="single" w:color="auto" w:sz="4" w:space="0"/>
            </w:tcBorders>
            <w:noWrap w:val="0"/>
            <w:vAlign w:val="center"/>
          </w:tcPr>
          <w:p w14:paraId="620E9554">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s="仿宋"/>
                <w:color w:val="auto"/>
                <w:kern w:val="0"/>
                <w:sz w:val="24"/>
                <w:szCs w:val="24"/>
                <w:lang w:eastAsia="zh-CN"/>
              </w:rPr>
              <w:t>未发现违法行为</w:t>
            </w:r>
          </w:p>
        </w:tc>
        <w:tc>
          <w:tcPr>
            <w:tcW w:w="1230" w:type="dxa"/>
            <w:tcBorders>
              <w:top w:val="single" w:color="auto" w:sz="4" w:space="0"/>
              <w:left w:val="nil"/>
              <w:bottom w:val="single" w:color="auto" w:sz="4" w:space="0"/>
              <w:right w:val="single" w:color="auto" w:sz="4" w:space="0"/>
            </w:tcBorders>
            <w:noWrap w:val="0"/>
            <w:vAlign w:val="center"/>
          </w:tcPr>
          <w:p w14:paraId="1C2F69D4">
            <w:pPr>
              <w:shd w:val="clear" w:color="auto" w:fill="FFFFFF"/>
              <w:spacing w:line="300" w:lineRule="exact"/>
              <w:jc w:val="center"/>
              <w:rPr>
                <w:rFonts w:hint="eastAsia" w:ascii="宋体" w:hAnsi="宋体" w:eastAsia="方正仿宋_GBK" w:cs="宋体"/>
                <w:color w:val="auto"/>
                <w:kern w:val="0"/>
                <w:sz w:val="24"/>
                <w:szCs w:val="24"/>
                <w:lang w:val="en-US" w:eastAsia="zh-CN"/>
              </w:rPr>
            </w:pPr>
            <w:r>
              <w:rPr>
                <w:rFonts w:hint="default" w:ascii="Times New Roman" w:hAnsi="Times New Roman" w:eastAsia="方正仿宋_GBK" w:cs="Times New Roman"/>
                <w:color w:val="auto"/>
                <w:kern w:val="0"/>
                <w:sz w:val="24"/>
                <w:szCs w:val="24"/>
              </w:rPr>
              <w:t>202</w:t>
            </w:r>
            <w:r>
              <w:rPr>
                <w:rFonts w:hint="default" w:ascii="Times New Roman" w:hAnsi="Times New Roman" w:eastAsia="方正仿宋_GBK" w:cs="Times New Roman"/>
                <w:color w:val="auto"/>
                <w:kern w:val="0"/>
                <w:sz w:val="24"/>
                <w:szCs w:val="24"/>
                <w:lang w:val="en-US" w:eastAsia="zh-CN"/>
              </w:rPr>
              <w:t>5-7</w:t>
            </w:r>
            <w:r>
              <w:rPr>
                <w:rFonts w:hint="default" w:ascii="Times New Roman" w:hAnsi="Times New Roman" w:eastAsia="方正仿宋_GBK" w:cs="Times New Roman"/>
                <w:color w:val="auto"/>
                <w:kern w:val="0"/>
                <w:sz w:val="24"/>
                <w:szCs w:val="24"/>
              </w:rPr>
              <w:t>-</w:t>
            </w:r>
            <w:r>
              <w:rPr>
                <w:rFonts w:hint="default" w:ascii="Times New Roman" w:hAnsi="Times New Roman" w:eastAsia="方正仿宋_GBK" w:cs="Times New Roman"/>
                <w:color w:val="auto"/>
                <w:kern w:val="0"/>
                <w:sz w:val="24"/>
                <w:szCs w:val="24"/>
                <w:lang w:val="en-US" w:eastAsia="zh-CN"/>
              </w:rPr>
              <w:t>2</w:t>
            </w:r>
          </w:p>
        </w:tc>
        <w:tc>
          <w:tcPr>
            <w:tcW w:w="1080" w:type="dxa"/>
            <w:tcBorders>
              <w:top w:val="single" w:color="auto" w:sz="4" w:space="0"/>
              <w:left w:val="nil"/>
              <w:bottom w:val="single" w:color="auto" w:sz="4" w:space="0"/>
              <w:right w:val="single" w:color="auto" w:sz="4" w:space="0"/>
            </w:tcBorders>
            <w:noWrap w:val="0"/>
            <w:vAlign w:val="center"/>
          </w:tcPr>
          <w:p w14:paraId="64E80818">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val="en-US" w:eastAsia="zh-CN"/>
              </w:rPr>
              <w:t>重庆市石柱土家族自治县</w:t>
            </w:r>
            <w:r>
              <w:rPr>
                <w:rFonts w:hint="eastAsia" w:ascii="Times New Roman" w:hAnsi="Times New Roman" w:eastAsia="方正仿宋_GBK"/>
                <w:color w:val="auto"/>
                <w:kern w:val="0"/>
                <w:sz w:val="24"/>
                <w:szCs w:val="24"/>
              </w:rPr>
              <w:t>司法局</w:t>
            </w:r>
          </w:p>
        </w:tc>
        <w:tc>
          <w:tcPr>
            <w:tcW w:w="2174" w:type="dxa"/>
            <w:tcBorders>
              <w:top w:val="single" w:color="auto" w:sz="4" w:space="0"/>
              <w:left w:val="nil"/>
              <w:bottom w:val="single" w:color="auto" w:sz="4" w:space="0"/>
              <w:right w:val="single" w:color="auto" w:sz="4" w:space="0"/>
            </w:tcBorders>
            <w:noWrap w:val="0"/>
            <w:vAlign w:val="center"/>
          </w:tcPr>
          <w:p w14:paraId="735A0480">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left"/>
              <w:rPr>
                <w:rFonts w:hint="eastAsia" w:ascii="Times New Roman" w:hAnsi="Times New Roman" w:eastAsia="方正仿宋_GBK"/>
                <w:color w:val="auto"/>
                <w:kern w:val="0"/>
                <w:sz w:val="24"/>
                <w:szCs w:val="24"/>
                <w:lang w:eastAsia="zh-CN"/>
              </w:rPr>
            </w:pPr>
          </w:p>
          <w:p w14:paraId="3E69F8CA">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eastAsia="zh-CN"/>
              </w:rPr>
              <w:t>黄彩艳</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22004011025</w:t>
            </w:r>
            <w:r>
              <w:rPr>
                <w:rFonts w:hint="eastAsia" w:ascii="Times New Roman" w:hAnsi="Times New Roman" w:eastAsia="方正仿宋_GBK"/>
                <w:color w:val="auto"/>
                <w:kern w:val="0"/>
                <w:sz w:val="24"/>
                <w:szCs w:val="24"/>
              </w:rPr>
              <w:t>）</w:t>
            </w:r>
            <w:r>
              <w:rPr>
                <w:rFonts w:hint="eastAsia" w:ascii="Times New Roman" w:hAnsi="Times New Roman" w:eastAsia="方正仿宋_GBK"/>
                <w:color w:val="auto"/>
                <w:kern w:val="0"/>
                <w:sz w:val="24"/>
                <w:szCs w:val="24"/>
                <w:lang w:eastAsia="zh-CN"/>
              </w:rPr>
              <w:t>、</w:t>
            </w:r>
            <w:r>
              <w:rPr>
                <w:rFonts w:hint="eastAsia" w:eastAsia="方正仿宋_GBK"/>
                <w:color w:val="auto"/>
                <w:kern w:val="0"/>
                <w:sz w:val="24"/>
                <w:szCs w:val="24"/>
                <w:lang w:val="en-US" w:eastAsia="zh-CN"/>
              </w:rPr>
              <w:t>李友玥</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22004011021</w:t>
            </w:r>
            <w:r>
              <w:rPr>
                <w:rFonts w:hint="eastAsia" w:ascii="Times New Roman" w:hAnsi="Times New Roman" w:eastAsia="方正仿宋_GBK"/>
                <w:color w:val="auto"/>
                <w:kern w:val="0"/>
                <w:sz w:val="24"/>
                <w:szCs w:val="24"/>
              </w:rPr>
              <w:t>）</w:t>
            </w:r>
          </w:p>
        </w:tc>
      </w:tr>
      <w:tr w14:paraId="6649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41CDF71A">
            <w:pPr>
              <w:shd w:val="clear" w:color="auto" w:fill="FFFFFF"/>
              <w:spacing w:line="3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重庆诚宓律师事务所</w:t>
            </w:r>
          </w:p>
        </w:tc>
        <w:tc>
          <w:tcPr>
            <w:tcW w:w="1410" w:type="dxa"/>
            <w:tcBorders>
              <w:top w:val="single" w:color="auto" w:sz="4" w:space="0"/>
              <w:left w:val="nil"/>
              <w:bottom w:val="single" w:color="auto" w:sz="4" w:space="0"/>
              <w:right w:val="single" w:color="auto" w:sz="4" w:space="0"/>
            </w:tcBorders>
            <w:noWrap w:val="0"/>
            <w:vAlign w:val="center"/>
          </w:tcPr>
          <w:p w14:paraId="39833566">
            <w:pPr>
              <w:shd w:val="clear" w:color="auto" w:fill="FFFFFF"/>
              <w:spacing w:line="300" w:lineRule="exact"/>
              <w:jc w:val="center"/>
              <w:rPr>
                <w:rFonts w:hint="eastAsia" w:ascii="方正仿宋_GBK" w:hAnsi="方正仿宋_GBK" w:eastAsia="方正仿宋_GBK" w:cs="方正仿宋_GBK"/>
                <w:color w:val="auto"/>
                <w:kern w:val="0"/>
                <w:sz w:val="24"/>
                <w:szCs w:val="24"/>
                <w:highlight w:val="none"/>
                <w:shd w:val="clear" w:color="auto" w:fill="auto"/>
              </w:rPr>
            </w:pPr>
            <w:r>
              <w:rPr>
                <w:rFonts w:hint="default" w:ascii="Times New Roman" w:hAnsi="Times New Roman" w:eastAsia="方正仿宋_GBK" w:cs="Times New Roman"/>
                <w:color w:val="auto"/>
                <w:kern w:val="0"/>
                <w:sz w:val="24"/>
                <w:szCs w:val="24"/>
                <w:highlight w:val="none"/>
                <w:shd w:val="clear" w:color="auto" w:fill="auto"/>
              </w:rPr>
              <w:t>31500000MD034445XX</w:t>
            </w:r>
          </w:p>
        </w:tc>
        <w:tc>
          <w:tcPr>
            <w:tcW w:w="3390" w:type="dxa"/>
            <w:tcBorders>
              <w:top w:val="single" w:color="auto" w:sz="4" w:space="0"/>
              <w:left w:val="nil"/>
              <w:bottom w:val="single" w:color="auto" w:sz="4" w:space="0"/>
              <w:right w:val="single" w:color="auto" w:sz="4" w:space="0"/>
            </w:tcBorders>
            <w:noWrap w:val="0"/>
            <w:vAlign w:val="center"/>
          </w:tcPr>
          <w:p w14:paraId="027CB7E0">
            <w:pPr>
              <w:shd w:val="clear" w:color="auto" w:fill="FFFFFF"/>
              <w:spacing w:line="300" w:lineRule="exact"/>
              <w:jc w:val="center"/>
              <w:rPr>
                <w:rFonts w:hint="eastAsia" w:eastAsia="方正仿宋_GBK"/>
                <w:color w:val="auto"/>
                <w:kern w:val="0"/>
                <w:sz w:val="24"/>
                <w:szCs w:val="24"/>
                <w:lang w:eastAsia="zh-CN"/>
              </w:rPr>
            </w:pPr>
            <w:r>
              <w:rPr>
                <w:rFonts w:hint="eastAsia" w:eastAsia="方正仿宋_GBK"/>
                <w:color w:val="auto"/>
                <w:kern w:val="0"/>
                <w:sz w:val="24"/>
                <w:szCs w:val="24"/>
                <w:lang w:val="en-US" w:eastAsia="zh-CN"/>
              </w:rPr>
              <w:t>1.</w:t>
            </w:r>
            <w:r>
              <w:rPr>
                <w:rFonts w:eastAsia="方正仿宋_GBK"/>
                <w:color w:val="auto"/>
                <w:kern w:val="0"/>
                <w:sz w:val="24"/>
                <w:szCs w:val="24"/>
              </w:rPr>
              <w:t>律师事务所监督检查</w:t>
            </w:r>
            <w:r>
              <w:rPr>
                <w:rFonts w:hint="eastAsia" w:eastAsia="方正仿宋_GBK"/>
                <w:color w:val="auto"/>
                <w:kern w:val="0"/>
                <w:sz w:val="24"/>
                <w:szCs w:val="24"/>
                <w:lang w:eastAsia="zh-CN"/>
              </w:rPr>
              <w:t>。</w:t>
            </w:r>
          </w:p>
          <w:p w14:paraId="16C0D3DD">
            <w:pPr>
              <w:shd w:val="clear" w:color="auto" w:fill="FFFFFF"/>
              <w:spacing w:line="300" w:lineRule="exact"/>
              <w:jc w:val="center"/>
              <w:rPr>
                <w:rFonts w:hint="eastAsia" w:ascii="宋体" w:hAnsi="宋体" w:eastAsia="方正仿宋_GBK" w:cs="宋体"/>
                <w:color w:val="auto"/>
                <w:kern w:val="0"/>
                <w:sz w:val="24"/>
                <w:szCs w:val="24"/>
                <w:lang w:eastAsia="zh-CN"/>
              </w:rPr>
            </w:pPr>
            <w:r>
              <w:rPr>
                <w:rFonts w:hint="eastAsia" w:eastAsia="方正仿宋_GBK"/>
                <w:color w:val="auto"/>
                <w:kern w:val="0"/>
                <w:sz w:val="24"/>
                <w:szCs w:val="24"/>
                <w:lang w:val="en-US" w:eastAsia="zh-CN"/>
              </w:rPr>
              <w:t>2.</w:t>
            </w:r>
            <w:r>
              <w:rPr>
                <w:rFonts w:eastAsia="方正仿宋_GBK"/>
                <w:color w:val="auto"/>
                <w:kern w:val="0"/>
                <w:sz w:val="24"/>
                <w:szCs w:val="24"/>
              </w:rPr>
              <w:t>是否存在违反法定程序办理变更名称、负责人、章程、合伙协议、住所、合伙人等重大事项的违法行为</w:t>
            </w:r>
            <w:r>
              <w:rPr>
                <w:rFonts w:hint="eastAsia" w:eastAsia="方正仿宋_GBK"/>
                <w:color w:val="auto"/>
                <w:kern w:val="0"/>
                <w:sz w:val="24"/>
                <w:szCs w:val="24"/>
                <w:lang w:eastAsia="zh-CN"/>
              </w:rPr>
              <w:t>；</w:t>
            </w:r>
            <w:r>
              <w:rPr>
                <w:rFonts w:eastAsia="方正仿宋_GBK"/>
                <w:color w:val="auto"/>
                <w:kern w:val="0"/>
                <w:sz w:val="24"/>
                <w:szCs w:val="24"/>
              </w:rPr>
              <w:t>是否存在向司法行政部门提供虚假材料或者有其他弄虚作假行为的违法行为</w:t>
            </w:r>
            <w:r>
              <w:rPr>
                <w:rFonts w:hint="eastAsia" w:eastAsia="方正仿宋_GBK"/>
                <w:color w:val="auto"/>
                <w:kern w:val="0"/>
                <w:sz w:val="24"/>
                <w:szCs w:val="24"/>
                <w:lang w:eastAsia="zh-CN"/>
              </w:rPr>
              <w:t>；</w:t>
            </w:r>
            <w:r>
              <w:rPr>
                <w:rFonts w:eastAsia="方正仿宋_GBK"/>
                <w:color w:val="auto"/>
                <w:kern w:val="0"/>
                <w:sz w:val="24"/>
                <w:szCs w:val="24"/>
              </w:rPr>
              <w:t>是否存在对本所律师疏于管理，造成严重后果的违法行为</w:t>
            </w:r>
            <w:r>
              <w:rPr>
                <w:rFonts w:hint="eastAsia" w:eastAsia="方正仿宋_GBK"/>
                <w:color w:val="auto"/>
                <w:kern w:val="0"/>
                <w:sz w:val="24"/>
                <w:szCs w:val="24"/>
                <w:lang w:eastAsia="zh-CN"/>
              </w:rPr>
              <w:t>；</w:t>
            </w:r>
            <w:r>
              <w:rPr>
                <w:rFonts w:eastAsia="方正仿宋_GBK"/>
                <w:color w:val="auto"/>
                <w:kern w:val="0"/>
                <w:sz w:val="24"/>
                <w:szCs w:val="24"/>
              </w:rPr>
              <w:t>是否存在从事法律服务以外的经营活动的违法行为</w:t>
            </w:r>
            <w:r>
              <w:rPr>
                <w:rFonts w:hint="eastAsia" w:eastAsia="方正仿宋_GBK"/>
                <w:color w:val="auto"/>
                <w:kern w:val="0"/>
                <w:sz w:val="24"/>
                <w:szCs w:val="24"/>
                <w:lang w:eastAsia="zh-CN"/>
              </w:rPr>
              <w:t>。</w:t>
            </w:r>
          </w:p>
        </w:tc>
        <w:tc>
          <w:tcPr>
            <w:tcW w:w="2655" w:type="dxa"/>
            <w:tcBorders>
              <w:top w:val="single" w:color="auto" w:sz="4" w:space="0"/>
              <w:left w:val="nil"/>
              <w:bottom w:val="single" w:color="auto" w:sz="4" w:space="0"/>
              <w:right w:val="single" w:color="auto" w:sz="4" w:space="0"/>
            </w:tcBorders>
            <w:noWrap w:val="0"/>
            <w:vAlign w:val="center"/>
          </w:tcPr>
          <w:p w14:paraId="66952A16">
            <w:pPr>
              <w:shd w:val="clear" w:color="auto" w:fill="FFFFFF"/>
              <w:spacing w:line="300" w:lineRule="exact"/>
              <w:jc w:val="center"/>
              <w:rPr>
                <w:rFonts w:hint="eastAsia" w:ascii="宋体" w:hAnsi="宋体" w:eastAsia="宋体" w:cs="宋体"/>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律师法》《律师事务所管理办法》（司法部令第142号）《律师执业管理办法》（司法部令第134号）《律师事务所年度检查考核办法》（司法部令第121号）《律师和律师事务所违法行为处罚办法》</w:t>
            </w:r>
            <w:r>
              <w:rPr>
                <w:rFonts w:hint="eastAsia" w:eastAsia="方正仿宋_GBK"/>
                <w:color w:val="auto"/>
                <w:kern w:val="0"/>
                <w:sz w:val="24"/>
                <w:szCs w:val="24"/>
              </w:rPr>
              <w:t>（司法部令第122号）</w:t>
            </w:r>
          </w:p>
        </w:tc>
        <w:tc>
          <w:tcPr>
            <w:tcW w:w="1080" w:type="dxa"/>
            <w:tcBorders>
              <w:top w:val="single" w:color="auto" w:sz="4" w:space="0"/>
              <w:left w:val="nil"/>
              <w:bottom w:val="single" w:color="auto" w:sz="4" w:space="0"/>
              <w:right w:val="single" w:color="auto" w:sz="4" w:space="0"/>
            </w:tcBorders>
            <w:noWrap w:val="0"/>
            <w:vAlign w:val="center"/>
          </w:tcPr>
          <w:p w14:paraId="7038970F">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s="仿宋"/>
                <w:color w:val="auto"/>
                <w:kern w:val="0"/>
                <w:sz w:val="24"/>
                <w:szCs w:val="24"/>
                <w:lang w:eastAsia="zh-CN"/>
              </w:rPr>
              <w:t>未发现违法行为</w:t>
            </w:r>
          </w:p>
        </w:tc>
        <w:tc>
          <w:tcPr>
            <w:tcW w:w="1230" w:type="dxa"/>
            <w:tcBorders>
              <w:top w:val="single" w:color="auto" w:sz="4" w:space="0"/>
              <w:left w:val="nil"/>
              <w:bottom w:val="single" w:color="auto" w:sz="4" w:space="0"/>
              <w:right w:val="single" w:color="auto" w:sz="4" w:space="0"/>
            </w:tcBorders>
            <w:noWrap w:val="0"/>
            <w:vAlign w:val="center"/>
          </w:tcPr>
          <w:p w14:paraId="3FCEC85D">
            <w:pPr>
              <w:shd w:val="clear" w:color="auto" w:fill="FFFFFF"/>
              <w:spacing w:line="300" w:lineRule="exact"/>
              <w:jc w:val="center"/>
              <w:rPr>
                <w:rFonts w:hint="eastAsia" w:ascii="宋体" w:hAnsi="宋体" w:eastAsia="宋体" w:cs="宋体"/>
                <w:color w:val="auto"/>
                <w:kern w:val="0"/>
                <w:sz w:val="24"/>
                <w:szCs w:val="24"/>
              </w:rPr>
            </w:pPr>
            <w:r>
              <w:rPr>
                <w:rFonts w:hint="default" w:ascii="Times New Roman" w:hAnsi="Times New Roman" w:eastAsia="方正仿宋_GBK" w:cs="Times New Roman"/>
                <w:color w:val="auto"/>
                <w:kern w:val="0"/>
                <w:sz w:val="24"/>
                <w:szCs w:val="24"/>
              </w:rPr>
              <w:t>202</w:t>
            </w:r>
            <w:r>
              <w:rPr>
                <w:rFonts w:hint="default" w:ascii="Times New Roman" w:hAnsi="Times New Roman" w:eastAsia="方正仿宋_GBK" w:cs="Times New Roman"/>
                <w:color w:val="auto"/>
                <w:kern w:val="0"/>
                <w:sz w:val="24"/>
                <w:szCs w:val="24"/>
                <w:lang w:val="en-US" w:eastAsia="zh-CN"/>
              </w:rPr>
              <w:t>5-7</w:t>
            </w:r>
            <w:r>
              <w:rPr>
                <w:rFonts w:hint="default" w:ascii="Times New Roman" w:hAnsi="Times New Roman" w:eastAsia="方正仿宋_GBK" w:cs="Times New Roman"/>
                <w:color w:val="auto"/>
                <w:kern w:val="0"/>
                <w:sz w:val="24"/>
                <w:szCs w:val="24"/>
              </w:rPr>
              <w:t>-</w:t>
            </w:r>
            <w:r>
              <w:rPr>
                <w:rFonts w:hint="default" w:ascii="Times New Roman" w:hAnsi="Times New Roman" w:eastAsia="方正仿宋_GBK" w:cs="Times New Roman"/>
                <w:color w:val="auto"/>
                <w:kern w:val="0"/>
                <w:sz w:val="24"/>
                <w:szCs w:val="24"/>
                <w:lang w:val="en-US" w:eastAsia="zh-CN"/>
              </w:rPr>
              <w:t>2</w:t>
            </w:r>
          </w:p>
        </w:tc>
        <w:tc>
          <w:tcPr>
            <w:tcW w:w="1080" w:type="dxa"/>
            <w:tcBorders>
              <w:top w:val="single" w:color="auto" w:sz="4" w:space="0"/>
              <w:left w:val="nil"/>
              <w:bottom w:val="single" w:color="auto" w:sz="4" w:space="0"/>
              <w:right w:val="single" w:color="auto" w:sz="4" w:space="0"/>
            </w:tcBorders>
            <w:noWrap w:val="0"/>
            <w:vAlign w:val="center"/>
          </w:tcPr>
          <w:p w14:paraId="7ABB4965">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val="en-US" w:eastAsia="zh-CN"/>
              </w:rPr>
              <w:t>重庆市石柱土家族自治县</w:t>
            </w:r>
            <w:r>
              <w:rPr>
                <w:rFonts w:hint="eastAsia" w:ascii="Times New Roman" w:hAnsi="Times New Roman" w:eastAsia="方正仿宋_GBK"/>
                <w:color w:val="auto"/>
                <w:kern w:val="0"/>
                <w:sz w:val="24"/>
                <w:szCs w:val="24"/>
              </w:rPr>
              <w:t>司法局</w:t>
            </w:r>
          </w:p>
        </w:tc>
        <w:tc>
          <w:tcPr>
            <w:tcW w:w="2174" w:type="dxa"/>
            <w:tcBorders>
              <w:top w:val="single" w:color="auto" w:sz="4" w:space="0"/>
              <w:left w:val="nil"/>
              <w:bottom w:val="single" w:color="auto" w:sz="4" w:space="0"/>
              <w:right w:val="single" w:color="auto" w:sz="4" w:space="0"/>
            </w:tcBorders>
            <w:noWrap w:val="0"/>
            <w:vAlign w:val="center"/>
          </w:tcPr>
          <w:p w14:paraId="28BCEDBA">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eastAsia="zh-CN"/>
              </w:rPr>
              <w:t>黄彩艳</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22004011025</w:t>
            </w:r>
            <w:r>
              <w:rPr>
                <w:rFonts w:hint="eastAsia" w:ascii="Times New Roman" w:hAnsi="Times New Roman" w:eastAsia="方正仿宋_GBK"/>
                <w:color w:val="auto"/>
                <w:kern w:val="0"/>
                <w:sz w:val="24"/>
                <w:szCs w:val="24"/>
              </w:rPr>
              <w:t>）</w:t>
            </w:r>
            <w:r>
              <w:rPr>
                <w:rFonts w:hint="eastAsia" w:ascii="Times New Roman" w:hAnsi="Times New Roman" w:eastAsia="方正仿宋_GBK"/>
                <w:color w:val="auto"/>
                <w:kern w:val="0"/>
                <w:sz w:val="24"/>
                <w:szCs w:val="24"/>
                <w:lang w:eastAsia="zh-CN"/>
              </w:rPr>
              <w:t>、</w:t>
            </w:r>
            <w:r>
              <w:rPr>
                <w:rFonts w:hint="eastAsia" w:eastAsia="方正仿宋_GBK"/>
                <w:color w:val="auto"/>
                <w:kern w:val="0"/>
                <w:sz w:val="24"/>
                <w:szCs w:val="24"/>
                <w:lang w:val="en-US" w:eastAsia="zh-CN"/>
              </w:rPr>
              <w:t>李友玥</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22004011021</w:t>
            </w:r>
            <w:r>
              <w:rPr>
                <w:rFonts w:hint="eastAsia" w:ascii="Times New Roman" w:hAnsi="Times New Roman" w:eastAsia="方正仿宋_GBK"/>
                <w:color w:val="auto"/>
                <w:kern w:val="0"/>
                <w:sz w:val="24"/>
                <w:szCs w:val="24"/>
              </w:rPr>
              <w:t>）</w:t>
            </w:r>
          </w:p>
        </w:tc>
      </w:tr>
      <w:tr w14:paraId="4808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1AD716E3">
            <w:pPr>
              <w:shd w:val="clear" w:color="auto" w:fill="FFFFFF"/>
              <w:spacing w:line="3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重庆经冠律师事务所</w:t>
            </w:r>
          </w:p>
        </w:tc>
        <w:tc>
          <w:tcPr>
            <w:tcW w:w="1410" w:type="dxa"/>
            <w:tcBorders>
              <w:top w:val="single" w:color="auto" w:sz="4" w:space="0"/>
              <w:left w:val="nil"/>
              <w:bottom w:val="single" w:color="auto" w:sz="4" w:space="0"/>
              <w:right w:val="single" w:color="auto" w:sz="4" w:space="0"/>
            </w:tcBorders>
            <w:noWrap w:val="0"/>
            <w:vAlign w:val="center"/>
          </w:tcPr>
          <w:p w14:paraId="6D53B277">
            <w:pPr>
              <w:shd w:val="clear" w:color="auto" w:fill="FFFFFF"/>
              <w:spacing w:line="300" w:lineRule="exact"/>
              <w:jc w:val="center"/>
              <w:rPr>
                <w:rFonts w:hint="eastAsia" w:ascii="方正仿宋_GBK" w:hAnsi="方正仿宋_GBK" w:eastAsia="方正仿宋_GBK" w:cs="方正仿宋_GBK"/>
                <w:color w:val="auto"/>
                <w:kern w:val="0"/>
                <w:sz w:val="24"/>
                <w:szCs w:val="24"/>
                <w:shd w:val="clear" w:color="auto" w:fill="auto"/>
              </w:rPr>
            </w:pPr>
            <w:r>
              <w:rPr>
                <w:rFonts w:hint="default" w:ascii="Times New Roman" w:hAnsi="Times New Roman" w:eastAsia="方正仿宋_GBK" w:cs="Times New Roman"/>
                <w:color w:val="auto"/>
                <w:kern w:val="0"/>
                <w:sz w:val="24"/>
                <w:szCs w:val="24"/>
                <w:shd w:val="clear" w:color="auto" w:fill="auto"/>
              </w:rPr>
              <w:t>31500000795881904M</w:t>
            </w:r>
          </w:p>
        </w:tc>
        <w:tc>
          <w:tcPr>
            <w:tcW w:w="3390" w:type="dxa"/>
            <w:tcBorders>
              <w:top w:val="single" w:color="auto" w:sz="4" w:space="0"/>
              <w:left w:val="nil"/>
              <w:bottom w:val="single" w:color="auto" w:sz="4" w:space="0"/>
              <w:right w:val="single" w:color="auto" w:sz="4" w:space="0"/>
            </w:tcBorders>
            <w:noWrap w:val="0"/>
            <w:vAlign w:val="center"/>
          </w:tcPr>
          <w:p w14:paraId="01FD1BE8">
            <w:pPr>
              <w:shd w:val="clear" w:color="auto" w:fill="FFFFFF"/>
              <w:spacing w:line="300" w:lineRule="exact"/>
              <w:ind w:left="0" w:leftChars="0" w:right="0" w:rightChars="0" w:firstLine="0" w:firstLineChars="0"/>
              <w:jc w:val="center"/>
              <w:rPr>
                <w:rFonts w:hint="eastAsia" w:eastAsia="方正仿宋_GBK"/>
                <w:color w:val="auto"/>
                <w:kern w:val="0"/>
                <w:sz w:val="24"/>
                <w:szCs w:val="24"/>
                <w:lang w:eastAsia="zh-CN"/>
              </w:rPr>
            </w:pPr>
            <w:r>
              <w:rPr>
                <w:rFonts w:hint="eastAsia" w:eastAsia="方正仿宋_GBK"/>
                <w:color w:val="auto"/>
                <w:kern w:val="0"/>
                <w:sz w:val="24"/>
                <w:szCs w:val="24"/>
                <w:lang w:val="en-US" w:eastAsia="zh-CN"/>
              </w:rPr>
              <w:t>1.</w:t>
            </w:r>
            <w:r>
              <w:rPr>
                <w:rFonts w:eastAsia="方正仿宋_GBK"/>
                <w:color w:val="auto"/>
                <w:kern w:val="0"/>
                <w:sz w:val="24"/>
                <w:szCs w:val="24"/>
              </w:rPr>
              <w:t>律师事务所监督检查</w:t>
            </w:r>
            <w:r>
              <w:rPr>
                <w:rFonts w:hint="eastAsia" w:eastAsia="方正仿宋_GBK"/>
                <w:color w:val="auto"/>
                <w:kern w:val="0"/>
                <w:sz w:val="24"/>
                <w:szCs w:val="24"/>
                <w:lang w:eastAsia="zh-CN"/>
              </w:rPr>
              <w:t>。</w:t>
            </w:r>
          </w:p>
          <w:p w14:paraId="3DD0609E">
            <w:pPr>
              <w:shd w:val="clear" w:color="auto" w:fill="FFFFFF"/>
              <w:spacing w:line="300" w:lineRule="exact"/>
              <w:ind w:left="0" w:leftChars="0" w:right="0" w:rightChars="0" w:firstLine="0" w:firstLineChars="0"/>
              <w:jc w:val="center"/>
              <w:rPr>
                <w:rFonts w:hint="eastAsia" w:eastAsia="方正仿宋_GBK"/>
                <w:color w:val="auto"/>
                <w:lang w:val="en-US" w:eastAsia="zh-CN"/>
              </w:rPr>
            </w:pPr>
            <w:r>
              <w:rPr>
                <w:rFonts w:hint="eastAsia" w:eastAsia="方正仿宋_GBK"/>
                <w:color w:val="auto"/>
                <w:kern w:val="0"/>
                <w:sz w:val="24"/>
                <w:szCs w:val="24"/>
                <w:lang w:val="en-US" w:eastAsia="zh-CN"/>
              </w:rPr>
              <w:t>2.</w:t>
            </w:r>
            <w:r>
              <w:rPr>
                <w:rFonts w:eastAsia="方正仿宋_GBK"/>
                <w:color w:val="auto"/>
                <w:kern w:val="0"/>
                <w:sz w:val="24"/>
                <w:szCs w:val="24"/>
              </w:rPr>
              <w:t>对代理案件是否存在代理不尽责等有关情况</w:t>
            </w:r>
            <w:r>
              <w:rPr>
                <w:rFonts w:hint="eastAsia" w:eastAsia="方正仿宋_GBK"/>
                <w:color w:val="auto"/>
                <w:kern w:val="0"/>
                <w:sz w:val="24"/>
                <w:szCs w:val="24"/>
                <w:lang w:eastAsia="zh-CN"/>
              </w:rPr>
              <w:t>；</w:t>
            </w:r>
            <w:r>
              <w:rPr>
                <w:rFonts w:eastAsia="方正仿宋_GBK"/>
                <w:color w:val="auto"/>
                <w:kern w:val="0"/>
                <w:sz w:val="24"/>
                <w:szCs w:val="24"/>
              </w:rPr>
              <w:t>是否存在同时在两个律师事务所执业的违法行为</w:t>
            </w:r>
            <w:r>
              <w:rPr>
                <w:rFonts w:hint="eastAsia" w:eastAsia="方正仿宋_GBK"/>
                <w:color w:val="auto"/>
                <w:kern w:val="0"/>
                <w:sz w:val="24"/>
                <w:szCs w:val="24"/>
                <w:lang w:eastAsia="zh-CN"/>
              </w:rPr>
              <w:t>；</w:t>
            </w:r>
            <w:r>
              <w:rPr>
                <w:rFonts w:eastAsia="方正仿宋_GBK"/>
                <w:color w:val="auto"/>
                <w:kern w:val="0"/>
                <w:sz w:val="24"/>
                <w:szCs w:val="24"/>
              </w:rPr>
              <w:t>是否存在以不正当手段承揽业务的违法行为是否存在私自接受委托、收取费用，接受委托人财物或者其他利益的违法行为</w:t>
            </w:r>
            <w:r>
              <w:rPr>
                <w:rFonts w:hint="eastAsia" w:eastAsia="方正仿宋_GBK"/>
                <w:color w:val="auto"/>
                <w:kern w:val="0"/>
                <w:sz w:val="24"/>
                <w:szCs w:val="24"/>
                <w:lang w:eastAsia="zh-CN"/>
              </w:rPr>
              <w:t>；</w:t>
            </w:r>
            <w:r>
              <w:rPr>
                <w:rFonts w:eastAsia="方正仿宋_GBK"/>
                <w:color w:val="auto"/>
                <w:kern w:val="0"/>
                <w:sz w:val="24"/>
                <w:szCs w:val="24"/>
              </w:rPr>
              <w:t>是否存在泄露国家秘密的违法行为</w:t>
            </w:r>
            <w:r>
              <w:rPr>
                <w:rFonts w:hint="eastAsia" w:eastAsia="方正仿宋_GBK"/>
                <w:color w:val="auto"/>
                <w:kern w:val="0"/>
                <w:sz w:val="24"/>
                <w:szCs w:val="24"/>
                <w:lang w:eastAsia="zh-CN"/>
              </w:rPr>
              <w:t>。</w:t>
            </w:r>
          </w:p>
        </w:tc>
        <w:tc>
          <w:tcPr>
            <w:tcW w:w="2655" w:type="dxa"/>
            <w:tcBorders>
              <w:top w:val="single" w:color="auto" w:sz="4" w:space="0"/>
              <w:left w:val="nil"/>
              <w:bottom w:val="single" w:color="auto" w:sz="4" w:space="0"/>
              <w:right w:val="single" w:color="auto" w:sz="4" w:space="0"/>
            </w:tcBorders>
            <w:noWrap w:val="0"/>
            <w:vAlign w:val="center"/>
          </w:tcPr>
          <w:p w14:paraId="14085627">
            <w:pPr>
              <w:shd w:val="clear" w:color="auto" w:fill="FFFFFF"/>
              <w:spacing w:line="300" w:lineRule="exact"/>
              <w:jc w:val="center"/>
              <w:rPr>
                <w:rFonts w:hint="eastAsia" w:ascii="宋体" w:hAnsi="宋体" w:eastAsia="宋体" w:cs="宋体"/>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律师法》《律师事务所管理办法》（司法部令第142号）《律师执业管理办法》（司法部令第134号）《律师事务所年度检查考核办法》（司法部令第121号）《律师和律师事务所违法行为处罚办法》</w:t>
            </w:r>
            <w:r>
              <w:rPr>
                <w:rFonts w:hint="eastAsia" w:eastAsia="方正仿宋_GBK"/>
                <w:color w:val="auto"/>
                <w:kern w:val="0"/>
                <w:sz w:val="24"/>
                <w:szCs w:val="24"/>
              </w:rPr>
              <w:t>（司法部令第122号）</w:t>
            </w:r>
          </w:p>
        </w:tc>
        <w:tc>
          <w:tcPr>
            <w:tcW w:w="1080" w:type="dxa"/>
            <w:tcBorders>
              <w:top w:val="single" w:color="auto" w:sz="4" w:space="0"/>
              <w:left w:val="nil"/>
              <w:bottom w:val="single" w:color="auto" w:sz="4" w:space="0"/>
              <w:right w:val="single" w:color="auto" w:sz="4" w:space="0"/>
            </w:tcBorders>
            <w:noWrap w:val="0"/>
            <w:vAlign w:val="center"/>
          </w:tcPr>
          <w:p w14:paraId="5632907D">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s="仿宋"/>
                <w:color w:val="auto"/>
                <w:kern w:val="0"/>
                <w:sz w:val="24"/>
                <w:szCs w:val="24"/>
                <w:lang w:eastAsia="zh-CN"/>
              </w:rPr>
              <w:t>未发现违法行为</w:t>
            </w:r>
          </w:p>
        </w:tc>
        <w:tc>
          <w:tcPr>
            <w:tcW w:w="1230" w:type="dxa"/>
            <w:tcBorders>
              <w:top w:val="single" w:color="auto" w:sz="4" w:space="0"/>
              <w:left w:val="nil"/>
              <w:bottom w:val="single" w:color="auto" w:sz="4" w:space="0"/>
              <w:right w:val="single" w:color="auto" w:sz="4" w:space="0"/>
            </w:tcBorders>
            <w:noWrap w:val="0"/>
            <w:vAlign w:val="center"/>
          </w:tcPr>
          <w:p w14:paraId="5DAAEBAC">
            <w:pPr>
              <w:shd w:val="clear" w:color="auto" w:fill="FFFFFF"/>
              <w:spacing w:line="300" w:lineRule="exact"/>
              <w:jc w:val="center"/>
              <w:rPr>
                <w:rFonts w:hint="eastAsia" w:ascii="宋体" w:hAnsi="宋体" w:eastAsia="宋体" w:cs="宋体"/>
                <w:color w:val="auto"/>
                <w:kern w:val="0"/>
                <w:sz w:val="24"/>
                <w:szCs w:val="24"/>
              </w:rPr>
            </w:pPr>
            <w:r>
              <w:rPr>
                <w:rFonts w:hint="default" w:ascii="Times New Roman" w:hAnsi="Times New Roman" w:eastAsia="方正仿宋_GBK" w:cs="Times New Roman"/>
                <w:color w:val="auto"/>
                <w:kern w:val="0"/>
                <w:sz w:val="24"/>
                <w:szCs w:val="24"/>
              </w:rPr>
              <w:t>202</w:t>
            </w:r>
            <w:r>
              <w:rPr>
                <w:rFonts w:hint="default" w:ascii="Times New Roman" w:hAnsi="Times New Roman" w:eastAsia="方正仿宋_GBK" w:cs="Times New Roman"/>
                <w:color w:val="auto"/>
                <w:kern w:val="0"/>
                <w:sz w:val="24"/>
                <w:szCs w:val="24"/>
                <w:lang w:val="en-US" w:eastAsia="zh-CN"/>
              </w:rPr>
              <w:t>5-7</w:t>
            </w:r>
            <w:r>
              <w:rPr>
                <w:rFonts w:hint="default" w:ascii="Times New Roman" w:hAnsi="Times New Roman" w:eastAsia="方正仿宋_GBK" w:cs="Times New Roman"/>
                <w:color w:val="auto"/>
                <w:kern w:val="0"/>
                <w:sz w:val="24"/>
                <w:szCs w:val="24"/>
              </w:rPr>
              <w:t>-</w:t>
            </w:r>
            <w:r>
              <w:rPr>
                <w:rFonts w:hint="default" w:ascii="Times New Roman" w:hAnsi="Times New Roman" w:eastAsia="方正仿宋_GBK" w:cs="Times New Roman"/>
                <w:color w:val="auto"/>
                <w:kern w:val="0"/>
                <w:sz w:val="24"/>
                <w:szCs w:val="24"/>
                <w:lang w:val="en-US" w:eastAsia="zh-CN"/>
              </w:rPr>
              <w:t>2</w:t>
            </w:r>
          </w:p>
        </w:tc>
        <w:tc>
          <w:tcPr>
            <w:tcW w:w="1080" w:type="dxa"/>
            <w:tcBorders>
              <w:top w:val="single" w:color="auto" w:sz="4" w:space="0"/>
              <w:left w:val="nil"/>
              <w:bottom w:val="single" w:color="auto" w:sz="4" w:space="0"/>
              <w:right w:val="single" w:color="auto" w:sz="4" w:space="0"/>
            </w:tcBorders>
            <w:noWrap w:val="0"/>
            <w:vAlign w:val="center"/>
          </w:tcPr>
          <w:p w14:paraId="78FA3680">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val="en-US" w:eastAsia="zh-CN"/>
              </w:rPr>
              <w:t>重庆市石柱土家族自治县</w:t>
            </w:r>
            <w:r>
              <w:rPr>
                <w:rFonts w:hint="eastAsia" w:ascii="Times New Roman" w:hAnsi="Times New Roman" w:eastAsia="方正仿宋_GBK"/>
                <w:color w:val="auto"/>
                <w:kern w:val="0"/>
                <w:sz w:val="24"/>
                <w:szCs w:val="24"/>
              </w:rPr>
              <w:t>司法局</w:t>
            </w:r>
          </w:p>
        </w:tc>
        <w:tc>
          <w:tcPr>
            <w:tcW w:w="2174" w:type="dxa"/>
            <w:tcBorders>
              <w:top w:val="single" w:color="auto" w:sz="4" w:space="0"/>
              <w:left w:val="nil"/>
              <w:bottom w:val="single" w:color="auto" w:sz="4" w:space="0"/>
              <w:right w:val="single" w:color="auto" w:sz="4" w:space="0"/>
            </w:tcBorders>
            <w:noWrap w:val="0"/>
            <w:vAlign w:val="center"/>
          </w:tcPr>
          <w:p w14:paraId="63859294">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eastAsia="zh-CN"/>
              </w:rPr>
              <w:t>黄彩艳</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22004011025</w:t>
            </w:r>
            <w:r>
              <w:rPr>
                <w:rFonts w:hint="eastAsia" w:ascii="Times New Roman" w:hAnsi="Times New Roman" w:eastAsia="方正仿宋_GBK"/>
                <w:color w:val="auto"/>
                <w:kern w:val="0"/>
                <w:sz w:val="24"/>
                <w:szCs w:val="24"/>
              </w:rPr>
              <w:t>）</w:t>
            </w:r>
            <w:r>
              <w:rPr>
                <w:rFonts w:hint="eastAsia" w:ascii="Times New Roman" w:hAnsi="Times New Roman" w:eastAsia="方正仿宋_GBK"/>
                <w:color w:val="auto"/>
                <w:kern w:val="0"/>
                <w:sz w:val="24"/>
                <w:szCs w:val="24"/>
                <w:lang w:eastAsia="zh-CN"/>
              </w:rPr>
              <w:t>、</w:t>
            </w:r>
            <w:r>
              <w:rPr>
                <w:rFonts w:hint="eastAsia" w:eastAsia="方正仿宋_GBK"/>
                <w:color w:val="auto"/>
                <w:kern w:val="0"/>
                <w:sz w:val="24"/>
                <w:szCs w:val="24"/>
                <w:lang w:val="en-US" w:eastAsia="zh-CN"/>
              </w:rPr>
              <w:t>李友玥</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22004011021</w:t>
            </w:r>
            <w:r>
              <w:rPr>
                <w:rFonts w:hint="eastAsia" w:ascii="Times New Roman" w:hAnsi="Times New Roman" w:eastAsia="方正仿宋_GBK"/>
                <w:color w:val="auto"/>
                <w:kern w:val="0"/>
                <w:sz w:val="24"/>
                <w:szCs w:val="24"/>
              </w:rPr>
              <w:t>）</w:t>
            </w:r>
          </w:p>
        </w:tc>
      </w:tr>
      <w:tr w14:paraId="7859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27A71DC0">
            <w:pPr>
              <w:shd w:val="clear" w:color="auto" w:fill="FFFFFF"/>
              <w:spacing w:line="3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重庆兴昊达律师事务所</w:t>
            </w:r>
          </w:p>
        </w:tc>
        <w:tc>
          <w:tcPr>
            <w:tcW w:w="1410" w:type="dxa"/>
            <w:tcBorders>
              <w:top w:val="single" w:color="auto" w:sz="4" w:space="0"/>
              <w:left w:val="nil"/>
              <w:bottom w:val="single" w:color="auto" w:sz="4" w:space="0"/>
              <w:right w:val="single" w:color="auto" w:sz="4" w:space="0"/>
            </w:tcBorders>
            <w:noWrap w:val="0"/>
            <w:vAlign w:val="center"/>
          </w:tcPr>
          <w:p w14:paraId="3C46D670">
            <w:pPr>
              <w:shd w:val="clear" w:color="auto" w:fill="FFFFFF"/>
              <w:spacing w:line="300" w:lineRule="exact"/>
              <w:jc w:val="center"/>
              <w:rPr>
                <w:rFonts w:hint="eastAsia" w:ascii="方正仿宋_GBK" w:hAnsi="方正仿宋_GBK" w:eastAsia="方正仿宋_GBK" w:cs="方正仿宋_GBK"/>
                <w:color w:val="auto"/>
                <w:kern w:val="0"/>
                <w:sz w:val="24"/>
                <w:szCs w:val="24"/>
                <w:shd w:val="clear" w:color="auto" w:fill="auto"/>
              </w:rPr>
            </w:pPr>
            <w:r>
              <w:rPr>
                <w:rFonts w:hint="default" w:ascii="Times New Roman" w:hAnsi="Times New Roman" w:eastAsia="方正仿宋_GBK" w:cs="Times New Roman"/>
                <w:color w:val="auto"/>
                <w:kern w:val="0"/>
                <w:sz w:val="24"/>
                <w:szCs w:val="24"/>
                <w:shd w:val="clear" w:color="auto" w:fill="auto"/>
              </w:rPr>
              <w:t>31500000MD0300473K</w:t>
            </w:r>
          </w:p>
        </w:tc>
        <w:tc>
          <w:tcPr>
            <w:tcW w:w="3390" w:type="dxa"/>
            <w:tcBorders>
              <w:top w:val="single" w:color="auto" w:sz="4" w:space="0"/>
              <w:left w:val="nil"/>
              <w:bottom w:val="single" w:color="auto" w:sz="4" w:space="0"/>
              <w:right w:val="single" w:color="auto" w:sz="4" w:space="0"/>
            </w:tcBorders>
            <w:noWrap w:val="0"/>
            <w:vAlign w:val="center"/>
          </w:tcPr>
          <w:p w14:paraId="42C4D0EB">
            <w:pPr>
              <w:shd w:val="clear" w:color="auto" w:fill="FFFFFF"/>
              <w:spacing w:line="300" w:lineRule="exact"/>
              <w:ind w:left="0" w:leftChars="0" w:right="0" w:rightChars="0" w:firstLine="0" w:firstLineChars="0"/>
              <w:jc w:val="center"/>
              <w:rPr>
                <w:rFonts w:hint="eastAsia" w:eastAsia="方正仿宋_GBK"/>
                <w:color w:val="auto"/>
                <w:kern w:val="0"/>
                <w:sz w:val="24"/>
                <w:szCs w:val="24"/>
                <w:lang w:eastAsia="zh-CN"/>
              </w:rPr>
            </w:pPr>
            <w:r>
              <w:rPr>
                <w:rFonts w:hint="eastAsia" w:eastAsia="方正仿宋_GBK"/>
                <w:color w:val="auto"/>
                <w:kern w:val="0"/>
                <w:sz w:val="24"/>
                <w:szCs w:val="24"/>
                <w:lang w:val="en-US" w:eastAsia="zh-CN"/>
              </w:rPr>
              <w:t>1.</w:t>
            </w:r>
            <w:r>
              <w:rPr>
                <w:rFonts w:eastAsia="方正仿宋_GBK"/>
                <w:color w:val="auto"/>
                <w:kern w:val="0"/>
                <w:sz w:val="24"/>
                <w:szCs w:val="24"/>
              </w:rPr>
              <w:t>律师事务所监督检查</w:t>
            </w:r>
            <w:r>
              <w:rPr>
                <w:rFonts w:hint="eastAsia" w:eastAsia="方正仿宋_GBK"/>
                <w:color w:val="auto"/>
                <w:kern w:val="0"/>
                <w:sz w:val="24"/>
                <w:szCs w:val="24"/>
                <w:lang w:eastAsia="zh-CN"/>
              </w:rPr>
              <w:t>。</w:t>
            </w:r>
          </w:p>
          <w:p w14:paraId="29879508">
            <w:pPr>
              <w:shd w:val="clear" w:color="auto" w:fill="FFFFFF"/>
              <w:spacing w:line="300" w:lineRule="exact"/>
              <w:ind w:left="0" w:leftChars="0" w:right="0" w:rightChars="0" w:firstLine="0" w:firstLineChars="0"/>
              <w:jc w:val="center"/>
              <w:rPr>
                <w:rFonts w:hint="eastAsia" w:ascii="宋体" w:hAnsi="宋体" w:eastAsia="方正仿宋_GBK" w:cs="宋体"/>
                <w:color w:val="auto"/>
                <w:spacing w:val="0"/>
                <w:kern w:val="0"/>
                <w:position w:val="0"/>
                <w:sz w:val="24"/>
                <w:szCs w:val="24"/>
                <w:lang w:val="en-US" w:eastAsia="zh-CN" w:bidi="ar-SA"/>
              </w:rPr>
            </w:pPr>
            <w:r>
              <w:rPr>
                <w:rFonts w:hint="eastAsia" w:eastAsia="方正仿宋_GBK"/>
                <w:color w:val="auto"/>
                <w:kern w:val="0"/>
                <w:sz w:val="24"/>
                <w:szCs w:val="24"/>
                <w:lang w:val="en-US" w:eastAsia="zh-CN"/>
              </w:rPr>
              <w:t>2.</w:t>
            </w:r>
            <w:r>
              <w:rPr>
                <w:rFonts w:eastAsia="方正仿宋_GBK"/>
                <w:color w:val="auto"/>
                <w:kern w:val="0"/>
                <w:sz w:val="24"/>
                <w:szCs w:val="24"/>
              </w:rPr>
              <w:t>对代理案件是否存在代理不尽责等有关情况</w:t>
            </w:r>
            <w:r>
              <w:rPr>
                <w:rFonts w:hint="eastAsia" w:eastAsia="方正仿宋_GBK"/>
                <w:color w:val="auto"/>
                <w:kern w:val="0"/>
                <w:sz w:val="24"/>
                <w:szCs w:val="24"/>
                <w:lang w:eastAsia="zh-CN"/>
              </w:rPr>
              <w:t>；</w:t>
            </w:r>
            <w:r>
              <w:rPr>
                <w:rFonts w:eastAsia="方正仿宋_GBK"/>
                <w:color w:val="auto"/>
                <w:kern w:val="0"/>
                <w:sz w:val="24"/>
                <w:szCs w:val="24"/>
              </w:rPr>
              <w:t>是否存在同时在两个律师事务所执业的违法行为</w:t>
            </w:r>
            <w:r>
              <w:rPr>
                <w:rFonts w:hint="eastAsia" w:eastAsia="方正仿宋_GBK"/>
                <w:color w:val="auto"/>
                <w:kern w:val="0"/>
                <w:sz w:val="24"/>
                <w:szCs w:val="24"/>
                <w:lang w:eastAsia="zh-CN"/>
              </w:rPr>
              <w:t>；</w:t>
            </w:r>
            <w:r>
              <w:rPr>
                <w:rFonts w:eastAsia="方正仿宋_GBK"/>
                <w:color w:val="auto"/>
                <w:kern w:val="0"/>
                <w:sz w:val="24"/>
                <w:szCs w:val="24"/>
              </w:rPr>
              <w:t>是否存在以不正当手段承揽业务的违法行为是否存在私自接受委托、收取费用，接受委托人财物或者其他利益的违法行为</w:t>
            </w:r>
            <w:r>
              <w:rPr>
                <w:rFonts w:hint="eastAsia" w:eastAsia="方正仿宋_GBK"/>
                <w:color w:val="auto"/>
                <w:kern w:val="0"/>
                <w:sz w:val="24"/>
                <w:szCs w:val="24"/>
                <w:lang w:eastAsia="zh-CN"/>
              </w:rPr>
              <w:t>；</w:t>
            </w:r>
            <w:r>
              <w:rPr>
                <w:rFonts w:eastAsia="方正仿宋_GBK"/>
                <w:color w:val="auto"/>
                <w:kern w:val="0"/>
                <w:sz w:val="24"/>
                <w:szCs w:val="24"/>
              </w:rPr>
              <w:t>是否存在泄露国家秘密的违法行为</w:t>
            </w:r>
            <w:r>
              <w:rPr>
                <w:rFonts w:hint="eastAsia" w:eastAsia="方正仿宋_GBK"/>
                <w:color w:val="auto"/>
                <w:kern w:val="0"/>
                <w:sz w:val="24"/>
                <w:szCs w:val="24"/>
                <w:lang w:eastAsia="zh-CN"/>
              </w:rPr>
              <w:t>。</w:t>
            </w:r>
          </w:p>
        </w:tc>
        <w:tc>
          <w:tcPr>
            <w:tcW w:w="2655" w:type="dxa"/>
            <w:tcBorders>
              <w:top w:val="single" w:color="auto" w:sz="4" w:space="0"/>
              <w:left w:val="nil"/>
              <w:bottom w:val="single" w:color="auto" w:sz="4" w:space="0"/>
              <w:right w:val="single" w:color="auto" w:sz="4" w:space="0"/>
            </w:tcBorders>
            <w:noWrap w:val="0"/>
            <w:vAlign w:val="center"/>
          </w:tcPr>
          <w:p w14:paraId="68C3B413">
            <w:pPr>
              <w:shd w:val="clear" w:color="auto" w:fill="FFFFFF"/>
              <w:spacing w:line="300" w:lineRule="exact"/>
              <w:jc w:val="center"/>
              <w:rPr>
                <w:rFonts w:hint="eastAsia" w:ascii="宋体" w:hAnsi="宋体" w:eastAsia="宋体" w:cs="宋体"/>
                <w:color w:val="auto"/>
                <w:kern w:val="0"/>
                <w:sz w:val="24"/>
                <w:szCs w:val="24"/>
              </w:rPr>
            </w:pPr>
            <w:r>
              <w:rPr>
                <w:rFonts w:eastAsia="方正仿宋_GBK"/>
                <w:color w:val="auto"/>
                <w:kern w:val="0"/>
                <w:sz w:val="24"/>
                <w:szCs w:val="24"/>
              </w:rPr>
              <w:t>《</w:t>
            </w:r>
            <w:r>
              <w:rPr>
                <w:rFonts w:hint="eastAsia" w:eastAsia="方正仿宋_GBK"/>
                <w:color w:val="auto"/>
                <w:kern w:val="0"/>
                <w:sz w:val="24"/>
                <w:szCs w:val="24"/>
              </w:rPr>
              <w:t>中华人民共和国</w:t>
            </w:r>
            <w:r>
              <w:rPr>
                <w:rFonts w:eastAsia="方正仿宋_GBK"/>
                <w:color w:val="auto"/>
                <w:kern w:val="0"/>
                <w:sz w:val="24"/>
                <w:szCs w:val="24"/>
              </w:rPr>
              <w:t>律师法》《律师事务所管理办法》（司法部令第142号）《律师执业管理办法》（司法部令第134号）《律师事务所年度检查考核办法》（司法部令第121号）《律师和律师事务所违法行为处罚办法》</w:t>
            </w:r>
            <w:r>
              <w:rPr>
                <w:rFonts w:hint="eastAsia" w:eastAsia="方正仿宋_GBK"/>
                <w:color w:val="auto"/>
                <w:kern w:val="0"/>
                <w:sz w:val="24"/>
                <w:szCs w:val="24"/>
              </w:rPr>
              <w:t>（司法部令第122号）</w:t>
            </w:r>
          </w:p>
        </w:tc>
        <w:tc>
          <w:tcPr>
            <w:tcW w:w="1080" w:type="dxa"/>
            <w:tcBorders>
              <w:top w:val="single" w:color="auto" w:sz="4" w:space="0"/>
              <w:left w:val="nil"/>
              <w:bottom w:val="single" w:color="auto" w:sz="4" w:space="0"/>
              <w:right w:val="single" w:color="auto" w:sz="4" w:space="0"/>
            </w:tcBorders>
            <w:noWrap w:val="0"/>
            <w:vAlign w:val="center"/>
          </w:tcPr>
          <w:p w14:paraId="6A4CFED5">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s="仿宋"/>
                <w:color w:val="auto"/>
                <w:kern w:val="0"/>
                <w:sz w:val="24"/>
                <w:szCs w:val="24"/>
                <w:lang w:eastAsia="zh-CN"/>
              </w:rPr>
              <w:t>未发现违法行为</w:t>
            </w:r>
          </w:p>
        </w:tc>
        <w:tc>
          <w:tcPr>
            <w:tcW w:w="1230" w:type="dxa"/>
            <w:tcBorders>
              <w:top w:val="single" w:color="auto" w:sz="4" w:space="0"/>
              <w:left w:val="nil"/>
              <w:bottom w:val="single" w:color="auto" w:sz="4" w:space="0"/>
              <w:right w:val="single" w:color="auto" w:sz="4" w:space="0"/>
            </w:tcBorders>
            <w:noWrap w:val="0"/>
            <w:vAlign w:val="center"/>
          </w:tcPr>
          <w:p w14:paraId="06AE515B">
            <w:pPr>
              <w:shd w:val="clear" w:color="auto" w:fill="FFFFFF"/>
              <w:spacing w:line="300" w:lineRule="exact"/>
              <w:jc w:val="center"/>
              <w:rPr>
                <w:rFonts w:hint="eastAsia" w:ascii="宋体" w:hAnsi="宋体" w:eastAsia="宋体" w:cs="宋体"/>
                <w:color w:val="auto"/>
                <w:kern w:val="0"/>
                <w:sz w:val="24"/>
                <w:szCs w:val="24"/>
              </w:rPr>
            </w:pPr>
            <w:r>
              <w:rPr>
                <w:rFonts w:hint="default" w:ascii="Times New Roman" w:hAnsi="Times New Roman" w:eastAsia="方正仿宋_GBK" w:cs="Times New Roman"/>
                <w:color w:val="auto"/>
                <w:kern w:val="0"/>
                <w:sz w:val="24"/>
                <w:szCs w:val="24"/>
              </w:rPr>
              <w:t>202</w:t>
            </w:r>
            <w:r>
              <w:rPr>
                <w:rFonts w:hint="default" w:ascii="Times New Roman" w:hAnsi="Times New Roman" w:eastAsia="方正仿宋_GBK" w:cs="Times New Roman"/>
                <w:color w:val="auto"/>
                <w:kern w:val="0"/>
                <w:sz w:val="24"/>
                <w:szCs w:val="24"/>
                <w:lang w:val="en-US" w:eastAsia="zh-CN"/>
              </w:rPr>
              <w:t>5-</w:t>
            </w:r>
            <w:bookmarkStart w:id="0" w:name="_GoBack"/>
            <w:bookmarkEnd w:id="0"/>
            <w:r>
              <w:rPr>
                <w:rFonts w:hint="default" w:ascii="Times New Roman" w:hAnsi="Times New Roman" w:eastAsia="方正仿宋_GBK" w:cs="Times New Roman"/>
                <w:color w:val="auto"/>
                <w:kern w:val="0"/>
                <w:sz w:val="24"/>
                <w:szCs w:val="24"/>
                <w:lang w:val="en-US" w:eastAsia="zh-CN"/>
              </w:rPr>
              <w:t>7</w:t>
            </w:r>
            <w:r>
              <w:rPr>
                <w:rFonts w:hint="default" w:ascii="Times New Roman" w:hAnsi="Times New Roman" w:eastAsia="方正仿宋_GBK" w:cs="Times New Roman"/>
                <w:color w:val="auto"/>
                <w:kern w:val="0"/>
                <w:sz w:val="24"/>
                <w:szCs w:val="24"/>
              </w:rPr>
              <w:t>-</w:t>
            </w:r>
            <w:r>
              <w:rPr>
                <w:rFonts w:hint="default" w:ascii="Times New Roman" w:hAnsi="Times New Roman" w:eastAsia="方正仿宋_GBK" w:cs="Times New Roman"/>
                <w:color w:val="auto"/>
                <w:kern w:val="0"/>
                <w:sz w:val="24"/>
                <w:szCs w:val="24"/>
                <w:lang w:val="en-US" w:eastAsia="zh-CN"/>
              </w:rPr>
              <w:t>2</w:t>
            </w:r>
          </w:p>
        </w:tc>
        <w:tc>
          <w:tcPr>
            <w:tcW w:w="1080" w:type="dxa"/>
            <w:tcBorders>
              <w:top w:val="single" w:color="auto" w:sz="4" w:space="0"/>
              <w:left w:val="nil"/>
              <w:bottom w:val="single" w:color="auto" w:sz="4" w:space="0"/>
              <w:right w:val="single" w:color="auto" w:sz="4" w:space="0"/>
            </w:tcBorders>
            <w:noWrap w:val="0"/>
            <w:vAlign w:val="center"/>
          </w:tcPr>
          <w:p w14:paraId="623074BA">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val="en-US" w:eastAsia="zh-CN"/>
              </w:rPr>
              <w:t>重庆市石柱土家族自治县</w:t>
            </w:r>
            <w:r>
              <w:rPr>
                <w:rFonts w:hint="eastAsia" w:ascii="Times New Roman" w:hAnsi="Times New Roman" w:eastAsia="方正仿宋_GBK"/>
                <w:color w:val="auto"/>
                <w:kern w:val="0"/>
                <w:sz w:val="24"/>
                <w:szCs w:val="24"/>
              </w:rPr>
              <w:t>司法局</w:t>
            </w:r>
          </w:p>
        </w:tc>
        <w:tc>
          <w:tcPr>
            <w:tcW w:w="2174" w:type="dxa"/>
            <w:tcBorders>
              <w:top w:val="single" w:color="auto" w:sz="4" w:space="0"/>
              <w:left w:val="nil"/>
              <w:bottom w:val="single" w:color="auto" w:sz="4" w:space="0"/>
              <w:right w:val="single" w:color="auto" w:sz="4" w:space="0"/>
            </w:tcBorders>
            <w:noWrap w:val="0"/>
            <w:vAlign w:val="center"/>
          </w:tcPr>
          <w:p w14:paraId="4445D245">
            <w:pPr>
              <w:shd w:val="clear" w:color="auto" w:fill="FFFFFF"/>
              <w:spacing w:line="300" w:lineRule="exact"/>
              <w:jc w:val="center"/>
              <w:rPr>
                <w:rFonts w:hint="eastAsia" w:ascii="宋体" w:hAnsi="宋体" w:eastAsia="宋体" w:cs="宋体"/>
                <w:color w:val="auto"/>
                <w:kern w:val="0"/>
                <w:sz w:val="24"/>
                <w:szCs w:val="24"/>
              </w:rPr>
            </w:pPr>
            <w:r>
              <w:rPr>
                <w:rFonts w:hint="eastAsia" w:eastAsia="方正仿宋_GBK"/>
                <w:color w:val="auto"/>
                <w:kern w:val="0"/>
                <w:sz w:val="24"/>
                <w:szCs w:val="24"/>
                <w:lang w:eastAsia="zh-CN"/>
              </w:rPr>
              <w:t>黄彩艳</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22004011025</w:t>
            </w:r>
            <w:r>
              <w:rPr>
                <w:rFonts w:hint="eastAsia" w:ascii="Times New Roman" w:hAnsi="Times New Roman" w:eastAsia="方正仿宋_GBK"/>
                <w:color w:val="auto"/>
                <w:kern w:val="0"/>
                <w:sz w:val="24"/>
                <w:szCs w:val="24"/>
              </w:rPr>
              <w:t>）</w:t>
            </w:r>
            <w:r>
              <w:rPr>
                <w:rFonts w:hint="eastAsia" w:ascii="Times New Roman" w:hAnsi="Times New Roman" w:eastAsia="方正仿宋_GBK"/>
                <w:color w:val="auto"/>
                <w:kern w:val="0"/>
                <w:sz w:val="24"/>
                <w:szCs w:val="24"/>
                <w:lang w:eastAsia="zh-CN"/>
              </w:rPr>
              <w:t>、</w:t>
            </w:r>
            <w:r>
              <w:rPr>
                <w:rFonts w:hint="eastAsia" w:eastAsia="方正仿宋_GBK"/>
                <w:color w:val="auto"/>
                <w:kern w:val="0"/>
                <w:sz w:val="24"/>
                <w:szCs w:val="24"/>
                <w:lang w:val="en-US" w:eastAsia="zh-CN"/>
              </w:rPr>
              <w:t>李友玥</w:t>
            </w:r>
            <w:r>
              <w:rPr>
                <w:rFonts w:hint="eastAsia" w:ascii="Times New Roman" w:hAnsi="Times New Roman" w:eastAsia="方正仿宋_GBK"/>
                <w:color w:val="auto"/>
                <w:kern w:val="0"/>
                <w:sz w:val="24"/>
                <w:szCs w:val="24"/>
              </w:rPr>
              <w:t>（执法证编号：</w:t>
            </w:r>
            <w:r>
              <w:rPr>
                <w:rFonts w:hint="eastAsia" w:eastAsia="方正仿宋_GBK"/>
                <w:color w:val="auto"/>
                <w:kern w:val="0"/>
                <w:sz w:val="24"/>
                <w:szCs w:val="24"/>
                <w:lang w:val="en-US" w:eastAsia="zh-CN"/>
              </w:rPr>
              <w:t>22004011021</w:t>
            </w:r>
            <w:r>
              <w:rPr>
                <w:rFonts w:hint="eastAsia" w:ascii="Times New Roman" w:hAnsi="Times New Roman" w:eastAsia="方正仿宋_GBK"/>
                <w:color w:val="auto"/>
                <w:kern w:val="0"/>
                <w:sz w:val="24"/>
                <w:szCs w:val="24"/>
              </w:rPr>
              <w:t>）</w:t>
            </w:r>
          </w:p>
        </w:tc>
      </w:tr>
    </w:tbl>
    <w:p w14:paraId="78485939">
      <w:pPr>
        <w:rPr>
          <w:color w:val="auto"/>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ZWVhZDBiOWRmNGJmZWEzYWIzMjRiZmE2MmVmNTYifQ=="/>
  </w:docVars>
  <w:rsids>
    <w:rsidRoot w:val="175E5277"/>
    <w:rsid w:val="02BD5C3A"/>
    <w:rsid w:val="05D21624"/>
    <w:rsid w:val="0BB04180"/>
    <w:rsid w:val="13A20852"/>
    <w:rsid w:val="14B1050B"/>
    <w:rsid w:val="14B67441"/>
    <w:rsid w:val="15674B8D"/>
    <w:rsid w:val="175E5277"/>
    <w:rsid w:val="1A0116D6"/>
    <w:rsid w:val="1BF95145"/>
    <w:rsid w:val="22A10E8E"/>
    <w:rsid w:val="23983A79"/>
    <w:rsid w:val="24872217"/>
    <w:rsid w:val="24F66C50"/>
    <w:rsid w:val="26D51FEF"/>
    <w:rsid w:val="2B093B27"/>
    <w:rsid w:val="2C7E5D9F"/>
    <w:rsid w:val="2E8A43DA"/>
    <w:rsid w:val="2F6503BE"/>
    <w:rsid w:val="2FEC4ED7"/>
    <w:rsid w:val="3025488D"/>
    <w:rsid w:val="30865E1D"/>
    <w:rsid w:val="32843AED"/>
    <w:rsid w:val="352F3FB1"/>
    <w:rsid w:val="35AB75E3"/>
    <w:rsid w:val="35E01AE0"/>
    <w:rsid w:val="3630175C"/>
    <w:rsid w:val="379110F1"/>
    <w:rsid w:val="3ED92B93"/>
    <w:rsid w:val="3FF53277"/>
    <w:rsid w:val="424F5537"/>
    <w:rsid w:val="42FB6059"/>
    <w:rsid w:val="48064139"/>
    <w:rsid w:val="4CE86476"/>
    <w:rsid w:val="4FA37B67"/>
    <w:rsid w:val="54C87412"/>
    <w:rsid w:val="554369F3"/>
    <w:rsid w:val="55F85AD5"/>
    <w:rsid w:val="5A14373D"/>
    <w:rsid w:val="5F247488"/>
    <w:rsid w:val="60A55101"/>
    <w:rsid w:val="67A55390"/>
    <w:rsid w:val="67AC7434"/>
    <w:rsid w:val="69171127"/>
    <w:rsid w:val="69E77EE2"/>
    <w:rsid w:val="6EB47D3A"/>
    <w:rsid w:val="6F7C731F"/>
    <w:rsid w:val="70383246"/>
    <w:rsid w:val="706C1141"/>
    <w:rsid w:val="73ED4C0B"/>
    <w:rsid w:val="75E76B14"/>
    <w:rsid w:val="7A060E7B"/>
    <w:rsid w:val="7A2E04F3"/>
    <w:rsid w:val="7A895529"/>
    <w:rsid w:val="7DCB6EE1"/>
    <w:rsid w:val="7F2F1CB8"/>
    <w:rsid w:val="7F68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hint="default" w:ascii="Calibri" w:hAnsi="Calibri" w:eastAsia="Calibri" w:cs="Calibri"/>
      <w:color w:val="auto"/>
      <w:spacing w:val="0"/>
      <w:position w:val="0"/>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pPr>
    <w:rPr>
      <w:rFonts w:ascii="黑体" w:hAnsi="黑体"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1241</Words>
  <Characters>1381</Characters>
  <Lines>0</Lines>
  <Paragraphs>0</Paragraphs>
  <TotalTime>0</TotalTime>
  <ScaleCrop>false</ScaleCrop>
  <LinksUpToDate>false</LinksUpToDate>
  <CharactersWithSpaces>1381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2024-06-20T04:47:00Z</dcterms:created>
  <dc:creator>Administrator</dc:creator>
  <cp:lastModifiedBy>风居住的街道</cp:lastModifiedBy>
  <dcterms:modified xsi:type="dcterms:W3CDTF">2025-07-10T02:44:55Z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1AC0AE9631124A3DA7E83E517FE63E49_11</vt:lpwstr>
  </property>
  <property fmtid="{D5CDD505-2E9C-101B-9397-08002B2CF9AE}" pid="4" name="KSOTemplateDocerSaveRecord">
    <vt:lpwstr>eyJoZGlkIjoiNzc4ZWVhZDBiOWRmNGJmZWEzYWIzMjRiZmE2MmVmNTYiLCJ1c2VySWQiOiI1Nzk0MDcyNTAifQ==</vt:lpwstr>
  </property>
</Properties>
</file>