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D7" w:rsidRDefault="00AC7C2C">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重庆市石柱土家族自治县司法局</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w:t>
      </w:r>
      <w:r w:rsidR="00961184">
        <w:rPr>
          <w:rFonts w:ascii="方正小标宋_GBK" w:eastAsia="方正小标宋_GBK" w:hAnsi="方正小标宋_GBK" w:cs="方正小标宋_GBK"/>
          <w:sz w:val="36"/>
          <w:szCs w:val="36"/>
          <w:shd w:val="clear" w:color="auto" w:fill="FFFFFF"/>
        </w:rPr>
        <w:t>公开</w:t>
      </w:r>
      <w:r>
        <w:rPr>
          <w:rFonts w:ascii="方正小标宋_GBK" w:eastAsia="方正小标宋_GBK" w:hAnsi="方正小标宋_GBK" w:cs="方正小标宋_GBK"/>
          <w:sz w:val="36"/>
          <w:szCs w:val="36"/>
          <w:shd w:val="clear" w:color="auto" w:fill="FFFFFF"/>
        </w:rPr>
        <w:t>说明</w:t>
      </w:r>
    </w:p>
    <w:p w:rsidR="009272D7" w:rsidRDefault="00AC7C2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一、部门基本情况</w:t>
      </w:r>
    </w:p>
    <w:p w:rsidR="009272D7" w:rsidRDefault="00AC7C2C">
      <w:pPr>
        <w:pStyle w:val="a5"/>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（一）职能职责</w:t>
      </w:r>
    </w:p>
    <w:p w:rsidR="00F3541A" w:rsidRDefault="00F3541A" w:rsidP="00F3541A">
      <w:pPr>
        <w:pStyle w:val="Char"/>
        <w:shd w:val="clear" w:color="auto" w:fill="FFFFFF"/>
        <w:autoSpaceDE w:val="0"/>
        <w:spacing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1</w:t>
      </w:r>
      <w:r>
        <w:rPr>
          <w:rFonts w:ascii="方正仿宋_GBK" w:eastAsia="方正仿宋_GBK" w:hAnsi="方正仿宋_GBK"/>
          <w:sz w:val="32"/>
          <w:szCs w:val="32"/>
          <w:shd w:val="clear" w:color="auto" w:fill="FFFFFF"/>
        </w:rPr>
        <w:t>、承担全面依法治县相关问题的政策研究，牵头提出相关建议，负责有关决策部署督察工作。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2</w:t>
      </w:r>
      <w:r>
        <w:rPr>
          <w:rFonts w:ascii="方正仿宋_GBK" w:eastAsia="方正仿宋_GBK" w:hAnsi="方正仿宋_GBK"/>
          <w:sz w:val="32"/>
          <w:szCs w:val="32"/>
        </w:rPr>
        <w:t>、负责起草或组织起草县政府规范性文件草案。承办县政府规范性文件向市政府报送备案工作。负责县政府以及乡镇（街道）人民政府（办事处）和县政府部门规范性文件的备案审查工作。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3</w:t>
      </w:r>
      <w:r>
        <w:rPr>
          <w:rFonts w:ascii="方正仿宋_GBK" w:eastAsia="方正仿宋_GBK" w:hAnsi="方正仿宋_GBK"/>
          <w:sz w:val="32"/>
          <w:szCs w:val="32"/>
        </w:rPr>
        <w:t>、承办县政府规范性文件的解释工作。负责协调乡镇（街道）和部门实施法律法规规章中的有关争议和问题。组织开展有关政府规范性文件清理、编纂工作。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4</w:t>
      </w:r>
      <w:r>
        <w:rPr>
          <w:rFonts w:ascii="方正仿宋_GBK" w:eastAsia="方正仿宋_GBK" w:hAnsi="方正仿宋_GBK"/>
          <w:sz w:val="32"/>
          <w:szCs w:val="32"/>
        </w:rPr>
        <w:t>、承担统筹推进法治政府建设的责任。指导、监督全县依法行政工作。承担推进行政执法体制改革有关工作，负责综合协调行政执法，推进严格规范公正文明执法。承办县政府管辖行政复议、国家赔偿案件，承办县政府有关行政诉讼案件和裁决案件。负责司法局管辖的行政复议、国家赔偿、行政应诉、司法救助工作。指导、监督全县行政复议、国家赔偿、行政应诉和行政裁决工作。负责全县政府法律顾问工作的指导和协调。</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lastRenderedPageBreak/>
        <w:t>5</w:t>
      </w:r>
      <w:r>
        <w:rPr>
          <w:rFonts w:ascii="方正仿宋_GBK" w:eastAsia="方正仿宋_GBK" w:hAnsi="方正仿宋_GBK"/>
          <w:sz w:val="32"/>
          <w:szCs w:val="32"/>
        </w:rPr>
        <w:t>、承担统筹规划法治社会建设的责任。负责拟订法治宣传教育规划，组织实施普法宣传工作。推动人民参与和促进法治建设。指导依法治理和法治创建工作。指导调解工作和人民陪审员、人民监督元选任管理工作，推进司法所建设。</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6</w:t>
      </w:r>
      <w:r>
        <w:rPr>
          <w:rFonts w:ascii="方正仿宋_GBK" w:eastAsia="方正仿宋_GBK" w:hAnsi="方正仿宋_GBK"/>
          <w:sz w:val="32"/>
          <w:szCs w:val="32"/>
        </w:rPr>
        <w:t>、指导、管理社区矫正工作。指导帮教安置工作。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7</w:t>
      </w:r>
      <w:r>
        <w:rPr>
          <w:rFonts w:ascii="方正仿宋_GBK" w:eastAsia="方正仿宋_GBK" w:hAnsi="方正仿宋_GBK"/>
          <w:sz w:val="32"/>
          <w:szCs w:val="32"/>
        </w:rPr>
        <w:t>、负责拟定全县公共法律服务体系建设规划并组织实施，统筹和布局城乡、区域法律服务资源。指导、监督法律援助、律师、司法鉴定、公证、仲裁和基层法律服务管理工作。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8</w:t>
      </w:r>
      <w:r>
        <w:rPr>
          <w:rFonts w:ascii="方正仿宋_GBK" w:eastAsia="方正仿宋_GBK" w:hAnsi="方正仿宋_GBK"/>
          <w:sz w:val="32"/>
          <w:szCs w:val="32"/>
        </w:rPr>
        <w:t>、负责全县国家统一法律职业资格证书管理工作。负责规划和组织全县法律职业人员入职前培训工作。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9</w:t>
      </w:r>
      <w:r>
        <w:rPr>
          <w:rFonts w:ascii="方正仿宋_GBK" w:eastAsia="方正仿宋_GBK" w:hAnsi="方正仿宋_GBK"/>
          <w:sz w:val="32"/>
          <w:szCs w:val="32"/>
        </w:rPr>
        <w:t>、负责本系统服装、警车管理工作，负责本系统财务、装备、设施、场所等保障工作。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10</w:t>
      </w:r>
      <w:r>
        <w:rPr>
          <w:rFonts w:ascii="方正仿宋_GBK" w:eastAsia="方正仿宋_GBK" w:hAnsi="方正仿宋_GBK"/>
          <w:sz w:val="32"/>
          <w:szCs w:val="32"/>
        </w:rPr>
        <w:t>、组织、指导全县法治人才队伍建设相关工作。负责本系统队伍建设。负责机关和律师行业党建工作。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11</w:t>
      </w:r>
      <w:r>
        <w:rPr>
          <w:rFonts w:ascii="方正仿宋_GBK" w:eastAsia="方正仿宋_GBK" w:hAnsi="方正仿宋_GBK"/>
          <w:sz w:val="32"/>
          <w:szCs w:val="32"/>
        </w:rPr>
        <w:t>、负责本系统信息化建设和应急处突工作。</w:t>
      </w:r>
    </w:p>
    <w:p w:rsidR="00F3541A" w:rsidRDefault="00F3541A" w:rsidP="00F3541A">
      <w:pPr>
        <w:autoSpaceDE w:val="0"/>
        <w:spacing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rPr>
        <w:t>12</w:t>
      </w:r>
      <w:r>
        <w:rPr>
          <w:rFonts w:ascii="方正仿宋_GBK" w:eastAsia="方正仿宋_GBK" w:hAnsi="方正仿宋_GBK"/>
          <w:sz w:val="32"/>
          <w:szCs w:val="32"/>
        </w:rPr>
        <w:t>、完成县委、县政府交办的其他任务。</w:t>
      </w:r>
    </w:p>
    <w:p w:rsidR="009272D7" w:rsidRDefault="00AC7C2C">
      <w:pPr>
        <w:pStyle w:val="a5"/>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6"/>
          <w:rFonts w:ascii="楷体" w:eastAsia="楷体" w:hAnsi="楷体" w:cs="楷体"/>
          <w:sz w:val="32"/>
          <w:szCs w:val="32"/>
          <w:shd w:val="clear" w:color="auto" w:fill="FFFFFF"/>
        </w:rPr>
        <w:t>（二）机构设置</w:t>
      </w:r>
    </w:p>
    <w:p w:rsidR="00F3541A" w:rsidRDefault="00F3541A" w:rsidP="00F3541A">
      <w:pPr>
        <w:widowControl w:val="0"/>
        <w:autoSpaceDE w:val="0"/>
        <w:spacing w:line="600"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sz w:val="32"/>
          <w:szCs w:val="32"/>
        </w:rPr>
        <w:t>本单位由机关本级七科一室一内设局〔即：政工科、执法监督科、行政复议科、普法与依法治理科、人民参与和促进法治科、公共法律服务管理科、社区矫正管理局、秘书组、办公室〕、</w:t>
      </w:r>
      <w:r>
        <w:rPr>
          <w:rFonts w:ascii="Times New Roman" w:eastAsia="方正仿宋_GBK" w:hAnsi="Times New Roman"/>
          <w:sz w:val="32"/>
          <w:szCs w:val="32"/>
        </w:rPr>
        <w:t>2</w:t>
      </w:r>
      <w:r>
        <w:rPr>
          <w:rFonts w:ascii="方正仿宋_GBK" w:eastAsia="方正仿宋_GBK" w:hAnsi="方正仿宋_GBK"/>
          <w:sz w:val="32"/>
          <w:szCs w:val="32"/>
        </w:rPr>
        <w:t>个直属财政全额拨款事业单位（即：县法律援助中心（参公管理）、县矫正帮教管理服务中心）、</w:t>
      </w:r>
      <w:r>
        <w:rPr>
          <w:rFonts w:ascii="Times New Roman" w:eastAsia="方正仿宋_GBK" w:hAnsi="Times New Roman"/>
          <w:sz w:val="32"/>
          <w:szCs w:val="32"/>
        </w:rPr>
        <w:t>1</w:t>
      </w:r>
      <w:r>
        <w:rPr>
          <w:rFonts w:ascii="方正仿宋_GBK" w:eastAsia="方正仿宋_GBK" w:hAnsi="方正仿宋_GBK"/>
          <w:sz w:val="32"/>
          <w:szCs w:val="32"/>
        </w:rPr>
        <w:t>个自</w:t>
      </w:r>
      <w:r>
        <w:rPr>
          <w:rFonts w:ascii="方正仿宋_GBK" w:eastAsia="方正仿宋_GBK" w:hAnsi="方正仿宋_GBK"/>
          <w:sz w:val="32"/>
          <w:szCs w:val="32"/>
        </w:rPr>
        <w:lastRenderedPageBreak/>
        <w:t>收自支事业单位县公证处、</w:t>
      </w:r>
      <w:r>
        <w:rPr>
          <w:rFonts w:ascii="Times New Roman" w:eastAsia="方正仿宋_GBK" w:hAnsi="Times New Roman"/>
          <w:sz w:val="32"/>
          <w:szCs w:val="32"/>
        </w:rPr>
        <w:t>33</w:t>
      </w:r>
      <w:r>
        <w:rPr>
          <w:rFonts w:ascii="方正仿宋_GBK" w:eastAsia="方正仿宋_GBK" w:hAnsi="方正仿宋_GBK"/>
          <w:sz w:val="32"/>
          <w:szCs w:val="32"/>
        </w:rPr>
        <w:t>个乡（镇）及街道基层司法所、</w:t>
      </w:r>
      <w:r>
        <w:rPr>
          <w:rFonts w:ascii="Times New Roman" w:eastAsia="方正仿宋_GBK" w:hAnsi="Times New Roman"/>
          <w:sz w:val="32"/>
          <w:szCs w:val="32"/>
        </w:rPr>
        <w:t>5</w:t>
      </w:r>
      <w:r>
        <w:rPr>
          <w:rFonts w:ascii="方正仿宋_GBK" w:eastAsia="方正仿宋_GBK" w:hAnsi="方正仿宋_GBK"/>
          <w:sz w:val="32"/>
          <w:szCs w:val="32"/>
        </w:rPr>
        <w:t>个律师事务所、</w:t>
      </w:r>
      <w:r>
        <w:rPr>
          <w:rFonts w:ascii="Times New Roman" w:eastAsia="方正仿宋_GBK" w:hAnsi="Times New Roman"/>
          <w:sz w:val="32"/>
          <w:szCs w:val="32"/>
        </w:rPr>
        <w:t>5</w:t>
      </w:r>
      <w:r>
        <w:rPr>
          <w:rFonts w:ascii="方正仿宋_GBK" w:eastAsia="方正仿宋_GBK" w:hAnsi="方正仿宋_GBK"/>
          <w:sz w:val="32"/>
          <w:szCs w:val="32"/>
        </w:rPr>
        <w:t>个基层法律服务所组成。人员编制</w:t>
      </w:r>
      <w:r>
        <w:rPr>
          <w:rFonts w:ascii="Times New Roman" w:eastAsia="方正仿宋_GBK" w:hAnsi="Times New Roman"/>
          <w:sz w:val="32"/>
          <w:szCs w:val="32"/>
        </w:rPr>
        <w:t>73</w:t>
      </w:r>
      <w:r>
        <w:rPr>
          <w:rFonts w:ascii="方正仿宋_GBK" w:eastAsia="方正仿宋_GBK" w:hAnsi="方正仿宋_GBK"/>
          <w:sz w:val="32"/>
          <w:szCs w:val="32"/>
        </w:rPr>
        <w:t>人，实有</w:t>
      </w:r>
      <w:r>
        <w:rPr>
          <w:rFonts w:ascii="Times New Roman" w:eastAsia="方正仿宋_GBK" w:hAnsi="Times New Roman"/>
          <w:sz w:val="32"/>
          <w:szCs w:val="32"/>
        </w:rPr>
        <w:t>65</w:t>
      </w:r>
      <w:r>
        <w:rPr>
          <w:rFonts w:ascii="方正仿宋_GBK" w:eastAsia="方正仿宋_GBK" w:hAnsi="方正仿宋_GBK"/>
          <w:sz w:val="32"/>
          <w:szCs w:val="32"/>
        </w:rPr>
        <w:t>人，退休</w:t>
      </w:r>
      <w:r>
        <w:rPr>
          <w:rFonts w:ascii="Times New Roman" w:eastAsia="方正仿宋_GBK" w:hAnsi="Times New Roman"/>
          <w:sz w:val="32"/>
          <w:szCs w:val="32"/>
        </w:rPr>
        <w:t>33</w:t>
      </w:r>
      <w:r>
        <w:rPr>
          <w:rFonts w:ascii="方正仿宋_GBK" w:eastAsia="方正仿宋_GBK" w:hAnsi="方正仿宋_GBK"/>
          <w:sz w:val="32"/>
          <w:szCs w:val="32"/>
        </w:rPr>
        <w:t>人，汽车</w:t>
      </w:r>
      <w:r>
        <w:rPr>
          <w:rFonts w:ascii="Times New Roman" w:eastAsia="方正仿宋_GBK" w:hAnsi="Times New Roman"/>
          <w:sz w:val="32"/>
          <w:szCs w:val="32"/>
        </w:rPr>
        <w:t>3</w:t>
      </w:r>
      <w:r>
        <w:rPr>
          <w:rFonts w:ascii="方正仿宋_GBK" w:eastAsia="方正仿宋_GBK" w:hAnsi="方正仿宋_GBK"/>
          <w:sz w:val="32"/>
          <w:szCs w:val="32"/>
        </w:rPr>
        <w:t>辆。</w:t>
      </w:r>
    </w:p>
    <w:p w:rsidR="00F3541A" w:rsidRDefault="00F3541A" w:rsidP="00F3541A">
      <w:pPr>
        <w:widowControl w:val="0"/>
        <w:autoSpaceDE w:val="0"/>
        <w:spacing w:line="600" w:lineRule="exact"/>
        <w:ind w:firstLineChars="200" w:firstLine="640"/>
        <w:jc w:val="both"/>
        <w:rPr>
          <w:rFonts w:ascii="方正仿宋_GBK" w:eastAsia="方正仿宋_GBK" w:hAnsi="方正仿宋_GBK" w:hint="default"/>
          <w:sz w:val="32"/>
          <w:szCs w:val="32"/>
        </w:rPr>
      </w:pPr>
      <w:r>
        <w:rPr>
          <w:rFonts w:ascii="方正仿宋_GBK" w:eastAsia="方正仿宋_GBK" w:hAnsi="方正仿宋_GBK"/>
          <w:sz w:val="32"/>
          <w:szCs w:val="32"/>
        </w:rPr>
        <w:t>从预算单位构成看，本单位是一级预算单位，已纳入本部门2024年度决算编制的二级预算单位3个。</w:t>
      </w:r>
    </w:p>
    <w:p w:rsidR="009272D7" w:rsidRDefault="00AC7C2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二、部门决算收支情况说明</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F3541A" w:rsidRPr="00F3541A" w:rsidRDefault="00AC7C2C" w:rsidP="00F3541A">
      <w:pPr>
        <w:autoSpaceDE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年五险缴费基数调整并补缴</w:t>
      </w:r>
      <w:r w:rsidR="00F3541A" w:rsidRPr="00F3541A">
        <w:rPr>
          <w:rFonts w:ascii="Times New Roman" w:eastAsia="方正仿宋_GBK" w:hAnsi="Times New Roman"/>
          <w:sz w:val="32"/>
          <w:szCs w:val="32"/>
          <w:shd w:val="clear" w:color="auto" w:fill="FFFFFF"/>
        </w:rPr>
        <w:t>2022</w:t>
      </w:r>
      <w:r w:rsidR="00F3541A" w:rsidRPr="00F3541A">
        <w:rPr>
          <w:rFonts w:ascii="Times New Roman" w:eastAsia="方正仿宋_GBK" w:hAnsi="Times New Roman"/>
          <w:sz w:val="32"/>
          <w:szCs w:val="32"/>
          <w:shd w:val="clear" w:color="auto" w:fill="FFFFFF"/>
        </w:rPr>
        <w:t>年职业年金，增加人员经费</w:t>
      </w:r>
      <w:r w:rsidR="00F3541A" w:rsidRPr="00F3541A">
        <w:rPr>
          <w:rFonts w:ascii="Times New Roman" w:eastAsia="方正仿宋_GBK" w:hAnsi="Times New Roman"/>
          <w:sz w:val="32"/>
          <w:szCs w:val="32"/>
          <w:shd w:val="clear" w:color="auto" w:fill="FFFFFF"/>
        </w:rPr>
        <w:t>258</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年项目收入减少</w:t>
      </w:r>
      <w:r w:rsidR="00F3541A" w:rsidRPr="00F3541A">
        <w:rPr>
          <w:rFonts w:ascii="Times New Roman" w:eastAsia="方正仿宋_GBK" w:hAnsi="Times New Roman"/>
          <w:sz w:val="32"/>
          <w:szCs w:val="32"/>
          <w:shd w:val="clear" w:color="auto" w:fill="FFFFFF"/>
        </w:rPr>
        <w:t>166.39</w:t>
      </w:r>
      <w:r w:rsidR="00F3541A" w:rsidRPr="00F3541A">
        <w:rPr>
          <w:rFonts w:ascii="Times New Roman" w:eastAsia="方正仿宋_GBK" w:hAnsi="Times New Roman"/>
          <w:sz w:val="32"/>
          <w:szCs w:val="32"/>
          <w:shd w:val="clear" w:color="auto" w:fill="FFFFFF"/>
        </w:rPr>
        <w:t>万元。故</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年收入</w:t>
      </w:r>
      <w:r w:rsidR="00F3541A">
        <w:rPr>
          <w:rFonts w:ascii="Times New Roman" w:eastAsia="方正仿宋_GBK" w:hAnsi="Times New Roman"/>
          <w:sz w:val="32"/>
          <w:szCs w:val="32"/>
          <w:shd w:val="clear" w:color="auto" w:fill="FFFFFF"/>
        </w:rPr>
        <w:t>支出</w:t>
      </w:r>
      <w:r w:rsidR="00F3541A" w:rsidRPr="00F3541A">
        <w:rPr>
          <w:rFonts w:ascii="Times New Roman" w:eastAsia="方正仿宋_GBK" w:hAnsi="Times New Roman"/>
          <w:sz w:val="32"/>
          <w:szCs w:val="32"/>
          <w:shd w:val="clear" w:color="auto" w:fill="FFFFFF"/>
        </w:rPr>
        <w:t>同比</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年减少</w:t>
      </w:r>
      <w:r w:rsidR="00F3541A" w:rsidRPr="00F3541A">
        <w:rPr>
          <w:rFonts w:ascii="Times New Roman" w:eastAsia="方正仿宋_GBK" w:hAnsi="Times New Roman"/>
          <w:sz w:val="32"/>
          <w:szCs w:val="32"/>
          <w:shd w:val="clear" w:color="auto" w:fill="FFFFFF"/>
        </w:rPr>
        <w:t>296.18</w:t>
      </w:r>
      <w:r w:rsidR="00F3541A" w:rsidRPr="00F3541A">
        <w:rPr>
          <w:rFonts w:ascii="Times New Roman" w:eastAsia="方正仿宋_GBK" w:hAnsi="Times New Roman"/>
          <w:sz w:val="32"/>
          <w:szCs w:val="32"/>
          <w:shd w:val="clear" w:color="auto" w:fill="FFFFFF"/>
        </w:rPr>
        <w:t>万元。</w:t>
      </w:r>
    </w:p>
    <w:p w:rsidR="009272D7" w:rsidRPr="00F3541A" w:rsidRDefault="00AC7C2C" w:rsidP="00F3541A">
      <w:pPr>
        <w:autoSpaceDE w:val="0"/>
        <w:spacing w:line="600" w:lineRule="exact"/>
        <w:ind w:firstLineChars="200" w:firstLine="640"/>
        <w:rPr>
          <w:rFonts w:ascii="Times New Roman" w:eastAsia="方正仿宋_GBK" w:hAnsi="Times New Roman" w:hint="default"/>
          <w:sz w:val="32"/>
          <w:szCs w:val="32"/>
          <w:shd w:val="clear" w:color="auto" w:fill="FFFFFF"/>
        </w:rPr>
      </w:pPr>
      <w:r>
        <w:rPr>
          <w:rStyle w:val="a6"/>
          <w:rFonts w:ascii="Times New Roman" w:eastAsia="方正仿宋_GBK" w:hAnsi="Times New Roman"/>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年五险缴费基数调整并补缴</w:t>
      </w:r>
      <w:r w:rsidR="00F3541A" w:rsidRPr="00F3541A">
        <w:rPr>
          <w:rFonts w:ascii="Times New Roman" w:eastAsia="方正仿宋_GBK" w:hAnsi="Times New Roman"/>
          <w:sz w:val="32"/>
          <w:szCs w:val="32"/>
          <w:shd w:val="clear" w:color="auto" w:fill="FFFFFF"/>
        </w:rPr>
        <w:t>2022</w:t>
      </w:r>
      <w:r w:rsidR="00F3541A" w:rsidRPr="00F3541A">
        <w:rPr>
          <w:rFonts w:ascii="Times New Roman" w:eastAsia="方正仿宋_GBK" w:hAnsi="Times New Roman"/>
          <w:sz w:val="32"/>
          <w:szCs w:val="32"/>
          <w:shd w:val="clear" w:color="auto" w:fill="FFFFFF"/>
        </w:rPr>
        <w:t>年职业年金，增加人员经费</w:t>
      </w:r>
      <w:r w:rsidR="00F3541A" w:rsidRPr="00F3541A">
        <w:rPr>
          <w:rFonts w:ascii="Times New Roman" w:eastAsia="方正仿宋_GBK" w:hAnsi="Times New Roman"/>
          <w:sz w:val="32"/>
          <w:szCs w:val="32"/>
          <w:shd w:val="clear" w:color="auto" w:fill="FFFFFF"/>
        </w:rPr>
        <w:t>258</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年项目收入减少</w:t>
      </w:r>
      <w:r w:rsidR="00F3541A" w:rsidRPr="00F3541A">
        <w:rPr>
          <w:rFonts w:ascii="Times New Roman" w:eastAsia="方正仿宋_GBK" w:hAnsi="Times New Roman"/>
          <w:sz w:val="32"/>
          <w:szCs w:val="32"/>
          <w:shd w:val="clear" w:color="auto" w:fill="FFFFFF"/>
        </w:rPr>
        <w:t>166.39</w:t>
      </w:r>
      <w:r w:rsidR="00F3541A" w:rsidRPr="00F3541A">
        <w:rPr>
          <w:rFonts w:ascii="Times New Roman" w:eastAsia="方正仿宋_GBK" w:hAnsi="Times New Roman"/>
          <w:sz w:val="32"/>
          <w:szCs w:val="32"/>
          <w:shd w:val="clear" w:color="auto" w:fill="FFFFFF"/>
        </w:rPr>
        <w:t>万元。故</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年收入同比</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年减少</w:t>
      </w:r>
      <w:r w:rsidR="00F3541A" w:rsidRPr="00F3541A">
        <w:rPr>
          <w:rFonts w:ascii="Times New Roman" w:eastAsia="方正仿宋_GBK" w:hAnsi="Times New Roman"/>
          <w:sz w:val="32"/>
          <w:szCs w:val="32"/>
          <w:shd w:val="clear" w:color="auto" w:fill="FFFFFF"/>
        </w:rPr>
        <w:t>296.18</w:t>
      </w:r>
      <w:r w:rsidR="00F3541A" w:rsidRPr="00F3541A">
        <w:rPr>
          <w:rFonts w:ascii="Times New Roman" w:eastAsia="方正仿宋_GBK" w:hAnsi="Times New Roman"/>
          <w:sz w:val="32"/>
          <w:szCs w:val="32"/>
          <w:shd w:val="clear" w:color="auto" w:fill="FFFFFF"/>
        </w:rPr>
        <w:t>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272D7" w:rsidRPr="00F3541A" w:rsidRDefault="00AC7C2C" w:rsidP="00F3541A">
      <w:pPr>
        <w:autoSpaceDE w:val="0"/>
        <w:spacing w:line="600" w:lineRule="exact"/>
        <w:ind w:firstLineChars="200" w:firstLine="640"/>
        <w:rPr>
          <w:rFonts w:ascii="Times New Roman" w:eastAsia="方正仿宋_GBK" w:hAnsi="Times New Roman" w:hint="default"/>
          <w:sz w:val="32"/>
          <w:szCs w:val="32"/>
          <w:shd w:val="clear" w:color="auto" w:fill="FFFFFF"/>
        </w:rPr>
      </w:pPr>
      <w:r>
        <w:rPr>
          <w:rStyle w:val="a6"/>
          <w:rFonts w:ascii="Times New Roman" w:eastAsia="方正仿宋_GBK" w:hAnsi="Times New Roman"/>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lastRenderedPageBreak/>
        <w:t>年五险缴费基数调整并补缴</w:t>
      </w:r>
      <w:r w:rsidR="00F3541A" w:rsidRPr="00F3541A">
        <w:rPr>
          <w:rFonts w:ascii="Times New Roman" w:eastAsia="方正仿宋_GBK" w:hAnsi="Times New Roman"/>
          <w:sz w:val="32"/>
          <w:szCs w:val="32"/>
          <w:shd w:val="clear" w:color="auto" w:fill="FFFFFF"/>
        </w:rPr>
        <w:t>2022</w:t>
      </w:r>
      <w:r w:rsidR="00F3541A" w:rsidRPr="00F3541A">
        <w:rPr>
          <w:rFonts w:ascii="Times New Roman" w:eastAsia="方正仿宋_GBK" w:hAnsi="Times New Roman"/>
          <w:sz w:val="32"/>
          <w:szCs w:val="32"/>
          <w:shd w:val="clear" w:color="auto" w:fill="FFFFFF"/>
        </w:rPr>
        <w:t>年职业年金，增加人员经费</w:t>
      </w:r>
      <w:r w:rsidR="00F3541A" w:rsidRPr="00F3541A">
        <w:rPr>
          <w:rFonts w:ascii="Times New Roman" w:eastAsia="方正仿宋_GBK" w:hAnsi="Times New Roman"/>
          <w:sz w:val="32"/>
          <w:szCs w:val="32"/>
          <w:shd w:val="clear" w:color="auto" w:fill="FFFFFF"/>
        </w:rPr>
        <w:t>258</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年项目收入减少</w:t>
      </w:r>
      <w:r w:rsidR="00F3541A" w:rsidRPr="00F3541A">
        <w:rPr>
          <w:rFonts w:ascii="Times New Roman" w:eastAsia="方正仿宋_GBK" w:hAnsi="Times New Roman"/>
          <w:sz w:val="32"/>
          <w:szCs w:val="32"/>
          <w:shd w:val="clear" w:color="auto" w:fill="FFFFFF"/>
        </w:rPr>
        <w:t>166.39</w:t>
      </w:r>
      <w:r w:rsidR="00F3541A" w:rsidRPr="00F3541A">
        <w:rPr>
          <w:rFonts w:ascii="Times New Roman" w:eastAsia="方正仿宋_GBK" w:hAnsi="Times New Roman"/>
          <w:sz w:val="32"/>
          <w:szCs w:val="32"/>
          <w:shd w:val="clear" w:color="auto" w:fill="FFFFFF"/>
        </w:rPr>
        <w:t>万元。故</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w:t>
      </w:r>
      <w:r w:rsidR="00F3541A">
        <w:rPr>
          <w:rFonts w:ascii="Times New Roman" w:eastAsia="方正仿宋_GBK" w:hAnsi="Times New Roman"/>
          <w:sz w:val="32"/>
          <w:szCs w:val="32"/>
          <w:shd w:val="clear" w:color="auto" w:fill="FFFFFF"/>
        </w:rPr>
        <w:t>支出</w:t>
      </w:r>
      <w:r w:rsidR="00F3541A" w:rsidRPr="00F3541A">
        <w:rPr>
          <w:rFonts w:ascii="Times New Roman" w:eastAsia="方正仿宋_GBK" w:hAnsi="Times New Roman"/>
          <w:sz w:val="32"/>
          <w:szCs w:val="32"/>
          <w:shd w:val="clear" w:color="auto" w:fill="FFFFFF"/>
        </w:rPr>
        <w:t>同比</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年减少</w:t>
      </w:r>
      <w:r w:rsidR="00F3541A" w:rsidRPr="00F3541A">
        <w:rPr>
          <w:rFonts w:ascii="Times New Roman" w:eastAsia="方正仿宋_GBK" w:hAnsi="Times New Roman"/>
          <w:sz w:val="32"/>
          <w:szCs w:val="32"/>
          <w:shd w:val="clear" w:color="auto" w:fill="FFFFFF"/>
        </w:rPr>
        <w:t>296.18</w:t>
      </w:r>
      <w:r w:rsidR="00F3541A" w:rsidRPr="00F3541A">
        <w:rPr>
          <w:rFonts w:ascii="Times New Roman" w:eastAsia="方正仿宋_GBK" w:hAnsi="Times New Roman"/>
          <w:sz w:val="32"/>
          <w:szCs w:val="32"/>
          <w:shd w:val="clear" w:color="auto" w:fill="FFFFFF"/>
        </w:rPr>
        <w:t>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1755.82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80.1%</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436.93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272D7" w:rsidRDefault="00AC7C2C" w:rsidP="007E7B4E">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6"/>
          <w:rFonts w:ascii="Times New Roman" w:eastAsia="方正仿宋_GBK" w:hAnsi="Times New Roman"/>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F3541A">
        <w:rPr>
          <w:rFonts w:ascii="方正仿宋_GBK" w:eastAsia="方正仿宋_GBK" w:hAnsi="方正仿宋_GBK" w:cs="方正仿宋_GBK"/>
          <w:color w:val="000000" w:themeColor="text1"/>
          <w:sz w:val="32"/>
          <w:szCs w:val="32"/>
          <w:shd w:val="clear" w:color="auto" w:fill="FFFFFF"/>
        </w:rPr>
        <w:t>严格执行年初预算。</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9272D7" w:rsidRPr="00F3541A" w:rsidRDefault="00AC7C2C" w:rsidP="00F3541A">
      <w:pPr>
        <w:autoSpaceDE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349.31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w:t>
      </w:r>
      <w:r w:rsidR="00F3541A">
        <w:rPr>
          <w:rFonts w:ascii="方正仿宋_GBK" w:eastAsia="方正仿宋_GBK" w:hAnsi="方正仿宋_GBK" w:cs="方正仿宋_GBK"/>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年五险缴费基数调整并补缴</w:t>
      </w:r>
      <w:r w:rsidR="00F3541A" w:rsidRPr="00F3541A">
        <w:rPr>
          <w:rFonts w:ascii="Times New Roman" w:eastAsia="方正仿宋_GBK" w:hAnsi="Times New Roman"/>
          <w:sz w:val="32"/>
          <w:szCs w:val="32"/>
          <w:shd w:val="clear" w:color="auto" w:fill="FFFFFF"/>
        </w:rPr>
        <w:t>2022</w:t>
      </w:r>
      <w:r w:rsidR="00F3541A" w:rsidRPr="00F3541A">
        <w:rPr>
          <w:rFonts w:ascii="Times New Roman" w:eastAsia="方正仿宋_GBK" w:hAnsi="Times New Roman"/>
          <w:sz w:val="32"/>
          <w:szCs w:val="32"/>
          <w:shd w:val="clear" w:color="auto" w:fill="FFFFFF"/>
        </w:rPr>
        <w:t>年职业年金，增加人员经费</w:t>
      </w:r>
      <w:r w:rsidR="00F3541A" w:rsidRPr="00F3541A">
        <w:rPr>
          <w:rFonts w:ascii="Times New Roman" w:eastAsia="方正仿宋_GBK" w:hAnsi="Times New Roman"/>
          <w:sz w:val="32"/>
          <w:szCs w:val="32"/>
          <w:shd w:val="clear" w:color="auto" w:fill="FFFFFF"/>
        </w:rPr>
        <w:t>258</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年项目收入减少</w:t>
      </w:r>
      <w:r w:rsidR="00F3541A" w:rsidRPr="00F3541A">
        <w:rPr>
          <w:rFonts w:ascii="Times New Roman" w:eastAsia="方正仿宋_GBK" w:hAnsi="Times New Roman"/>
          <w:sz w:val="32"/>
          <w:szCs w:val="32"/>
          <w:shd w:val="clear" w:color="auto" w:fill="FFFFFF"/>
        </w:rPr>
        <w:t>166.39</w:t>
      </w:r>
      <w:r w:rsidR="00F3541A" w:rsidRPr="00F3541A">
        <w:rPr>
          <w:rFonts w:ascii="Times New Roman" w:eastAsia="方正仿宋_GBK" w:hAnsi="Times New Roman"/>
          <w:sz w:val="32"/>
          <w:szCs w:val="32"/>
          <w:shd w:val="clear" w:color="auto" w:fill="FFFFFF"/>
        </w:rPr>
        <w:t>万元。故</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年收入</w:t>
      </w:r>
      <w:r w:rsidR="00F3541A">
        <w:rPr>
          <w:rFonts w:ascii="Times New Roman" w:eastAsia="方正仿宋_GBK" w:hAnsi="Times New Roman"/>
          <w:sz w:val="32"/>
          <w:szCs w:val="32"/>
          <w:shd w:val="clear" w:color="auto" w:fill="FFFFFF"/>
        </w:rPr>
        <w:t>支出</w:t>
      </w:r>
      <w:r w:rsidR="00F3541A" w:rsidRPr="00F3541A">
        <w:rPr>
          <w:rFonts w:ascii="Times New Roman" w:eastAsia="方正仿宋_GBK" w:hAnsi="Times New Roman"/>
          <w:sz w:val="32"/>
          <w:szCs w:val="32"/>
          <w:shd w:val="clear" w:color="auto" w:fill="FFFFFF"/>
        </w:rPr>
        <w:t>同比</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年减少</w:t>
      </w:r>
      <w:r w:rsidR="00F3541A" w:rsidRPr="00F3541A">
        <w:rPr>
          <w:rFonts w:ascii="Times New Roman" w:eastAsia="方正仿宋_GBK" w:hAnsi="Times New Roman"/>
          <w:sz w:val="32"/>
          <w:szCs w:val="32"/>
          <w:shd w:val="clear" w:color="auto" w:fill="FFFFFF"/>
        </w:rPr>
        <w:t>296.18</w:t>
      </w:r>
      <w:r w:rsidR="00F3541A" w:rsidRPr="00F3541A">
        <w:rPr>
          <w:rFonts w:ascii="Times New Roman" w:eastAsia="方正仿宋_GBK" w:hAnsi="Times New Roman"/>
          <w:sz w:val="32"/>
          <w:szCs w:val="32"/>
          <w:shd w:val="clear" w:color="auto" w:fill="FFFFFF"/>
        </w:rPr>
        <w:t>万元。</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F3541A" w:rsidRPr="00F3541A" w:rsidRDefault="00AC7C2C" w:rsidP="00F3541A">
      <w:pPr>
        <w:autoSpaceDE w:val="0"/>
        <w:spacing w:line="600" w:lineRule="exact"/>
        <w:ind w:firstLineChars="200" w:firstLine="640"/>
        <w:rPr>
          <w:rFonts w:ascii="Times New Roman" w:eastAsia="方正仿宋_GBK" w:hAnsi="Times New Roman" w:hint="default"/>
          <w:sz w:val="32"/>
          <w:szCs w:val="32"/>
          <w:shd w:val="clear" w:color="auto" w:fill="FFFFFF"/>
        </w:rPr>
      </w:pPr>
      <w:r>
        <w:rPr>
          <w:rStyle w:val="a6"/>
          <w:rFonts w:ascii="Times New Roman" w:eastAsia="方正仿宋_GBK" w:hAnsi="Times New Roman" w:hint="default"/>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w:t>
      </w:r>
      <w:r w:rsidR="00F3541A">
        <w:rPr>
          <w:rFonts w:ascii="方正仿宋_GBK" w:eastAsia="方正仿宋_GBK" w:hAnsi="方正仿宋_GBK" w:cs="方正仿宋_GBK"/>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年五险缴费基数调整并补缴</w:t>
      </w:r>
      <w:r w:rsidR="00F3541A" w:rsidRPr="00F3541A">
        <w:rPr>
          <w:rFonts w:ascii="Times New Roman" w:eastAsia="方正仿宋_GBK" w:hAnsi="Times New Roman"/>
          <w:sz w:val="32"/>
          <w:szCs w:val="32"/>
          <w:shd w:val="clear" w:color="auto" w:fill="FFFFFF"/>
        </w:rPr>
        <w:t>2022</w:t>
      </w:r>
      <w:r w:rsidR="00F3541A" w:rsidRPr="00F3541A">
        <w:rPr>
          <w:rFonts w:ascii="Times New Roman" w:eastAsia="方正仿宋_GBK" w:hAnsi="Times New Roman"/>
          <w:sz w:val="32"/>
          <w:szCs w:val="32"/>
          <w:shd w:val="clear" w:color="auto" w:fill="FFFFFF"/>
        </w:rPr>
        <w:t>年职业年金，增加人员经费</w:t>
      </w:r>
      <w:r w:rsidR="00F3541A" w:rsidRPr="00F3541A">
        <w:rPr>
          <w:rFonts w:ascii="Times New Roman" w:eastAsia="方正仿宋_GBK" w:hAnsi="Times New Roman"/>
          <w:sz w:val="32"/>
          <w:szCs w:val="32"/>
          <w:shd w:val="clear" w:color="auto" w:fill="FFFFFF"/>
        </w:rPr>
        <w:t>258</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年项目收入减少</w:t>
      </w:r>
      <w:r w:rsidR="00F3541A" w:rsidRPr="00F3541A">
        <w:rPr>
          <w:rFonts w:ascii="Times New Roman" w:eastAsia="方正仿宋_GBK" w:hAnsi="Times New Roman"/>
          <w:sz w:val="32"/>
          <w:szCs w:val="32"/>
          <w:shd w:val="clear" w:color="auto" w:fill="FFFFFF"/>
        </w:rPr>
        <w:t>166.39</w:t>
      </w:r>
      <w:r w:rsidR="00F3541A" w:rsidRPr="00F3541A">
        <w:rPr>
          <w:rFonts w:ascii="Times New Roman" w:eastAsia="方正仿宋_GBK" w:hAnsi="Times New Roman"/>
          <w:sz w:val="32"/>
          <w:szCs w:val="32"/>
          <w:shd w:val="clear" w:color="auto" w:fill="FFFFFF"/>
        </w:rPr>
        <w:t>万元。故</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年收入同比</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年减少</w:t>
      </w:r>
      <w:r w:rsidR="00F3541A" w:rsidRPr="00F3541A">
        <w:rPr>
          <w:rFonts w:ascii="Times New Roman" w:eastAsia="方正仿宋_GBK" w:hAnsi="Times New Roman"/>
          <w:sz w:val="32"/>
          <w:szCs w:val="32"/>
          <w:shd w:val="clear" w:color="auto" w:fill="FFFFFF"/>
        </w:rPr>
        <w:t>296.18</w:t>
      </w:r>
      <w:r w:rsidR="00F3541A" w:rsidRPr="00F3541A">
        <w:rPr>
          <w:rFonts w:ascii="Times New Roman" w:eastAsia="方正仿宋_GBK" w:hAnsi="Times New Roman"/>
          <w:sz w:val="32"/>
          <w:szCs w:val="32"/>
          <w:shd w:val="clear" w:color="auto" w:fill="FFFFFF"/>
        </w:rPr>
        <w:t>万元。</w:t>
      </w:r>
    </w:p>
    <w:p w:rsidR="009272D7" w:rsidRPr="00F3541A" w:rsidRDefault="00AC7C2C" w:rsidP="00F3541A">
      <w:pPr>
        <w:autoSpaceDE w:val="0"/>
        <w:spacing w:line="600" w:lineRule="exac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210.40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w:t>
      </w:r>
      <w:r>
        <w:rPr>
          <w:rFonts w:ascii="方正仿宋_GBK" w:eastAsia="方正仿宋_GBK" w:hAnsi="方正仿宋_GBK" w:cs="方正仿宋_GBK"/>
          <w:sz w:val="32"/>
          <w:szCs w:val="32"/>
          <w:shd w:val="clear" w:color="auto" w:fill="FFFFFF"/>
        </w:rPr>
        <w:t>。</w:t>
      </w:r>
      <w:r w:rsidR="00F3541A" w:rsidRPr="00F3541A">
        <w:rPr>
          <w:rFonts w:ascii="Times New Roman" w:eastAsia="方正仿宋_GBK" w:hAnsi="Times New Roman"/>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年上级转移支付资金投入较</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年增加</w:t>
      </w:r>
      <w:r w:rsidR="00F3541A" w:rsidRPr="00F3541A">
        <w:rPr>
          <w:rFonts w:ascii="Times New Roman" w:eastAsia="方正仿宋_GBK" w:hAnsi="Times New Roman"/>
          <w:sz w:val="32"/>
          <w:szCs w:val="32"/>
          <w:shd w:val="clear" w:color="auto" w:fill="FFFFFF"/>
        </w:rPr>
        <w:t>105</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w:t>
      </w:r>
      <w:r w:rsidR="0090479D">
        <w:rPr>
          <w:rFonts w:ascii="Times New Roman" w:eastAsia="方正仿宋_GBK" w:hAnsi="Times New Roman"/>
          <w:sz w:val="32"/>
          <w:szCs w:val="32"/>
          <w:shd w:val="clear" w:color="auto" w:fill="FFFFFF"/>
        </w:rPr>
        <w:t>4</w:t>
      </w:r>
      <w:r w:rsidR="00F3541A" w:rsidRPr="00F3541A">
        <w:rPr>
          <w:rFonts w:ascii="Times New Roman" w:eastAsia="方正仿宋_GBK" w:hAnsi="Times New Roman"/>
          <w:sz w:val="32"/>
          <w:szCs w:val="32"/>
          <w:shd w:val="clear" w:color="auto" w:fill="FFFFFF"/>
        </w:rPr>
        <w:t>年</w:t>
      </w:r>
      <w:r w:rsidR="00F3541A" w:rsidRPr="00F3541A">
        <w:rPr>
          <w:rFonts w:ascii="Times New Roman" w:eastAsia="方正仿宋_GBK" w:hAnsi="Times New Roman"/>
          <w:sz w:val="32"/>
          <w:szCs w:val="32"/>
          <w:shd w:val="clear" w:color="auto" w:fill="FFFFFF"/>
        </w:rPr>
        <w:lastRenderedPageBreak/>
        <w:t>结转资</w:t>
      </w:r>
      <w:r w:rsidR="00F3541A" w:rsidRPr="0090479D">
        <w:rPr>
          <w:rFonts w:ascii="方正仿宋_GBK" w:eastAsia="方正仿宋_GBK" w:hAnsi="方正仿宋_GBK" w:cs="方正仿宋_GBK"/>
          <w:sz w:val="32"/>
          <w:szCs w:val="32"/>
          <w:shd w:val="clear" w:color="auto" w:fill="FFFFFF"/>
        </w:rPr>
        <w:t>金</w:t>
      </w:r>
      <w:r w:rsidR="0090479D" w:rsidRPr="0090479D">
        <w:rPr>
          <w:rFonts w:ascii="方正仿宋_GBK" w:eastAsia="方正仿宋_GBK" w:hAnsi="方正仿宋_GBK" w:cs="方正仿宋_GBK"/>
          <w:sz w:val="32"/>
          <w:szCs w:val="32"/>
          <w:shd w:val="clear" w:color="auto" w:fill="FFFFFF"/>
        </w:rPr>
        <w:t>329.12</w:t>
      </w:r>
      <w:r w:rsidR="00F3541A" w:rsidRPr="00F3541A">
        <w:rPr>
          <w:rFonts w:ascii="Times New Roman" w:eastAsia="方正仿宋_GBK" w:hAnsi="Times New Roman"/>
          <w:sz w:val="32"/>
          <w:szCs w:val="32"/>
          <w:shd w:val="clear" w:color="auto" w:fill="FFFFFF"/>
        </w:rPr>
        <w:t>万元。</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F3541A" w:rsidRPr="00F3541A" w:rsidRDefault="00AC7C2C" w:rsidP="00F3541A">
      <w:pPr>
        <w:autoSpaceDE w:val="0"/>
        <w:spacing w:line="600" w:lineRule="exact"/>
        <w:ind w:firstLineChars="200" w:firstLine="640"/>
        <w:rPr>
          <w:rFonts w:ascii="Times New Roman" w:eastAsia="方正仿宋_GBK" w:hAnsi="Times New Roman" w:hint="default"/>
          <w:sz w:val="32"/>
          <w:szCs w:val="32"/>
          <w:shd w:val="clear" w:color="auto" w:fill="FFFFFF"/>
        </w:rPr>
      </w:pPr>
      <w:r>
        <w:rPr>
          <w:rStyle w:val="a6"/>
          <w:rFonts w:ascii="Times New Roman" w:eastAsia="方正仿宋_GBK" w:hAnsi="Times New Roman" w:hint="default"/>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2192.75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349.31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13.7%</w:t>
      </w:r>
      <w:r>
        <w:rPr>
          <w:rFonts w:ascii="方正仿宋_GBK" w:eastAsia="方正仿宋_GBK" w:hAnsi="方正仿宋_GBK" w:cs="方正仿宋_GBK"/>
          <w:sz w:val="32"/>
          <w:szCs w:val="32"/>
          <w:shd w:val="clear" w:color="auto" w:fill="FFFFFF"/>
        </w:rPr>
        <w:t>。</w:t>
      </w:r>
      <w:r w:rsidR="00F3541A">
        <w:rPr>
          <w:rFonts w:ascii="方正仿宋_GBK" w:eastAsia="方正仿宋_GBK" w:hAnsi="方正仿宋_GBK" w:cs="方正仿宋_GBK"/>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年五险缴费基数调整并补缴</w:t>
      </w:r>
      <w:r w:rsidR="00F3541A" w:rsidRPr="00F3541A">
        <w:rPr>
          <w:rFonts w:ascii="Times New Roman" w:eastAsia="方正仿宋_GBK" w:hAnsi="Times New Roman"/>
          <w:sz w:val="32"/>
          <w:szCs w:val="32"/>
          <w:shd w:val="clear" w:color="auto" w:fill="FFFFFF"/>
        </w:rPr>
        <w:t>2022</w:t>
      </w:r>
      <w:r w:rsidR="00F3541A" w:rsidRPr="00F3541A">
        <w:rPr>
          <w:rFonts w:ascii="Times New Roman" w:eastAsia="方正仿宋_GBK" w:hAnsi="Times New Roman"/>
          <w:sz w:val="32"/>
          <w:szCs w:val="32"/>
          <w:shd w:val="clear" w:color="auto" w:fill="FFFFFF"/>
        </w:rPr>
        <w:t>年职业年金，增加人员经费</w:t>
      </w:r>
      <w:r w:rsidR="00F3541A" w:rsidRPr="00F3541A">
        <w:rPr>
          <w:rFonts w:ascii="Times New Roman" w:eastAsia="方正仿宋_GBK" w:hAnsi="Times New Roman"/>
          <w:sz w:val="32"/>
          <w:szCs w:val="32"/>
          <w:shd w:val="clear" w:color="auto" w:fill="FFFFFF"/>
        </w:rPr>
        <w:t>258</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年项目收入减少</w:t>
      </w:r>
      <w:r w:rsidR="00F3541A" w:rsidRPr="00F3541A">
        <w:rPr>
          <w:rFonts w:ascii="Times New Roman" w:eastAsia="方正仿宋_GBK" w:hAnsi="Times New Roman"/>
          <w:sz w:val="32"/>
          <w:szCs w:val="32"/>
          <w:shd w:val="clear" w:color="auto" w:fill="FFFFFF"/>
        </w:rPr>
        <w:t>166.39</w:t>
      </w:r>
      <w:r w:rsidR="00F3541A" w:rsidRPr="00F3541A">
        <w:rPr>
          <w:rFonts w:ascii="Times New Roman" w:eastAsia="方正仿宋_GBK" w:hAnsi="Times New Roman"/>
          <w:sz w:val="32"/>
          <w:szCs w:val="32"/>
          <w:shd w:val="clear" w:color="auto" w:fill="FFFFFF"/>
        </w:rPr>
        <w:t>万元。故</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w:t>
      </w:r>
      <w:r w:rsidR="00F3541A">
        <w:rPr>
          <w:rFonts w:ascii="Times New Roman" w:eastAsia="方正仿宋_GBK" w:hAnsi="Times New Roman"/>
          <w:sz w:val="32"/>
          <w:szCs w:val="32"/>
          <w:shd w:val="clear" w:color="auto" w:fill="FFFFFF"/>
        </w:rPr>
        <w:t>支出</w:t>
      </w:r>
      <w:r w:rsidR="00F3541A" w:rsidRPr="00F3541A">
        <w:rPr>
          <w:rFonts w:ascii="Times New Roman" w:eastAsia="方正仿宋_GBK" w:hAnsi="Times New Roman"/>
          <w:sz w:val="32"/>
          <w:szCs w:val="32"/>
          <w:shd w:val="clear" w:color="auto" w:fill="FFFFFF"/>
        </w:rPr>
        <w:t>同比</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年减少</w:t>
      </w:r>
      <w:r w:rsidR="00F3541A" w:rsidRPr="00F3541A">
        <w:rPr>
          <w:rFonts w:ascii="Times New Roman" w:eastAsia="方正仿宋_GBK" w:hAnsi="Times New Roman"/>
          <w:sz w:val="32"/>
          <w:szCs w:val="32"/>
          <w:shd w:val="clear" w:color="auto" w:fill="FFFFFF"/>
        </w:rPr>
        <w:t>296.18</w:t>
      </w:r>
      <w:r w:rsidR="00F3541A" w:rsidRPr="00F3541A">
        <w:rPr>
          <w:rFonts w:ascii="Times New Roman" w:eastAsia="方正仿宋_GBK" w:hAnsi="Times New Roman"/>
          <w:sz w:val="32"/>
          <w:szCs w:val="32"/>
          <w:shd w:val="clear" w:color="auto" w:fill="FFFFFF"/>
        </w:rPr>
        <w:t>万元。</w:t>
      </w:r>
    </w:p>
    <w:p w:rsidR="009272D7" w:rsidRDefault="00AC7C2C" w:rsidP="00F3541A">
      <w:pPr>
        <w:pStyle w:val="a5"/>
        <w:snapToGrid w:val="0"/>
        <w:spacing w:before="0" w:beforeAutospacing="0" w:after="0" w:afterAutospacing="0" w:line="596" w:lineRule="exact"/>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210.40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w:t>
      </w:r>
      <w:r>
        <w:rPr>
          <w:rFonts w:ascii="方正仿宋_GBK" w:eastAsia="方正仿宋_GBK" w:hAnsi="方正仿宋_GBK" w:cs="方正仿宋_GBK"/>
          <w:sz w:val="32"/>
          <w:szCs w:val="32"/>
          <w:shd w:val="clear" w:color="auto" w:fill="FFFFFF"/>
        </w:rPr>
        <w:t>。</w:t>
      </w:r>
      <w:r w:rsidR="00F3541A" w:rsidRPr="00F3541A">
        <w:rPr>
          <w:rFonts w:ascii="Times New Roman" w:eastAsia="方正仿宋_GBK" w:hAnsi="Times New Roman"/>
          <w:sz w:val="32"/>
          <w:szCs w:val="32"/>
          <w:shd w:val="clear" w:color="auto" w:fill="FFFFFF"/>
        </w:rPr>
        <w:t>主要原因是</w:t>
      </w:r>
      <w:r w:rsidR="00F3541A" w:rsidRPr="00F3541A">
        <w:rPr>
          <w:rFonts w:ascii="Times New Roman" w:eastAsia="方正仿宋_GBK" w:hAnsi="Times New Roman"/>
          <w:sz w:val="32"/>
          <w:szCs w:val="32"/>
          <w:shd w:val="clear" w:color="auto" w:fill="FFFFFF"/>
        </w:rPr>
        <w:t>2024</w:t>
      </w:r>
      <w:r w:rsidR="00F3541A" w:rsidRPr="00F3541A">
        <w:rPr>
          <w:rFonts w:ascii="Times New Roman" w:eastAsia="方正仿宋_GBK" w:hAnsi="Times New Roman"/>
          <w:sz w:val="32"/>
          <w:szCs w:val="32"/>
          <w:shd w:val="clear" w:color="auto" w:fill="FFFFFF"/>
        </w:rPr>
        <w:t>年上级转移支付资金投入较</w:t>
      </w:r>
      <w:r w:rsidR="00F3541A" w:rsidRPr="00F3541A">
        <w:rPr>
          <w:rFonts w:ascii="Times New Roman" w:eastAsia="方正仿宋_GBK" w:hAnsi="Times New Roman"/>
          <w:sz w:val="32"/>
          <w:szCs w:val="32"/>
          <w:shd w:val="clear" w:color="auto" w:fill="FFFFFF"/>
        </w:rPr>
        <w:t>2023</w:t>
      </w:r>
      <w:r w:rsidR="00F3541A" w:rsidRPr="00F3541A">
        <w:rPr>
          <w:rFonts w:ascii="Times New Roman" w:eastAsia="方正仿宋_GBK" w:hAnsi="Times New Roman"/>
          <w:sz w:val="32"/>
          <w:szCs w:val="32"/>
          <w:shd w:val="clear" w:color="auto" w:fill="FFFFFF"/>
        </w:rPr>
        <w:t>年增加</w:t>
      </w:r>
      <w:r w:rsidR="00F3541A" w:rsidRPr="00F3541A">
        <w:rPr>
          <w:rFonts w:ascii="Times New Roman" w:eastAsia="方正仿宋_GBK" w:hAnsi="Times New Roman"/>
          <w:sz w:val="32"/>
          <w:szCs w:val="32"/>
          <w:shd w:val="clear" w:color="auto" w:fill="FFFFFF"/>
        </w:rPr>
        <w:t>105</w:t>
      </w:r>
      <w:r w:rsidR="00F3541A" w:rsidRPr="00F3541A">
        <w:rPr>
          <w:rFonts w:ascii="Times New Roman" w:eastAsia="方正仿宋_GBK" w:hAnsi="Times New Roman"/>
          <w:sz w:val="32"/>
          <w:szCs w:val="32"/>
          <w:shd w:val="clear" w:color="auto" w:fill="FFFFFF"/>
        </w:rPr>
        <w:t>万元，</w:t>
      </w:r>
      <w:r w:rsidR="00F3541A" w:rsidRPr="00F3541A">
        <w:rPr>
          <w:rFonts w:ascii="Times New Roman" w:eastAsia="方正仿宋_GBK" w:hAnsi="Times New Roman"/>
          <w:sz w:val="32"/>
          <w:szCs w:val="32"/>
          <w:shd w:val="clear" w:color="auto" w:fill="FFFFFF"/>
        </w:rPr>
        <w:t>202</w:t>
      </w:r>
      <w:r w:rsidR="0090479D">
        <w:rPr>
          <w:rFonts w:ascii="Times New Roman" w:eastAsia="方正仿宋_GBK" w:hAnsi="Times New Roman"/>
          <w:sz w:val="32"/>
          <w:szCs w:val="32"/>
          <w:shd w:val="clear" w:color="auto" w:fill="FFFFFF"/>
        </w:rPr>
        <w:t>4</w:t>
      </w:r>
      <w:r w:rsidR="00F3541A" w:rsidRPr="00F3541A">
        <w:rPr>
          <w:rFonts w:ascii="Times New Roman" w:eastAsia="方正仿宋_GBK" w:hAnsi="Times New Roman"/>
          <w:sz w:val="32"/>
          <w:szCs w:val="32"/>
          <w:shd w:val="clear" w:color="auto" w:fill="FFFFFF"/>
        </w:rPr>
        <w:t>年结转资金</w:t>
      </w:r>
      <w:r w:rsidR="0090479D">
        <w:rPr>
          <w:rFonts w:ascii="Times New Roman" w:eastAsia="方正仿宋_GBK" w:hAnsi="Times New Roman"/>
          <w:sz w:val="32"/>
          <w:szCs w:val="32"/>
          <w:shd w:val="clear" w:color="auto" w:fill="FFFFFF"/>
        </w:rPr>
        <w:t>329.12</w:t>
      </w:r>
      <w:r w:rsidR="00F3541A" w:rsidRPr="00F3541A">
        <w:rPr>
          <w:rFonts w:ascii="Times New Roman" w:eastAsia="方正仿宋_GBK" w:hAnsi="Times New Roman"/>
          <w:sz w:val="32"/>
          <w:szCs w:val="32"/>
          <w:shd w:val="clear" w:color="auto" w:fill="FFFFFF"/>
        </w:rPr>
        <w:t>万元。</w:t>
      </w:r>
    </w:p>
    <w:p w:rsidR="009272D7"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9272D7"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12.95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457DDF">
        <w:rPr>
          <w:rFonts w:ascii="方正仿宋_GBK" w:eastAsia="方正仿宋_GBK" w:hAnsi="方正仿宋_GBK" w:cs="方正仿宋_GBK"/>
          <w:sz w:val="32"/>
          <w:szCs w:val="32"/>
          <w:shd w:val="clear" w:color="auto" w:fill="FFFFFF"/>
        </w:rPr>
        <w:t>本年度预算基数为零</w:t>
      </w:r>
      <w:r w:rsidR="003A4956">
        <w:rPr>
          <w:rFonts w:ascii="方正仿宋_GBK" w:eastAsia="方正仿宋_GBK" w:hAnsi="方正仿宋_GBK" w:cs="方正仿宋_GBK"/>
          <w:sz w:val="32"/>
          <w:szCs w:val="32"/>
          <w:shd w:val="clear" w:color="auto" w:fill="FFFFFF"/>
        </w:rPr>
        <w:t>直接相关</w:t>
      </w:r>
      <w:r w:rsidR="00457DDF">
        <w:rPr>
          <w:rFonts w:ascii="方正仿宋_GBK" w:eastAsia="方正仿宋_GBK" w:hAnsi="方正仿宋_GBK" w:cs="方正仿宋_GBK"/>
          <w:sz w:val="32"/>
          <w:szCs w:val="32"/>
          <w:shd w:val="clear" w:color="auto" w:fill="FFFFFF"/>
        </w:rPr>
        <w:t>。</w:t>
      </w:r>
    </w:p>
    <w:p w:rsidR="009272D7" w:rsidRPr="003A4956" w:rsidRDefault="00AC7C2C" w:rsidP="003A4956">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1690.34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77.1%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262.77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13.5%</w:t>
      </w:r>
      <w:r>
        <w:rPr>
          <w:rFonts w:ascii="方正仿宋_GBK" w:eastAsia="方正仿宋_GBK" w:hAnsi="方正仿宋_GBK" w:cs="方正仿宋_GBK"/>
          <w:sz w:val="32"/>
          <w:szCs w:val="32"/>
          <w:shd w:val="clear" w:color="auto" w:fill="FFFFFF"/>
        </w:rPr>
        <w:t>，主要原因是</w:t>
      </w:r>
      <w:r w:rsidR="00482482" w:rsidRPr="00482482">
        <w:rPr>
          <w:rFonts w:ascii="方正仿宋_GBK" w:eastAsia="方正仿宋_GBK" w:hAnsi="方正仿宋_GBK" w:cs="方正仿宋_GBK"/>
          <w:sz w:val="32"/>
          <w:szCs w:val="32"/>
          <w:shd w:val="clear" w:color="auto" w:fill="FFFFFF"/>
        </w:rPr>
        <w:t>2024年市级转移支付资金517万元，支付187.88万元，结余结转329.12万元。</w:t>
      </w:r>
    </w:p>
    <w:p w:rsidR="009272D7" w:rsidRPr="00FC5B65"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482482">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294.78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39.75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15.6%</w:t>
      </w:r>
      <w:r>
        <w:rPr>
          <w:rFonts w:ascii="方正仿宋_GBK" w:eastAsia="方正仿宋_GBK" w:hAnsi="方正仿宋_GBK" w:cs="方正仿宋_GBK"/>
          <w:sz w:val="32"/>
          <w:szCs w:val="32"/>
          <w:shd w:val="clear" w:color="auto" w:fill="FFFFFF"/>
        </w:rPr>
        <w:t>，主要原因是</w:t>
      </w:r>
      <w:r w:rsidR="00FC5B65" w:rsidRPr="00FC5B65">
        <w:rPr>
          <w:rFonts w:ascii="方正仿宋_GBK" w:eastAsia="方正仿宋_GBK" w:hAnsi="方正仿宋_GBK" w:cs="方正仿宋_GBK"/>
          <w:sz w:val="32"/>
          <w:szCs w:val="32"/>
          <w:shd w:val="clear" w:color="auto" w:fill="FFFFFF"/>
        </w:rPr>
        <w:t>发放死亡抚恤金25.36万元</w:t>
      </w:r>
      <w:r w:rsidR="00C037C4">
        <w:rPr>
          <w:rFonts w:ascii="方正仿宋_GBK" w:eastAsia="方正仿宋_GBK" w:hAnsi="方正仿宋_GBK" w:cs="方正仿宋_GBK"/>
          <w:sz w:val="32"/>
          <w:szCs w:val="32"/>
          <w:shd w:val="clear" w:color="auto" w:fill="FFFFFF"/>
        </w:rPr>
        <w:t>，</w:t>
      </w:r>
      <w:r w:rsidR="00C037C4" w:rsidRPr="00FC5B65">
        <w:rPr>
          <w:rFonts w:ascii="Times New Roman" w:eastAsia="方正仿宋_GBK" w:hAnsi="Times New Roman"/>
          <w:sz w:val="32"/>
          <w:szCs w:val="32"/>
          <w:shd w:val="clear" w:color="auto" w:fill="FFFFFF"/>
        </w:rPr>
        <w:t>2024</w:t>
      </w:r>
      <w:r w:rsidR="00C037C4" w:rsidRPr="00FC5B65">
        <w:rPr>
          <w:rFonts w:ascii="Times New Roman" w:eastAsia="方正仿宋_GBK" w:hAnsi="Times New Roman"/>
          <w:sz w:val="32"/>
          <w:szCs w:val="32"/>
          <w:shd w:val="clear" w:color="auto" w:fill="FFFFFF"/>
        </w:rPr>
        <w:t>年事业人员职业年金养老保险缴费基数调高并补缴</w:t>
      </w:r>
      <w:r w:rsidR="00C037C4" w:rsidRPr="00FC5B65">
        <w:rPr>
          <w:rFonts w:ascii="方正仿宋_GBK" w:eastAsia="方正仿宋_GBK" w:hAnsi="方正仿宋_GBK" w:cs="方正仿宋_GBK"/>
          <w:sz w:val="32"/>
          <w:szCs w:val="32"/>
          <w:shd w:val="clear" w:color="auto" w:fill="FFFFFF"/>
        </w:rPr>
        <w:t>。</w:t>
      </w:r>
    </w:p>
    <w:p w:rsidR="00FC5B65" w:rsidRDefault="00AC7C2C" w:rsidP="00FC5B65">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sidR="00FC5B65">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94.35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，主要原因</w:t>
      </w:r>
      <w:r w:rsidR="00C037C4">
        <w:rPr>
          <w:rFonts w:ascii="方正仿宋_GBK" w:eastAsia="方正仿宋_GBK" w:hAnsi="方正仿宋_GBK" w:cs="方正仿宋_GBK"/>
          <w:sz w:val="32"/>
          <w:szCs w:val="32"/>
          <w:shd w:val="clear" w:color="auto" w:fill="FFFFFF"/>
        </w:rPr>
        <w:t>2024年在编人数同比2023年减少一人。</w:t>
      </w:r>
    </w:p>
    <w:p w:rsidR="009272D7" w:rsidRPr="00FC5B65" w:rsidRDefault="00AC7C2C" w:rsidP="00FC5B65">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sidR="00FC5B65">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w:t>
      </w:r>
      <w:r w:rsidRPr="00FC5B65">
        <w:rPr>
          <w:rFonts w:ascii="方正仿宋_GBK" w:eastAsia="方正仿宋_GBK" w:hAnsi="方正仿宋_GBK" w:cs="方正仿宋_GBK"/>
          <w:sz w:val="32"/>
          <w:szCs w:val="32"/>
        </w:rPr>
        <w:t>障支出</w:t>
      </w:r>
      <w:r w:rsidRPr="00FC5B65">
        <w:rPr>
          <w:rFonts w:ascii="Times New Roman" w:eastAsia="方正仿宋_GBK" w:hAnsi="Times New Roman" w:hint="default"/>
          <w:sz w:val="32"/>
          <w:szCs w:val="32"/>
          <w:shd w:val="clear" w:color="auto" w:fill="FFFFFF"/>
        </w:rPr>
        <w:t>100.34</w:t>
      </w:r>
      <w:r w:rsidRPr="00FC5B65">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，占</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FC5B65" w:rsidRPr="00FC5B65">
        <w:rPr>
          <w:rFonts w:ascii="方正仿宋_GBK" w:eastAsia="方正仿宋_GBK" w:hAnsi="方正仿宋_GBK" w:cs="方正仿宋_GBK"/>
          <w:sz w:val="32"/>
          <w:szCs w:val="32"/>
        </w:rPr>
        <w:t>按照年初预算严格执行</w:t>
      </w:r>
      <w:r w:rsidRPr="00FC5B65">
        <w:rPr>
          <w:rFonts w:ascii="方正仿宋_GBK" w:eastAsia="方正仿宋_GBK" w:hAnsi="方正仿宋_GBK" w:cs="方正仿宋_GBK"/>
          <w:sz w:val="32"/>
          <w:szCs w:val="32"/>
        </w:rPr>
        <w:t>。</w:t>
      </w:r>
    </w:p>
    <w:p w:rsidR="009272D7" w:rsidRDefault="00AC7C2C" w:rsidP="007E7B4E">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FC5B65" w:rsidRPr="00FC5B65">
        <w:rPr>
          <w:rFonts w:ascii="Times New Roman" w:eastAsia="方正仿宋_GBK" w:hAnsi="Times New Roman"/>
          <w:sz w:val="32"/>
          <w:szCs w:val="32"/>
          <w:shd w:val="clear" w:color="auto" w:fill="FFFFFF"/>
        </w:rPr>
        <w:t>严格执行年初预算。</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9272D7"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1755.82</w:t>
      </w:r>
      <w:r>
        <w:rPr>
          <w:rFonts w:ascii="方正仿宋_GBK" w:eastAsia="方正仿宋_GBK" w:hAnsi="方正仿宋_GBK" w:cs="方正仿宋_GBK"/>
          <w:sz w:val="32"/>
          <w:szCs w:val="32"/>
          <w:shd w:val="clear" w:color="auto" w:fill="FFFFFF"/>
        </w:rPr>
        <w:t>万元。</w:t>
      </w:r>
    </w:p>
    <w:p w:rsidR="009272D7" w:rsidRDefault="00AC7C2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FC5B65"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1475.96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179.26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10.8%</w:t>
      </w:r>
      <w:r>
        <w:rPr>
          <w:rFonts w:ascii="方正仿宋_GBK" w:eastAsia="方正仿宋_GBK" w:hAnsi="方正仿宋_GBK" w:cs="方正仿宋_GBK"/>
          <w:sz w:val="32"/>
          <w:szCs w:val="32"/>
          <w:shd w:val="clear" w:color="auto" w:fill="FFFFFF"/>
        </w:rPr>
        <w:t>，主要原因是</w:t>
      </w:r>
      <w:r w:rsidR="00FC5B65" w:rsidRPr="00FC5B65">
        <w:rPr>
          <w:rFonts w:ascii="Times New Roman" w:eastAsia="方正仿宋_GBK" w:hAnsi="Times New Roman"/>
          <w:sz w:val="32"/>
          <w:szCs w:val="32"/>
          <w:shd w:val="clear" w:color="auto" w:fill="FFFFFF"/>
        </w:rPr>
        <w:t>2024</w:t>
      </w:r>
      <w:r w:rsidR="00FC5B65" w:rsidRPr="00FC5B65">
        <w:rPr>
          <w:rFonts w:ascii="Times New Roman" w:eastAsia="方正仿宋_GBK" w:hAnsi="Times New Roman"/>
          <w:sz w:val="32"/>
          <w:szCs w:val="32"/>
          <w:shd w:val="clear" w:color="auto" w:fill="FFFFFF"/>
        </w:rPr>
        <w:t>年事业人员职业年金养老保险缴费基数调高并补缴；</w:t>
      </w:r>
      <w:r w:rsidR="00FC5B65" w:rsidRPr="00FC5B65">
        <w:rPr>
          <w:rFonts w:ascii="Times New Roman" w:eastAsia="方正仿宋_GBK" w:hAnsi="Times New Roman"/>
          <w:sz w:val="32"/>
          <w:szCs w:val="32"/>
          <w:shd w:val="clear" w:color="auto" w:fill="FFFFFF"/>
        </w:rPr>
        <w:t>2023</w:t>
      </w:r>
      <w:r w:rsidR="00FC5B65" w:rsidRPr="00FC5B65">
        <w:rPr>
          <w:rFonts w:ascii="Times New Roman" w:eastAsia="方正仿宋_GBK" w:hAnsi="Times New Roman"/>
          <w:sz w:val="32"/>
          <w:szCs w:val="32"/>
          <w:shd w:val="clear" w:color="auto" w:fill="FFFFFF"/>
        </w:rPr>
        <w:t>年将社区矫正助理员工资</w:t>
      </w:r>
      <w:r w:rsidR="00FC5B65" w:rsidRPr="00FC5B65">
        <w:rPr>
          <w:rFonts w:ascii="Times New Roman" w:eastAsia="方正仿宋_GBK" w:hAnsi="Times New Roman"/>
          <w:sz w:val="32"/>
          <w:szCs w:val="32"/>
          <w:shd w:val="clear" w:color="auto" w:fill="FFFFFF"/>
        </w:rPr>
        <w:t>118.8</w:t>
      </w:r>
      <w:r w:rsidR="00FC5B65" w:rsidRPr="00FC5B65">
        <w:rPr>
          <w:rFonts w:ascii="Times New Roman" w:eastAsia="方正仿宋_GBK" w:hAnsi="Times New Roman"/>
          <w:sz w:val="32"/>
          <w:szCs w:val="32"/>
          <w:shd w:val="clear" w:color="auto" w:fill="FFFFFF"/>
        </w:rPr>
        <w:t>万元预算为人员经费支出，</w:t>
      </w:r>
      <w:r w:rsidR="00FC5B65" w:rsidRPr="00FC5B65">
        <w:rPr>
          <w:rFonts w:ascii="Times New Roman" w:eastAsia="方正仿宋_GBK" w:hAnsi="Times New Roman"/>
          <w:sz w:val="32"/>
          <w:szCs w:val="32"/>
          <w:shd w:val="clear" w:color="auto" w:fill="FFFFFF"/>
        </w:rPr>
        <w:t>2024</w:t>
      </w:r>
      <w:r w:rsidR="00FC5B65" w:rsidRPr="00FC5B65">
        <w:rPr>
          <w:rFonts w:ascii="Times New Roman" w:eastAsia="方正仿宋_GBK" w:hAnsi="Times New Roman"/>
          <w:sz w:val="32"/>
          <w:szCs w:val="32"/>
          <w:shd w:val="clear" w:color="auto" w:fill="FFFFFF"/>
        </w:rPr>
        <w:t>年调整为项目支出。故</w:t>
      </w:r>
      <w:r w:rsidR="00FC5B65" w:rsidRPr="00FC5B65">
        <w:rPr>
          <w:rFonts w:ascii="Times New Roman" w:eastAsia="方正仿宋_GBK" w:hAnsi="Times New Roman"/>
          <w:sz w:val="32"/>
          <w:szCs w:val="32"/>
          <w:shd w:val="clear" w:color="auto" w:fill="FFFFFF"/>
        </w:rPr>
        <w:t>2024</w:t>
      </w:r>
      <w:r w:rsidR="00FC5B65" w:rsidRPr="00FC5B65">
        <w:rPr>
          <w:rFonts w:ascii="Times New Roman" w:eastAsia="方正仿宋_GBK" w:hAnsi="Times New Roman"/>
          <w:sz w:val="32"/>
          <w:szCs w:val="32"/>
          <w:shd w:val="clear" w:color="auto" w:fill="FFFFFF"/>
        </w:rPr>
        <w:t>年人员经费支出减少</w:t>
      </w:r>
      <w:r w:rsidR="00FC5B65">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人员经费用途主要</w:t>
      </w:r>
      <w:r w:rsidR="00FC5B65" w:rsidRPr="00300463">
        <w:rPr>
          <w:rFonts w:ascii="Times New Roman" w:eastAsia="方正仿宋_GBK" w:hAnsi="Times New Roman"/>
          <w:sz w:val="32"/>
          <w:szCs w:val="32"/>
          <w:shd w:val="clear" w:color="auto" w:fill="FFFFFF"/>
        </w:rPr>
        <w:t>包括基本工资、津贴补贴、奖金、社会保障缴费等。</w:t>
      </w:r>
    </w:p>
    <w:p w:rsidR="00FC5B65" w:rsidRDefault="00AC7C2C" w:rsidP="00FC5B65">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279.86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3.67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，主要原因是</w:t>
      </w:r>
      <w:r w:rsidR="00C037C4">
        <w:rPr>
          <w:rFonts w:ascii="方正仿宋_GBK" w:eastAsia="方正仿宋_GBK" w:hAnsi="方正仿宋_GBK" w:cs="方正仿宋_GBK"/>
          <w:sz w:val="32"/>
          <w:szCs w:val="32"/>
          <w:shd w:val="clear" w:color="auto" w:fill="FFFFFF"/>
        </w:rPr>
        <w:t>2024年在编人数同比2023年减少一人。</w:t>
      </w:r>
      <w:r>
        <w:rPr>
          <w:rFonts w:ascii="方正仿宋_GBK" w:eastAsia="方正仿宋_GBK" w:hAnsi="方正仿宋_GBK" w:cs="方正仿宋_GBK"/>
          <w:sz w:val="32"/>
          <w:szCs w:val="32"/>
          <w:shd w:val="clear" w:color="auto" w:fill="FFFFFF"/>
        </w:rPr>
        <w:t>公用经费用途主要包括</w:t>
      </w:r>
      <w:r w:rsidR="00FC5B65">
        <w:rPr>
          <w:rFonts w:ascii="方正仿宋_GBK" w:eastAsia="方正仿宋_GBK" w:hAnsi="方正仿宋_GBK" w:cs="方正仿宋_GBK"/>
          <w:color w:val="000000" w:themeColor="text1"/>
          <w:sz w:val="32"/>
          <w:szCs w:val="32"/>
          <w:shd w:val="clear" w:color="auto" w:fill="FFFFFF"/>
        </w:rPr>
        <w:t>机关运行综合保障。</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C037C4" w:rsidRDefault="00C037C4" w:rsidP="00C037C4">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本单位2024年度无政府性基金预算财政拨款收支。</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C037C4" w:rsidRPr="00C037C4" w:rsidRDefault="00C037C4" w:rsidP="00C037C4">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本单位无 2023年度国有资本经营预算财政拨款支出。</w:t>
      </w:r>
    </w:p>
    <w:p w:rsidR="009272D7" w:rsidRDefault="00AC7C2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三、财政拨款“三公”经费情况说明</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C037C4" w:rsidRPr="00C037C4" w:rsidRDefault="00AC7C2C" w:rsidP="00C037C4">
      <w:pPr>
        <w:pStyle w:val="Char"/>
        <w:widowControl w:val="0"/>
        <w:shd w:val="clear" w:color="auto" w:fill="FFFFFF"/>
        <w:autoSpaceDE w:val="0"/>
        <w:spacing w:line="600" w:lineRule="exact"/>
        <w:ind w:firstLineChars="200" w:firstLine="640"/>
        <w:jc w:val="both"/>
        <w:rPr>
          <w:rFonts w:ascii="方正仿宋_GBK" w:eastAsia="方正仿宋_GBK" w:hAnsi="方正仿宋_GBK" w:cs="方正仿宋_GBK"/>
          <w:sz w:val="32"/>
          <w:szCs w:val="32"/>
          <w:shd w:val="clear" w:color="auto" w:fill="FFFFFF"/>
        </w:rPr>
      </w:pPr>
      <w:r w:rsidRPr="00C037C4">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sidRPr="00C037C4">
        <w:rPr>
          <w:rFonts w:ascii="方正仿宋_GBK" w:eastAsia="方正仿宋_GBK" w:hAnsi="方正仿宋_GBK" w:cs="方正仿宋_GBK"/>
          <w:sz w:val="32"/>
          <w:szCs w:val="32"/>
          <w:shd w:val="clear" w:color="auto" w:fill="FFFFFF"/>
        </w:rPr>
        <w:t>11.75</w:t>
      </w:r>
      <w:r>
        <w:rPr>
          <w:rFonts w:ascii="方正仿宋_GBK" w:eastAsia="方正仿宋_GBK" w:hAnsi="方正仿宋_GBK" w:cs="方正仿宋_GBK"/>
          <w:sz w:val="32"/>
          <w:szCs w:val="32"/>
          <w:shd w:val="clear" w:color="auto" w:fill="FFFFFF"/>
        </w:rPr>
        <w:t>万元，</w:t>
      </w:r>
      <w:r w:rsidRPr="00C037C4">
        <w:rPr>
          <w:rFonts w:ascii="方正仿宋_GBK" w:eastAsia="方正仿宋_GBK" w:hAnsi="方正仿宋_GBK" w:cs="方正仿宋_GBK"/>
          <w:sz w:val="32"/>
          <w:szCs w:val="32"/>
          <w:shd w:val="clear" w:color="auto" w:fill="FFFFFF"/>
        </w:rPr>
        <w:t>较年初预算数增加8.00万元，增长213.3%</w:t>
      </w:r>
      <w:r>
        <w:rPr>
          <w:rFonts w:ascii="方正仿宋_GBK" w:eastAsia="方正仿宋_GBK" w:hAnsi="方正仿宋_GBK" w:cs="方正仿宋_GBK"/>
          <w:sz w:val="32"/>
          <w:szCs w:val="32"/>
          <w:shd w:val="clear" w:color="auto" w:fill="FFFFFF"/>
        </w:rPr>
        <w:t>，主要原因是</w:t>
      </w:r>
      <w:r w:rsidR="00C037C4" w:rsidRPr="00C037C4">
        <w:rPr>
          <w:rFonts w:ascii="方正仿宋_GBK" w:eastAsia="方正仿宋_GBK" w:hAnsi="方正仿宋_GBK" w:cs="方正仿宋_GBK" w:hint="eastAsia"/>
          <w:sz w:val="32"/>
          <w:szCs w:val="32"/>
          <w:shd w:val="clear" w:color="auto" w:fill="FFFFFF"/>
        </w:rPr>
        <w:t>年初预算减少8万元，</w:t>
      </w:r>
      <w:r w:rsidRPr="00C037C4">
        <w:rPr>
          <w:rFonts w:ascii="方正仿宋_GBK" w:eastAsia="方正仿宋_GBK" w:hAnsi="方正仿宋_GBK" w:cs="方正仿宋_GBK"/>
          <w:sz w:val="32"/>
          <w:szCs w:val="32"/>
          <w:shd w:val="clear" w:color="auto" w:fill="FFFFFF"/>
        </w:rPr>
        <w:t>较上年支出数增加2.50万元，增长27.0%</w:t>
      </w:r>
      <w:r>
        <w:rPr>
          <w:rFonts w:ascii="方正仿宋_GBK" w:eastAsia="方正仿宋_GBK" w:hAnsi="方正仿宋_GBK" w:cs="方正仿宋_GBK"/>
          <w:sz w:val="32"/>
          <w:szCs w:val="32"/>
          <w:shd w:val="clear" w:color="auto" w:fill="FFFFFF"/>
        </w:rPr>
        <w:t>，主要原因是</w:t>
      </w:r>
      <w:r w:rsidR="00C037C4" w:rsidRPr="00C037C4">
        <w:rPr>
          <w:rFonts w:ascii="方正仿宋_GBK" w:eastAsia="方正仿宋_GBK" w:hAnsi="方正仿宋_GBK" w:cs="方正仿宋_GBK" w:hint="eastAsia"/>
          <w:sz w:val="32"/>
          <w:szCs w:val="32"/>
          <w:shd w:val="clear" w:color="auto" w:fill="FFFFFF"/>
        </w:rPr>
        <w:t>有两辆执法用车取得时间分别为2010年、2013年，因使用时间长，维修保养成本增加，导致公务用车运行维护费同比2023年增加2.5万元。</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EA1728" w:rsidRPr="00C037C4" w:rsidRDefault="00AC7C2C" w:rsidP="00EA1728">
      <w:pPr>
        <w:pStyle w:val="Char"/>
        <w:widowControl w:val="0"/>
        <w:shd w:val="clear" w:color="auto" w:fill="FFFFFF"/>
        <w:autoSpaceDE w:val="0"/>
        <w:spacing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sz w:val="32"/>
          <w:szCs w:val="32"/>
          <w:shd w:val="clear" w:color="auto" w:fill="FFFFFF"/>
        </w:rPr>
        <w:t>11.00</w:t>
      </w:r>
      <w:r>
        <w:rPr>
          <w:rFonts w:ascii="方正仿宋_GBK" w:eastAsia="方正仿宋_GBK" w:hAnsi="方正仿宋_GBK" w:cs="方正仿宋_GBK"/>
          <w:sz w:val="32"/>
          <w:szCs w:val="32"/>
          <w:shd w:val="clear" w:color="auto" w:fill="FFFFFF"/>
        </w:rPr>
        <w:t>万元，主要用于</w:t>
      </w:r>
      <w:r w:rsidR="00EA1728">
        <w:rPr>
          <w:rFonts w:ascii="方正仿宋_GBK" w:eastAsia="方正仿宋_GBK" w:hAnsi="方正仿宋_GBK" w:cs="方正仿宋_GBK"/>
          <w:color w:val="000000" w:themeColor="text1"/>
          <w:sz w:val="32"/>
          <w:szCs w:val="32"/>
          <w:shd w:val="clear" w:color="auto" w:fill="FFFFFF"/>
        </w:rPr>
        <w:t>公务用车运行维护。</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sz w:val="32"/>
          <w:szCs w:val="32"/>
          <w:shd w:val="clear" w:color="auto" w:fill="FFFFFF"/>
        </w:rPr>
        <w:t>较年初预算数增加</w:t>
      </w:r>
      <w:r>
        <w:rPr>
          <w:rFonts w:ascii="Times New Roman" w:eastAsia="方正仿宋_GBK" w:hAnsi="Times New Roman"/>
          <w:sz w:val="32"/>
          <w:szCs w:val="32"/>
          <w:shd w:val="clear" w:color="auto" w:fill="FFFFFF"/>
        </w:rPr>
        <w:t>8.00</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266.7%</w:t>
      </w:r>
      <w:r>
        <w:rPr>
          <w:rFonts w:ascii="方正仿宋_GBK" w:eastAsia="方正仿宋_GBK" w:hAnsi="方正仿宋_GBK" w:cs="方正仿宋_GBK"/>
          <w:sz w:val="32"/>
          <w:szCs w:val="32"/>
          <w:shd w:val="clear" w:color="auto" w:fill="FFFFFF"/>
        </w:rPr>
        <w:t>，主要原因是</w:t>
      </w:r>
      <w:r w:rsidR="00EA1728" w:rsidRPr="00C037C4">
        <w:rPr>
          <w:rFonts w:ascii="方正仿宋_GBK" w:eastAsia="方正仿宋_GBK" w:hAnsi="方正仿宋_GBK" w:cs="方正仿宋_GBK" w:hint="eastAsia"/>
          <w:sz w:val="32"/>
          <w:szCs w:val="32"/>
          <w:shd w:val="clear" w:color="auto" w:fill="FFFFFF"/>
        </w:rPr>
        <w:t>年初预算减少8万元</w:t>
      </w:r>
      <w:r w:rsidR="00EA1728">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较上年支出数增加</w:t>
      </w:r>
      <w:r>
        <w:rPr>
          <w:rFonts w:ascii="Times New Roman" w:eastAsia="方正仿宋_GBK" w:hAnsi="Times New Roman"/>
          <w:sz w:val="32"/>
          <w:szCs w:val="32"/>
          <w:shd w:val="clear" w:color="auto" w:fill="FFFFFF"/>
        </w:rPr>
        <w:t>2.50</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29.4%</w:t>
      </w:r>
      <w:r>
        <w:rPr>
          <w:rFonts w:ascii="方正仿宋_GBK" w:eastAsia="方正仿宋_GBK" w:hAnsi="方正仿宋_GBK" w:cs="方正仿宋_GBK"/>
          <w:sz w:val="32"/>
          <w:szCs w:val="32"/>
          <w:shd w:val="clear" w:color="auto" w:fill="FFFFFF"/>
        </w:rPr>
        <w:t>，主要原因是</w:t>
      </w:r>
      <w:r w:rsidR="00EA1728" w:rsidRPr="00C037C4">
        <w:rPr>
          <w:rFonts w:ascii="方正仿宋_GBK" w:eastAsia="方正仿宋_GBK" w:hAnsi="方正仿宋_GBK" w:cs="方正仿宋_GBK" w:hint="eastAsia"/>
          <w:sz w:val="32"/>
          <w:szCs w:val="32"/>
          <w:shd w:val="clear" w:color="auto" w:fill="FFFFFF"/>
        </w:rPr>
        <w:t>有两辆执法用车取得时间分别为2010年、2013年，因使用时间长，维修保养成本增加，导致公务用车运行维护费同比2023年增加2.5万元。</w:t>
      </w:r>
    </w:p>
    <w:p w:rsidR="009272D7"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0.75</w:t>
      </w:r>
      <w:r>
        <w:rPr>
          <w:rFonts w:ascii="方正仿宋_GBK" w:eastAsia="方正仿宋_GBK" w:hAnsi="方正仿宋_GBK" w:cs="方正仿宋_GBK"/>
          <w:sz w:val="32"/>
          <w:szCs w:val="32"/>
          <w:shd w:val="clear" w:color="auto" w:fill="FFFFFF"/>
        </w:rPr>
        <w:t>万元，主要用于</w:t>
      </w:r>
      <w:r w:rsidR="00EA1728">
        <w:rPr>
          <w:rFonts w:ascii="方正仿宋_GBK" w:eastAsia="方正仿宋_GBK" w:hAnsi="方正仿宋_GBK" w:cs="方正仿宋_GBK"/>
          <w:sz w:val="32"/>
          <w:szCs w:val="32"/>
          <w:shd w:val="clear" w:color="auto" w:fill="FFFFFF"/>
        </w:rPr>
        <w:t>接待</w:t>
      </w:r>
      <w:r w:rsidR="00EA1728">
        <w:rPr>
          <w:rFonts w:ascii="方正仿宋_GBK" w:eastAsia="方正仿宋_GBK" w:hAnsi="方正仿宋_GBK" w:cs="方正仿宋_GBK"/>
          <w:color w:val="000000" w:themeColor="text1"/>
          <w:sz w:val="32"/>
          <w:szCs w:val="32"/>
          <w:shd w:val="clear" w:color="auto" w:fill="FFFFFF"/>
        </w:rPr>
        <w:t>上级检查指导工作。</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EA1728" w:rsidRPr="00EA1728">
        <w:rPr>
          <w:rFonts w:ascii="方正仿宋_GBK" w:eastAsia="方正仿宋_GBK" w:hAnsi="方正仿宋_GBK" w:cs="方正仿宋_GBK"/>
          <w:sz w:val="32"/>
          <w:szCs w:val="32"/>
          <w:shd w:val="clear" w:color="auto" w:fill="FFFFFF"/>
        </w:rPr>
        <w:t>严格执行预算。</w:t>
      </w:r>
      <w:r w:rsidRPr="00EA1728">
        <w:rPr>
          <w:rFonts w:ascii="方正仿宋_GBK" w:eastAsia="方正仿宋_GBK" w:hAnsi="方正仿宋_GBK" w:cs="方正仿宋_GBK"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sidR="00EA1728" w:rsidRPr="00EA1728">
        <w:rPr>
          <w:rFonts w:ascii="方正仿宋_GBK" w:eastAsia="方正仿宋_GBK" w:hAnsi="方正仿宋_GBK" w:cs="方正仿宋_GBK"/>
          <w:sz w:val="32"/>
          <w:szCs w:val="32"/>
          <w:shd w:val="clear" w:color="auto" w:fill="FFFFFF"/>
        </w:rPr>
        <w:t>严格公务接待制度</w:t>
      </w:r>
      <w:r w:rsidR="00EA1728">
        <w:rPr>
          <w:rFonts w:ascii="方正仿宋_GBK" w:eastAsia="方正仿宋_GBK" w:hAnsi="方正仿宋_GBK" w:cs="方正仿宋_GBK"/>
          <w:color w:val="000000" w:themeColor="text1"/>
          <w:sz w:val="32"/>
          <w:szCs w:val="32"/>
          <w:shd w:val="clear" w:color="auto" w:fill="FFFFFF"/>
        </w:rPr>
        <w:t>落实。</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9272D7"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15</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75</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100.00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3.67</w:t>
      </w:r>
      <w:r>
        <w:rPr>
          <w:rFonts w:ascii="方正仿宋_GBK" w:eastAsia="方正仿宋_GBK" w:hAnsi="方正仿宋_GBK" w:cs="方正仿宋_GBK"/>
          <w:sz w:val="32"/>
          <w:szCs w:val="32"/>
          <w:shd w:val="clear" w:color="auto" w:fill="FFFFFF"/>
        </w:rPr>
        <w:t>万元。</w:t>
      </w:r>
    </w:p>
    <w:p w:rsidR="009272D7" w:rsidRDefault="00AC7C2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四、其他需要说明的事项</w:t>
      </w:r>
    </w:p>
    <w:p w:rsidR="009272D7" w:rsidRDefault="00AC7C2C">
      <w:pPr>
        <w:pStyle w:val="a5"/>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9272D7" w:rsidRPr="00731B18" w:rsidRDefault="00AC7C2C" w:rsidP="00731B18">
      <w:pPr>
        <w:pStyle w:val="Char"/>
        <w:widowControl w:val="0"/>
        <w:shd w:val="clear" w:color="auto" w:fill="FFFFFF"/>
        <w:autoSpaceDE w:val="0"/>
        <w:spacing w:line="600" w:lineRule="exact"/>
        <w:ind w:firstLineChars="150" w:firstLine="480"/>
        <w:jc w:val="both"/>
        <w:rPr>
          <w:rFonts w:ascii="仿宋" w:eastAsia="仿宋" w:hAnsi="仿宋"/>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shd w:val="clear" w:color="auto" w:fill="FFFFFF"/>
        </w:rPr>
        <w:t>与</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年度相比，减少</w:t>
      </w:r>
      <w:r>
        <w:rPr>
          <w:rFonts w:ascii="Times New Roman" w:eastAsia="方正仿宋_GBK" w:hAnsi="Times New Roman"/>
          <w:sz w:val="32"/>
          <w:szCs w:val="32"/>
          <w:shd w:val="clear" w:color="auto" w:fill="FFFFFF"/>
        </w:rPr>
        <w:t>0.15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731B18" w:rsidRPr="00731B18">
        <w:rPr>
          <w:rFonts w:ascii="方正仿宋_GBK" w:eastAsia="方正仿宋_GBK" w:hAnsi="方正仿宋_GBK" w:cs="方正仿宋_GBK" w:hint="eastAsia"/>
          <w:sz w:val="32"/>
          <w:szCs w:val="32"/>
          <w:shd w:val="clear" w:color="auto" w:fill="FFFFFF"/>
        </w:rPr>
        <w:t>厉行节约，加强内控管理。</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sz w:val="32"/>
          <w:szCs w:val="32"/>
          <w:shd w:val="clear" w:color="auto" w:fill="FFFFFF"/>
        </w:rPr>
        <w:t>3.00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shd w:val="clear" w:color="auto" w:fill="FFFFFF"/>
        </w:rPr>
        <w:t>与</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年度相比，减少</w:t>
      </w:r>
      <w:r>
        <w:rPr>
          <w:rFonts w:ascii="Times New Roman" w:eastAsia="方正仿宋_GBK" w:hAnsi="Times New Roman"/>
          <w:sz w:val="32"/>
          <w:szCs w:val="32"/>
          <w:shd w:val="clear" w:color="auto" w:fill="FFFFFF"/>
        </w:rPr>
        <w:t>6.98</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69.9%</w:t>
      </w:r>
      <w:r>
        <w:rPr>
          <w:rFonts w:ascii="方正仿宋_GBK" w:eastAsia="方正仿宋_GBK" w:hAnsi="方正仿宋_GBK" w:cs="方正仿宋_GBK"/>
          <w:sz w:val="32"/>
          <w:szCs w:val="32"/>
          <w:shd w:val="clear" w:color="auto" w:fill="FFFFFF"/>
        </w:rPr>
        <w:t>，主要原因是</w:t>
      </w:r>
      <w:r w:rsidR="00731B18" w:rsidRPr="00731B18">
        <w:rPr>
          <w:rFonts w:ascii="方正仿宋_GBK" w:eastAsia="方正仿宋_GBK" w:hAnsi="方正仿宋_GBK" w:cs="方正仿宋_GBK" w:hint="eastAsia"/>
          <w:sz w:val="32"/>
          <w:szCs w:val="32"/>
          <w:shd w:val="clear" w:color="auto" w:fill="FFFFFF"/>
        </w:rPr>
        <w:t>2024年上级组织的司法系统业务培训减少，</w:t>
      </w:r>
      <w:r w:rsidR="00EA1728">
        <w:rPr>
          <w:rFonts w:ascii="方正仿宋_GBK" w:eastAsia="方正仿宋_GBK" w:hAnsi="方正仿宋_GBK" w:cs="方正仿宋_GBK"/>
          <w:sz w:val="32"/>
          <w:szCs w:val="32"/>
          <w:shd w:val="clear" w:color="auto" w:fill="FFFFFF"/>
        </w:rPr>
        <w:t>精简培训支出。</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sz w:val="32"/>
          <w:szCs w:val="32"/>
          <w:shd w:val="clear" w:color="auto" w:fill="FFFFFF"/>
        </w:rPr>
        <w:t>40.07</w:t>
      </w:r>
      <w:r>
        <w:rPr>
          <w:rFonts w:ascii="方正仿宋_GBK" w:eastAsia="方正仿宋_GBK" w:hAnsi="方正仿宋_GBK" w:cs="方正仿宋_GBK"/>
          <w:sz w:val="32"/>
          <w:szCs w:val="32"/>
        </w:rPr>
        <w:t>万元，</w:t>
      </w:r>
      <w:r>
        <w:rPr>
          <w:rFonts w:ascii="Times New Roman" w:eastAsia="方正仿宋_GBK" w:hAnsi="Times New Roman"/>
          <w:sz w:val="32"/>
          <w:szCs w:val="32"/>
          <w:shd w:val="clear" w:color="auto" w:fill="FFFFFF"/>
        </w:rPr>
        <w:t>与</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年度相比，减少</w:t>
      </w:r>
      <w:r>
        <w:rPr>
          <w:rFonts w:ascii="Times New Roman" w:eastAsia="方正仿宋_GBK" w:hAnsi="Times New Roman"/>
          <w:sz w:val="32"/>
          <w:szCs w:val="32"/>
          <w:shd w:val="clear" w:color="auto" w:fill="FFFFFF"/>
        </w:rPr>
        <w:t>90.58</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69.3%</w:t>
      </w:r>
      <w:r>
        <w:rPr>
          <w:rFonts w:ascii="方正仿宋_GBK" w:eastAsia="方正仿宋_GBK" w:hAnsi="方正仿宋_GBK" w:cs="方正仿宋_GBK"/>
          <w:sz w:val="32"/>
          <w:szCs w:val="32"/>
          <w:shd w:val="clear" w:color="auto" w:fill="FFFFFF"/>
        </w:rPr>
        <w:t>，主要原因是</w:t>
      </w:r>
      <w:r w:rsidR="00EA1728" w:rsidRPr="00EA1728">
        <w:rPr>
          <w:rFonts w:ascii="方正仿宋_GBK" w:eastAsia="方正仿宋_GBK" w:hAnsi="方正仿宋_GBK" w:cs="方正仿宋_GBK"/>
          <w:sz w:val="32"/>
          <w:szCs w:val="32"/>
          <w:shd w:val="clear" w:color="auto" w:fill="FFFFFF"/>
        </w:rPr>
        <w:t>内部管理加强，严格差旅审批制度。</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EA1728" w:rsidRDefault="00AC7C2C" w:rsidP="00EA1728">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251.89</w:t>
      </w:r>
      <w:r>
        <w:rPr>
          <w:rFonts w:ascii="方正仿宋_GBK" w:eastAsia="方正仿宋_GBK" w:hAnsi="方正仿宋_GBK" w:cs="方正仿宋_GBK"/>
          <w:sz w:val="32"/>
          <w:szCs w:val="32"/>
          <w:shd w:val="clear" w:color="auto" w:fill="FFFFFF"/>
        </w:rPr>
        <w:t>万元，机关运行经费主要用于开支</w:t>
      </w:r>
      <w:r w:rsidR="00EA1728">
        <w:rPr>
          <w:rFonts w:ascii="方正仿宋_GBK" w:eastAsia="方正仿宋_GBK" w:hAnsi="方正仿宋_GBK" w:cs="方正仿宋_GBK"/>
          <w:sz w:val="32"/>
          <w:szCs w:val="32"/>
          <w:shd w:val="clear" w:color="auto" w:fill="FFFFFF"/>
        </w:rPr>
        <w:t>办公费、水费、电费、邮电费、物业管理费、差旅费、培训费、“三公经费”、工会经费和公务交通补贴。</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，主要原因是</w:t>
      </w:r>
      <w:r w:rsidR="00EA1728">
        <w:rPr>
          <w:rFonts w:ascii="方正仿宋_GBK" w:eastAsia="方正仿宋_GBK" w:hAnsi="方正仿宋_GBK" w:cs="方正仿宋_GBK"/>
          <w:sz w:val="32"/>
          <w:szCs w:val="32"/>
          <w:shd w:val="clear" w:color="auto" w:fill="FFFFFF"/>
        </w:rPr>
        <w:t>2024年在编人数同比2023年减少一人。</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9272D7" w:rsidRDefault="00AC7C2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9272D7" w:rsidRDefault="00AC7C2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9A71D3" w:rsidRPr="00731B18" w:rsidRDefault="00AC7C2C" w:rsidP="009A71D3">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9.14</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9.14</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8.00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87.5%</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8.00</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 xml:space="preserve">87.5 </w:t>
      </w:r>
      <w:bookmarkStart w:id="0" w:name="_GoBack"/>
      <w:bookmarkEnd w:id="0"/>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。主要用于采购</w:t>
      </w:r>
      <w:r w:rsidR="00731B18" w:rsidRPr="00731B18">
        <w:rPr>
          <w:rFonts w:ascii="方正仿宋_GBK" w:eastAsia="方正仿宋_GBK" w:hAnsi="方正仿宋_GBK" w:cs="方正仿宋_GBK"/>
          <w:sz w:val="32"/>
          <w:szCs w:val="32"/>
          <w:shd w:val="clear" w:color="auto" w:fill="FFFFFF"/>
        </w:rPr>
        <w:t>业务办案相关办公设备</w:t>
      </w:r>
      <w:r w:rsidRPr="00731B18">
        <w:rPr>
          <w:rFonts w:ascii="方正仿宋_GBK" w:eastAsia="方正仿宋_GBK" w:hAnsi="方正仿宋_GBK" w:cs="方正仿宋_GBK"/>
          <w:sz w:val="32"/>
          <w:szCs w:val="32"/>
          <w:shd w:val="clear" w:color="auto" w:fill="FFFFFF"/>
        </w:rPr>
        <w:t>。</w:t>
      </w:r>
    </w:p>
    <w:p w:rsidR="009A71D3" w:rsidRDefault="009A71D3" w:rsidP="009A71D3">
      <w:pPr>
        <w:pStyle w:val="a5"/>
        <w:numPr>
          <w:ilvl w:val="0"/>
          <w:numId w:val="2"/>
        </w:numPr>
        <w:shd w:val="clear" w:color="auto" w:fill="FFFFFF"/>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预算绩效管理情况说明</w:t>
      </w:r>
    </w:p>
    <w:p w:rsidR="009A71D3" w:rsidRDefault="009A71D3" w:rsidP="009A71D3">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（一）部门自评情况</w:t>
      </w:r>
    </w:p>
    <w:p w:rsidR="009A71D3" w:rsidRDefault="009A71D3" w:rsidP="009A71D3">
      <w:pPr>
        <w:pStyle w:val="a5"/>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根据预算绩效管理要求，</w:t>
      </w:r>
      <w:r>
        <w:rPr>
          <w:rFonts w:ascii="Times New Roman" w:eastAsia="方正仿宋_GBK" w:hAnsi="Times New Roman"/>
          <w:sz w:val="32"/>
          <w:szCs w:val="32"/>
        </w:rPr>
        <w:t>根据我单位的工作职能和职责、按照项目资金的使用内容和用途，</w:t>
      </w:r>
      <w:r>
        <w:rPr>
          <w:rFonts w:ascii="方正仿宋_GBK" w:eastAsia="方正仿宋_GBK" w:hAnsi="方正仿宋_GBK" w:cs="方正仿宋_GBK"/>
          <w:sz w:val="32"/>
          <w:szCs w:val="32"/>
          <w:shd w:val="clear" w:color="auto" w:fill="FFFFFF"/>
        </w:rPr>
        <w:t>我单位对</w:t>
      </w:r>
      <w:r w:rsidR="003B1FDF">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个二级项目开展了绩效自评，</w:t>
      </w:r>
      <w:r>
        <w:rPr>
          <w:rFonts w:ascii="Times New Roman" w:eastAsia="方正仿宋_GBK" w:hAnsi="Times New Roman"/>
          <w:sz w:val="32"/>
          <w:szCs w:val="32"/>
        </w:rPr>
        <w:t>1</w:t>
      </w:r>
      <w:r>
        <w:rPr>
          <w:rFonts w:ascii="Times New Roman" w:eastAsia="方正仿宋_GBK" w:hAnsi="Times New Roman"/>
          <w:sz w:val="32"/>
          <w:szCs w:val="32"/>
        </w:rPr>
        <w:t>、基层司法业务工作经费；</w:t>
      </w:r>
      <w:r>
        <w:rPr>
          <w:rFonts w:ascii="Times New Roman" w:eastAsia="方正仿宋_GBK" w:hAnsi="Times New Roman"/>
          <w:sz w:val="32"/>
          <w:szCs w:val="32"/>
        </w:rPr>
        <w:t>2</w:t>
      </w:r>
      <w:r>
        <w:rPr>
          <w:rFonts w:ascii="Times New Roman" w:eastAsia="方正仿宋_GBK" w:hAnsi="Times New Roman"/>
          <w:sz w:val="32"/>
          <w:szCs w:val="32"/>
        </w:rPr>
        <w:t>、普法宣传工作经费；</w:t>
      </w:r>
      <w:r>
        <w:rPr>
          <w:rFonts w:ascii="Times New Roman" w:eastAsia="方正仿宋_GBK" w:hAnsi="Times New Roman"/>
          <w:sz w:val="32"/>
          <w:szCs w:val="32"/>
        </w:rPr>
        <w:t>3</w:t>
      </w:r>
      <w:r>
        <w:rPr>
          <w:rFonts w:ascii="Times New Roman" w:eastAsia="方正仿宋_GBK" w:hAnsi="Times New Roman"/>
          <w:sz w:val="32"/>
          <w:szCs w:val="32"/>
        </w:rPr>
        <w:t>、公共法律服务工作经费；</w:t>
      </w:r>
      <w:r>
        <w:rPr>
          <w:rFonts w:ascii="Times New Roman" w:eastAsia="方正仿宋_GBK" w:hAnsi="Times New Roman"/>
          <w:sz w:val="32"/>
          <w:szCs w:val="32"/>
        </w:rPr>
        <w:t>4</w:t>
      </w:r>
      <w:r>
        <w:rPr>
          <w:rFonts w:ascii="Times New Roman" w:eastAsia="方正仿宋_GBK" w:hAnsi="Times New Roman"/>
          <w:sz w:val="32"/>
          <w:szCs w:val="32"/>
        </w:rPr>
        <w:t>、社区矫正工作经费；</w:t>
      </w:r>
      <w:r>
        <w:rPr>
          <w:rFonts w:ascii="Times New Roman" w:eastAsia="方正仿宋_GBK" w:hAnsi="Times New Roman"/>
          <w:color w:val="000000" w:themeColor="text1"/>
          <w:sz w:val="32"/>
          <w:szCs w:val="32"/>
        </w:rPr>
        <w:t>5</w:t>
      </w:r>
      <w:r>
        <w:rPr>
          <w:rFonts w:ascii="Times New Roman" w:eastAsia="方正仿宋_GBK" w:hAnsi="Times New Roman"/>
          <w:color w:val="000000" w:themeColor="text1"/>
          <w:sz w:val="32"/>
          <w:szCs w:val="32"/>
        </w:rPr>
        <w:t>、</w:t>
      </w:r>
      <w:r>
        <w:rPr>
          <w:rFonts w:ascii="Times New Roman" w:eastAsia="方正仿宋_GBK" w:hAnsi="Times New Roman"/>
          <w:sz w:val="32"/>
          <w:szCs w:val="32"/>
        </w:rPr>
        <w:t>其他司法支出工作经费。</w:t>
      </w:r>
      <w:r>
        <w:rPr>
          <w:rFonts w:ascii="方正仿宋_GBK" w:eastAsia="方正仿宋_GBK" w:hAnsi="方正仿宋_GBK" w:cs="方正仿宋_GBK"/>
          <w:sz w:val="32"/>
          <w:szCs w:val="32"/>
          <w:shd w:val="clear" w:color="auto" w:fill="FFFFFF"/>
        </w:rPr>
        <w:t>涉及财政拨款项目支出资金</w:t>
      </w:r>
      <w:r w:rsidR="007D6A1F">
        <w:rPr>
          <w:rFonts w:ascii="Times New Roman" w:eastAsia="方正仿宋_GBK" w:hAnsi="Times New Roman"/>
          <w:sz w:val="32"/>
          <w:szCs w:val="32"/>
        </w:rPr>
        <w:t>436.93</w:t>
      </w:r>
      <w:r>
        <w:rPr>
          <w:rFonts w:ascii="Times New Roman" w:eastAsia="方正仿宋_GBK" w:hAnsi="Times New Roman"/>
          <w:sz w:val="32"/>
          <w:szCs w:val="32"/>
        </w:rPr>
        <w:t>万元。通过这些专项工作的开展，增强了人民群众的法治意识和法律素养，维护社会弱势群体的合法权益，</w:t>
      </w:r>
      <w:r>
        <w:rPr>
          <w:rFonts w:ascii="Times New Roman" w:eastAsia="方正仿宋_GBK" w:hAnsi="Times New Roman"/>
          <w:sz w:val="32"/>
          <w:szCs w:val="32"/>
        </w:rPr>
        <w:lastRenderedPageBreak/>
        <w:t>预防和减少重新违法犯罪，调处矛盾纠纷，为社会和谐稳定发展提供了有力的保障。</w:t>
      </w:r>
    </w:p>
    <w:p w:rsidR="009A71D3" w:rsidRDefault="009A71D3" w:rsidP="009A71D3">
      <w:pPr>
        <w:pStyle w:val="Char"/>
        <w:autoSpaceDE w:val="0"/>
        <w:spacing w:before="0" w:beforeAutospacing="0" w:line="600" w:lineRule="exact"/>
        <w:rPr>
          <w:rFonts w:ascii="方正仿宋_GBK" w:eastAsia="方正仿宋_GBK" w:hAnsi="方正仿宋_GBK" w:cs="方正仿宋_GBK" w:hint="eastAsia"/>
          <w:sz w:val="28"/>
          <w:szCs w:val="28"/>
          <w:shd w:val="clear" w:color="auto" w:fill="FFFFFF"/>
        </w:rPr>
      </w:pPr>
      <w:r>
        <w:rPr>
          <w:rFonts w:ascii="方正仿宋_GBK" w:eastAsia="方正仿宋_GBK" w:hAnsi="方正仿宋_GBK" w:cs="方正仿宋_GBK" w:hint="eastAsia"/>
          <w:sz w:val="28"/>
          <w:szCs w:val="28"/>
          <w:shd w:val="clear" w:color="auto" w:fill="FFFFFF"/>
        </w:rPr>
        <w:t>部门整体绩效自评表</w:t>
      </w:r>
    </w:p>
    <w:tbl>
      <w:tblPr>
        <w:tblW w:w="8400" w:type="dxa"/>
        <w:tblInd w:w="93" w:type="dxa"/>
        <w:tblLayout w:type="fixed"/>
        <w:tblLook w:val="04A0"/>
      </w:tblPr>
      <w:tblGrid>
        <w:gridCol w:w="527"/>
        <w:gridCol w:w="751"/>
        <w:gridCol w:w="913"/>
        <w:gridCol w:w="1544"/>
        <w:gridCol w:w="915"/>
        <w:gridCol w:w="1110"/>
        <w:gridCol w:w="975"/>
        <w:gridCol w:w="272"/>
        <w:gridCol w:w="551"/>
        <w:gridCol w:w="842"/>
      </w:tblGrid>
      <w:tr w:rsidR="005415E4" w:rsidTr="00E50807">
        <w:trPr>
          <w:trHeight w:val="606"/>
        </w:trPr>
        <w:tc>
          <w:tcPr>
            <w:tcW w:w="8400" w:type="dxa"/>
            <w:gridSpan w:val="10"/>
            <w:vAlign w:val="center"/>
          </w:tcPr>
          <w:p w:rsidR="005415E4" w:rsidRDefault="005415E4" w:rsidP="00E50807">
            <w:pPr>
              <w:jc w:val="both"/>
              <w:textAlignment w:val="center"/>
              <w:rPr>
                <w:rFonts w:ascii="Times New Roman" w:eastAsia="方正小标宋_GBK" w:hAnsi="Times New Roman"/>
                <w:color w:val="000000"/>
                <w:sz w:val="40"/>
                <w:szCs w:val="40"/>
              </w:rPr>
            </w:pPr>
            <w:r>
              <w:rPr>
                <w:color w:val="000000"/>
              </w:rPr>
              <w:t>附件</w:t>
            </w:r>
            <w:r>
              <w:rPr>
                <w:rFonts w:ascii="Times New Roman" w:eastAsia="方正黑体_GBK" w:hAnsi="Times New Roman"/>
                <w:color w:val="000000"/>
              </w:rPr>
              <w:t xml:space="preserve">1                </w:t>
            </w:r>
            <w:r>
              <w:rPr>
                <w:rFonts w:ascii="Times New Roman" w:eastAsia="方正小标宋_GBK" w:hAnsi="Times New Roman"/>
                <w:color w:val="000000"/>
                <w:sz w:val="40"/>
                <w:szCs w:val="40"/>
              </w:rPr>
              <w:t>202</w:t>
            </w:r>
            <w:r>
              <w:rPr>
                <w:rFonts w:ascii="Times New Roman" w:eastAsiaTheme="minorEastAsia" w:hAnsi="Times New Roman"/>
                <w:color w:val="000000"/>
                <w:sz w:val="40"/>
                <w:szCs w:val="40"/>
              </w:rPr>
              <w:t>4</w:t>
            </w:r>
            <w:r>
              <w:rPr>
                <w:color w:val="000000"/>
                <w:sz w:val="40"/>
                <w:szCs w:val="40"/>
              </w:rPr>
              <w:t>年度部门整体绩效自评表</w:t>
            </w:r>
            <w:r>
              <w:rPr>
                <w:rFonts w:ascii="方正小标宋_GBK" w:eastAsia="方正小标宋_GBK" w:hAnsi="方正小标宋_GBK"/>
                <w:color w:val="000000"/>
                <w:sz w:val="40"/>
                <w:szCs w:val="40"/>
              </w:rPr>
              <w:t xml:space="preserve"> </w:t>
            </w:r>
          </w:p>
        </w:tc>
      </w:tr>
      <w:tr w:rsidR="005415E4" w:rsidTr="00E50807">
        <w:trPr>
          <w:trHeight w:val="360"/>
        </w:trPr>
        <w:tc>
          <w:tcPr>
            <w:tcW w:w="8400" w:type="dxa"/>
            <w:gridSpan w:val="10"/>
            <w:tcBorders>
              <w:top w:val="nil"/>
              <w:left w:val="nil"/>
              <w:bottom w:val="single" w:sz="4" w:space="0" w:color="000000"/>
              <w:right w:val="nil"/>
            </w:tcBorders>
            <w:vAlign w:val="center"/>
          </w:tcPr>
          <w:p w:rsidR="005415E4" w:rsidRDefault="005415E4" w:rsidP="00E50807">
            <w:pPr>
              <w:jc w:val="center"/>
              <w:rPr>
                <w:rFonts w:ascii="Times New Roman" w:eastAsia="方正仿宋_GBK" w:hAnsi="Times New Roman"/>
                <w:color w:val="000000"/>
                <w:sz w:val="20"/>
                <w:szCs w:val="20"/>
              </w:rPr>
            </w:pPr>
          </w:p>
        </w:tc>
      </w:tr>
      <w:tr w:rsidR="005415E4" w:rsidTr="00E50807">
        <w:trPr>
          <w:trHeight w:val="444"/>
        </w:trPr>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部门名称</w:t>
            </w:r>
          </w:p>
        </w:tc>
        <w:tc>
          <w:tcPr>
            <w:tcW w:w="2457" w:type="dxa"/>
            <w:gridSpan w:val="2"/>
            <w:tcBorders>
              <w:top w:val="single" w:sz="4" w:space="0" w:color="000000"/>
              <w:left w:val="nil"/>
              <w:bottom w:val="single" w:sz="4" w:space="0" w:color="000000"/>
              <w:right w:val="single" w:sz="4" w:space="0" w:color="auto"/>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重庆市石柱土家族自治县司法局</w:t>
            </w:r>
          </w:p>
        </w:tc>
        <w:tc>
          <w:tcPr>
            <w:tcW w:w="3272" w:type="dxa"/>
            <w:gridSpan w:val="4"/>
            <w:tcBorders>
              <w:top w:val="single" w:sz="4" w:space="0" w:color="000000"/>
              <w:left w:val="nil"/>
              <w:bottom w:val="single" w:sz="4" w:space="0" w:color="000000"/>
              <w:right w:val="single" w:sz="4" w:space="0" w:color="auto"/>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下属单位个数</w:t>
            </w:r>
          </w:p>
        </w:tc>
        <w:tc>
          <w:tcPr>
            <w:tcW w:w="139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w:t>
            </w:r>
          </w:p>
        </w:tc>
      </w:tr>
      <w:tr w:rsidR="005415E4" w:rsidTr="00E50807">
        <w:trPr>
          <w:trHeight w:val="321"/>
        </w:trPr>
        <w:tc>
          <w:tcPr>
            <w:tcW w:w="1278" w:type="dxa"/>
            <w:gridSpan w:val="2"/>
            <w:vMerge w:val="restart"/>
            <w:tcBorders>
              <w:top w:val="nil"/>
              <w:left w:val="single" w:sz="4" w:space="0" w:color="000000"/>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整体支出规模</w:t>
            </w:r>
          </w:p>
        </w:tc>
        <w:tc>
          <w:tcPr>
            <w:tcW w:w="2457" w:type="dxa"/>
            <w:gridSpan w:val="2"/>
            <w:tcBorders>
              <w:top w:val="single" w:sz="4" w:space="0" w:color="000000"/>
              <w:left w:val="nil"/>
              <w:bottom w:val="single" w:sz="4" w:space="0" w:color="000000"/>
              <w:right w:val="single" w:sz="4" w:space="0" w:color="auto"/>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全年预算数</w:t>
            </w:r>
          </w:p>
        </w:tc>
        <w:tc>
          <w:tcPr>
            <w:tcW w:w="3272" w:type="dxa"/>
            <w:gridSpan w:val="4"/>
            <w:tcBorders>
              <w:top w:val="single" w:sz="4" w:space="0" w:color="000000"/>
              <w:left w:val="nil"/>
              <w:bottom w:val="single" w:sz="4" w:space="0" w:color="000000"/>
              <w:right w:val="single" w:sz="4" w:space="0" w:color="auto"/>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全年执行数</w:t>
            </w:r>
          </w:p>
        </w:tc>
        <w:tc>
          <w:tcPr>
            <w:tcW w:w="139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执行率</w:t>
            </w:r>
          </w:p>
        </w:tc>
      </w:tr>
      <w:tr w:rsidR="005415E4" w:rsidTr="00E50807">
        <w:trPr>
          <w:trHeight w:val="321"/>
        </w:trPr>
        <w:tc>
          <w:tcPr>
            <w:tcW w:w="1278" w:type="dxa"/>
            <w:gridSpan w:val="2"/>
            <w:vMerge/>
            <w:tcBorders>
              <w:top w:val="nil"/>
              <w:left w:val="single" w:sz="4" w:space="0" w:color="000000"/>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总量</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2192.75</w:t>
            </w:r>
          </w:p>
        </w:tc>
        <w:tc>
          <w:tcPr>
            <w:tcW w:w="3272" w:type="dxa"/>
            <w:gridSpan w:val="4"/>
            <w:tcBorders>
              <w:top w:val="single" w:sz="4" w:space="0" w:color="000000"/>
              <w:left w:val="nil"/>
              <w:bottom w:val="single" w:sz="4" w:space="0" w:color="000000"/>
              <w:right w:val="single" w:sz="4" w:space="0" w:color="auto"/>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2192.75</w:t>
            </w:r>
          </w:p>
        </w:tc>
        <w:tc>
          <w:tcPr>
            <w:tcW w:w="139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r>
      <w:tr w:rsidR="005415E4" w:rsidTr="00E50807">
        <w:trPr>
          <w:trHeight w:val="336"/>
        </w:trPr>
        <w:tc>
          <w:tcPr>
            <w:tcW w:w="1278" w:type="dxa"/>
            <w:gridSpan w:val="2"/>
            <w:vMerge/>
            <w:tcBorders>
              <w:top w:val="nil"/>
              <w:left w:val="single" w:sz="4" w:space="0" w:color="000000"/>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其中：财政资金</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2192.75</w:t>
            </w:r>
          </w:p>
        </w:tc>
        <w:tc>
          <w:tcPr>
            <w:tcW w:w="3272" w:type="dxa"/>
            <w:gridSpan w:val="4"/>
            <w:tcBorders>
              <w:top w:val="single" w:sz="4" w:space="0" w:color="000000"/>
              <w:left w:val="nil"/>
              <w:bottom w:val="single" w:sz="4" w:space="0" w:color="000000"/>
              <w:right w:val="single" w:sz="4" w:space="0" w:color="auto"/>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2192.75</w:t>
            </w:r>
          </w:p>
        </w:tc>
        <w:tc>
          <w:tcPr>
            <w:tcW w:w="139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r>
      <w:tr w:rsidR="005415E4" w:rsidTr="00E50807">
        <w:trPr>
          <w:trHeight w:val="336"/>
        </w:trPr>
        <w:tc>
          <w:tcPr>
            <w:tcW w:w="1278" w:type="dxa"/>
            <w:gridSpan w:val="2"/>
            <w:vMerge/>
            <w:tcBorders>
              <w:top w:val="nil"/>
              <w:left w:val="single" w:sz="4" w:space="0" w:color="000000"/>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基本支出</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1755.82</w:t>
            </w:r>
          </w:p>
        </w:tc>
        <w:tc>
          <w:tcPr>
            <w:tcW w:w="3272" w:type="dxa"/>
            <w:gridSpan w:val="4"/>
            <w:tcBorders>
              <w:top w:val="single" w:sz="4" w:space="0" w:color="000000"/>
              <w:left w:val="nil"/>
              <w:bottom w:val="single" w:sz="4" w:space="0" w:color="000000"/>
              <w:right w:val="single" w:sz="4" w:space="0" w:color="auto"/>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1755.82</w:t>
            </w:r>
          </w:p>
        </w:tc>
        <w:tc>
          <w:tcPr>
            <w:tcW w:w="139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r>
      <w:tr w:rsidR="005415E4" w:rsidTr="00E50807">
        <w:trPr>
          <w:trHeight w:val="336"/>
        </w:trPr>
        <w:tc>
          <w:tcPr>
            <w:tcW w:w="1278" w:type="dxa"/>
            <w:gridSpan w:val="2"/>
            <w:vMerge/>
            <w:tcBorders>
              <w:top w:val="nil"/>
              <w:left w:val="single" w:sz="4" w:space="0" w:color="000000"/>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项目支出</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436.93</w:t>
            </w:r>
          </w:p>
        </w:tc>
        <w:tc>
          <w:tcPr>
            <w:tcW w:w="3272" w:type="dxa"/>
            <w:gridSpan w:val="4"/>
            <w:tcBorders>
              <w:top w:val="single" w:sz="4" w:space="0" w:color="000000"/>
              <w:left w:val="nil"/>
              <w:bottom w:val="single" w:sz="4" w:space="0" w:color="000000"/>
              <w:right w:val="single" w:sz="4" w:space="0" w:color="auto"/>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436.93</w:t>
            </w:r>
          </w:p>
        </w:tc>
        <w:tc>
          <w:tcPr>
            <w:tcW w:w="139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r>
      <w:tr w:rsidR="005415E4" w:rsidTr="00E50807">
        <w:trPr>
          <w:trHeight w:val="321"/>
        </w:trPr>
        <w:tc>
          <w:tcPr>
            <w:tcW w:w="527" w:type="dxa"/>
            <w:vMerge w:val="restart"/>
            <w:tcBorders>
              <w:top w:val="nil"/>
              <w:left w:val="single" w:sz="4" w:space="0" w:color="000000"/>
              <w:bottom w:val="single" w:sz="4" w:space="0" w:color="000000"/>
              <w:right w:val="nil"/>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年度总体目标</w:t>
            </w: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年初设定目标</w:t>
            </w:r>
          </w:p>
        </w:tc>
        <w:tc>
          <w:tcPr>
            <w:tcW w:w="4665" w:type="dxa"/>
            <w:gridSpan w:val="6"/>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全年目标实际完成情况</w:t>
            </w:r>
          </w:p>
        </w:tc>
      </w:tr>
      <w:tr w:rsidR="005415E4" w:rsidTr="00E50807">
        <w:trPr>
          <w:trHeight w:val="20"/>
        </w:trPr>
        <w:tc>
          <w:tcPr>
            <w:tcW w:w="527" w:type="dxa"/>
            <w:vMerge/>
            <w:tcBorders>
              <w:top w:val="nil"/>
              <w:left w:val="single" w:sz="4" w:space="0" w:color="000000"/>
              <w:bottom w:val="single" w:sz="4" w:space="0" w:color="000000"/>
              <w:right w:val="nil"/>
            </w:tcBorders>
            <w:vAlign w:val="center"/>
          </w:tcPr>
          <w:p w:rsidR="005415E4" w:rsidRDefault="005415E4" w:rsidP="00E50807">
            <w:pPr>
              <w:rPr>
                <w:rFonts w:ascii="Times New Roman" w:hAnsi="Times New Roman"/>
                <w:color w:val="000000"/>
                <w:sz w:val="16"/>
                <w:szCs w:val="16"/>
              </w:rPr>
            </w:pPr>
          </w:p>
        </w:tc>
        <w:tc>
          <w:tcPr>
            <w:tcW w:w="3208" w:type="dxa"/>
            <w:gridSpan w:val="3"/>
            <w:tcBorders>
              <w:top w:val="single" w:sz="4" w:space="0" w:color="000000"/>
              <w:left w:val="single" w:sz="4" w:space="0" w:color="000000"/>
              <w:bottom w:val="single" w:sz="4" w:space="0" w:color="000000"/>
              <w:right w:val="single" w:sz="4" w:space="0" w:color="000000"/>
            </w:tcBorders>
            <w:vAlign w:val="center"/>
          </w:tcPr>
          <w:p w:rsidR="005415E4" w:rsidRDefault="005415E4" w:rsidP="005415E4">
            <w:pPr>
              <w:numPr>
                <w:ilvl w:val="0"/>
                <w:numId w:val="3"/>
              </w:numPr>
              <w:jc w:val="both"/>
              <w:rPr>
                <w:rFonts w:ascii="Times New Roman" w:hAnsi="Times New Roman"/>
                <w:color w:val="000000"/>
                <w:sz w:val="16"/>
                <w:szCs w:val="16"/>
              </w:rPr>
            </w:pPr>
            <w:r>
              <w:rPr>
                <w:color w:val="000000"/>
                <w:sz w:val="16"/>
                <w:szCs w:val="16"/>
              </w:rPr>
              <w:t>加强社区矫正、安置帮教两类人员的监督管理和教育帮扶，及时化解不稳定因素，消除安全隐患，确保总体安全可控，维护社会稳定。</w:t>
            </w:r>
          </w:p>
          <w:p w:rsidR="005415E4" w:rsidRDefault="005415E4" w:rsidP="005415E4">
            <w:pPr>
              <w:numPr>
                <w:ilvl w:val="0"/>
                <w:numId w:val="3"/>
              </w:numPr>
              <w:jc w:val="both"/>
              <w:rPr>
                <w:rFonts w:ascii="Times New Roman" w:hAnsi="Times New Roman"/>
                <w:color w:val="000000"/>
                <w:sz w:val="16"/>
                <w:szCs w:val="16"/>
              </w:rPr>
            </w:pPr>
            <w:r>
              <w:rPr>
                <w:color w:val="000000"/>
                <w:sz w:val="16"/>
                <w:szCs w:val="16"/>
              </w:rPr>
              <w:t>通过</w:t>
            </w:r>
            <w:r>
              <w:rPr>
                <w:rFonts w:ascii="Times New Roman" w:hAnsi="Times New Roman"/>
                <w:color w:val="000000"/>
                <w:sz w:val="16"/>
                <w:szCs w:val="16"/>
              </w:rPr>
              <w:t>“</w:t>
            </w:r>
            <w:r>
              <w:rPr>
                <w:color w:val="000000"/>
                <w:sz w:val="16"/>
                <w:szCs w:val="16"/>
              </w:rPr>
              <w:t>八五</w:t>
            </w:r>
            <w:r>
              <w:rPr>
                <w:rFonts w:ascii="Times New Roman" w:hAnsi="Times New Roman"/>
                <w:color w:val="000000"/>
                <w:sz w:val="16"/>
                <w:szCs w:val="16"/>
              </w:rPr>
              <w:t>”</w:t>
            </w:r>
            <w:r>
              <w:rPr>
                <w:color w:val="000000"/>
                <w:sz w:val="16"/>
                <w:szCs w:val="16"/>
              </w:rPr>
              <w:t>普法的展开，大力弘扬法治精神，广泛传播法律知识、牢固树立宪法和法律的权威，增强公民法治观念和正确运用法律的能力；着力培育法治文化，加强法治宣传阵地建设，为公民学法用法创造良好条件；着力夯实法治基础，努力深化法治实践，不断推进基层依法治理。</w:t>
            </w:r>
          </w:p>
          <w:p w:rsidR="005415E4" w:rsidRDefault="005415E4" w:rsidP="005415E4">
            <w:pPr>
              <w:numPr>
                <w:ilvl w:val="0"/>
                <w:numId w:val="3"/>
              </w:numPr>
              <w:jc w:val="both"/>
              <w:rPr>
                <w:rFonts w:ascii="Times New Roman" w:hAnsi="Times New Roman"/>
                <w:color w:val="000000"/>
                <w:sz w:val="16"/>
                <w:szCs w:val="16"/>
              </w:rPr>
            </w:pPr>
            <w:r>
              <w:rPr>
                <w:color w:val="000000"/>
                <w:sz w:val="16"/>
                <w:szCs w:val="16"/>
              </w:rPr>
              <w:t>落实《关于购买社区矫正社会工作者的通知》，通过政府购买服务方式，设专职社区矫正助理员岗位，提升社区矫正工作行政效率。</w:t>
            </w:r>
          </w:p>
          <w:p w:rsidR="005415E4" w:rsidRDefault="005415E4" w:rsidP="005415E4">
            <w:pPr>
              <w:numPr>
                <w:ilvl w:val="0"/>
                <w:numId w:val="3"/>
              </w:numPr>
              <w:jc w:val="both"/>
              <w:rPr>
                <w:rFonts w:ascii="Times New Roman" w:hAnsi="Times New Roman"/>
                <w:color w:val="000000"/>
                <w:sz w:val="16"/>
                <w:szCs w:val="16"/>
              </w:rPr>
            </w:pPr>
            <w:r>
              <w:rPr>
                <w:color w:val="000000"/>
                <w:sz w:val="16"/>
                <w:szCs w:val="16"/>
              </w:rPr>
              <w:t>落实《关于加强人民调解员队伍建设的实施意见》和《关于完善法律援助制度的实施意见》，做到</w:t>
            </w:r>
            <w:r>
              <w:rPr>
                <w:rFonts w:ascii="Times New Roman" w:hAnsi="Times New Roman"/>
                <w:color w:val="000000"/>
                <w:sz w:val="16"/>
                <w:szCs w:val="16"/>
              </w:rPr>
              <w:t>“</w:t>
            </w:r>
            <w:r>
              <w:rPr>
                <w:color w:val="000000"/>
                <w:sz w:val="16"/>
                <w:szCs w:val="16"/>
              </w:rPr>
              <w:t>能援尽援</w:t>
            </w:r>
            <w:r>
              <w:rPr>
                <w:rFonts w:ascii="Times New Roman" w:hAnsi="Times New Roman"/>
                <w:color w:val="000000"/>
                <w:sz w:val="16"/>
                <w:szCs w:val="16"/>
              </w:rPr>
              <w:t>”“</w:t>
            </w:r>
            <w:r>
              <w:rPr>
                <w:color w:val="000000"/>
                <w:sz w:val="16"/>
                <w:szCs w:val="16"/>
              </w:rPr>
              <w:t>尽援优援</w:t>
            </w:r>
            <w:r>
              <w:rPr>
                <w:rFonts w:ascii="Times New Roman" w:hAnsi="Times New Roman"/>
                <w:color w:val="000000"/>
                <w:sz w:val="16"/>
                <w:szCs w:val="16"/>
              </w:rPr>
              <w:t>”</w:t>
            </w:r>
            <w:r>
              <w:rPr>
                <w:color w:val="000000"/>
                <w:sz w:val="16"/>
                <w:szCs w:val="16"/>
              </w:rPr>
              <w:t>，维护社会公平正义；全面贯彻实施人民调节法，努力建设一支政治合格、熟悉业务、热心公益、公道正派、秉持中立的人民调解员队伍，推进平安重庆、法治重庆建设，实现国家治理体系与治理能力现代化。</w:t>
            </w:r>
          </w:p>
        </w:tc>
        <w:tc>
          <w:tcPr>
            <w:tcW w:w="4665" w:type="dxa"/>
            <w:gridSpan w:val="6"/>
            <w:tcBorders>
              <w:top w:val="single" w:sz="4" w:space="0" w:color="000000"/>
              <w:left w:val="nil"/>
              <w:bottom w:val="single" w:sz="4" w:space="0" w:color="000000"/>
              <w:right w:val="single" w:sz="4" w:space="0" w:color="000000"/>
            </w:tcBorders>
            <w:vAlign w:val="center"/>
          </w:tcPr>
          <w:p w:rsidR="005415E4" w:rsidRDefault="005415E4" w:rsidP="00E50807">
            <w:pPr>
              <w:widowControl w:val="0"/>
              <w:spacing w:line="594" w:lineRule="exact"/>
              <w:ind w:firstLineChars="200" w:firstLine="480"/>
              <w:jc w:val="both"/>
              <w:rPr>
                <w:color w:val="000000"/>
                <w:sz w:val="16"/>
                <w:szCs w:val="16"/>
              </w:rPr>
            </w:pPr>
            <w:r>
              <w:t xml:space="preserve"> </w:t>
            </w:r>
            <w:r>
              <w:rPr>
                <w:color w:val="000000"/>
                <w:sz w:val="16"/>
                <w:szCs w:val="16"/>
              </w:rPr>
              <w:t xml:space="preserve"> 一是“大综合一体化”行政执法改革成效显著。一是执法队伍进一步综合。</w:t>
            </w:r>
            <w:r>
              <w:rPr>
                <w:rFonts w:hint="default"/>
                <w:color w:val="000000"/>
                <w:sz w:val="16"/>
                <w:szCs w:val="16"/>
              </w:rPr>
              <w:t>保留市场监管、交通运输、农业农村、城市管理、生态环境、文化旅游、应急管理7支</w:t>
            </w:r>
            <w:r>
              <w:rPr>
                <w:color w:val="000000"/>
                <w:sz w:val="16"/>
                <w:szCs w:val="16"/>
              </w:rPr>
              <w:t>县级</w:t>
            </w:r>
            <w:r>
              <w:rPr>
                <w:rFonts w:hint="default"/>
                <w:color w:val="000000"/>
                <w:sz w:val="16"/>
                <w:szCs w:val="16"/>
              </w:rPr>
              <w:t>综合行政执法支队，精简率达56%</w:t>
            </w:r>
            <w:r>
              <w:rPr>
                <w:color w:val="000000"/>
                <w:sz w:val="16"/>
                <w:szCs w:val="16"/>
              </w:rPr>
              <w:t>；按照“专职+兼职”模式，配齐乡镇（街道）综合执法大队执法人员360余名；创新执法人员“县属乡用共管”机制，推动县级执法部门以包片方式下沉执法力量40名，全面融入“141”基层智治体系统筹管理。二是执法事项进一步综合。按照“执法事项纵向下沉”工作要求，承接认领区县级执法事项9324项，占比全市执法事项81%；按照“执法事项横向集中”工作要求，划转集中执法事项5833项，由</w:t>
            </w:r>
            <w:r>
              <w:rPr>
                <w:rFonts w:hint="default"/>
                <w:color w:val="000000"/>
                <w:sz w:val="16"/>
                <w:szCs w:val="16"/>
              </w:rPr>
              <w:t>7支</w:t>
            </w:r>
            <w:r>
              <w:rPr>
                <w:color w:val="000000"/>
                <w:sz w:val="16"/>
                <w:szCs w:val="16"/>
              </w:rPr>
              <w:t>县级</w:t>
            </w:r>
            <w:r>
              <w:rPr>
                <w:rFonts w:hint="default"/>
                <w:color w:val="000000"/>
                <w:sz w:val="16"/>
                <w:szCs w:val="16"/>
              </w:rPr>
              <w:t>综合行政执法支队</w:t>
            </w:r>
            <w:r>
              <w:rPr>
                <w:color w:val="000000"/>
                <w:sz w:val="16"/>
                <w:szCs w:val="16"/>
              </w:rPr>
              <w:t>统一实施，执法事项综合率达65%。三是执法平台进一步综合。依托“法治·执法+监督”应用，常态化开展“综合查一次”“执法监管一件事”执法活动，全程网办率达100%，执法人员活</w:t>
            </w:r>
            <w:r>
              <w:rPr>
                <w:color w:val="000000"/>
                <w:sz w:val="16"/>
                <w:szCs w:val="16"/>
              </w:rPr>
              <w:lastRenderedPageBreak/>
              <w:t>动度达80%以上；实现与“三级城市治理中心”应用贯通，“擅自占用、挖掘城市道路设施违法行为处置事件”办结率达100%。</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二是“石复实解”行政争议化解“新路子”出。一是</w:t>
            </w:r>
            <w:r>
              <w:rPr>
                <w:color w:val="000000"/>
                <w:sz w:val="16"/>
                <w:szCs w:val="16"/>
                <w:lang/>
              </w:rPr>
              <w:t>县</w:t>
            </w:r>
            <w:r>
              <w:rPr>
                <w:color w:val="000000"/>
                <w:sz w:val="16"/>
                <w:szCs w:val="16"/>
              </w:rPr>
              <w:t>司法局立足行政争议实质性化解“小切口”，加强与审判机关、检察机关、执法监督机关的理念对接、机制衔接、信息共享，创立“复诉联调”“复检协作”“复执联动”等举措，赋能基层社会治理，形成了具有石柱辨识度的“石复实解”调解机制。自该机制建立以来，行政复议案件连续三年大幅增长，从2020年的18件已增至2024年（1-11月）的130件，复议首选率达74%；累计化解复议案件、委派案件、行政机关委托案件共104件，推动行政争议实质性化解取得实效，其中，向某某婚姻登记案入选重庆市司法局行政复议十大典型案例。二是行政机关负责人出庭应诉率连续保持100%，“告官见官”“出庭出声出方案”成为常态，其中，向某海农村承包经营户诉县政府行政强制执行系列案，入选《重庆法院行政机关负责人出庭应诉典型案例》；2022年、2023年连续两年以县政府为单独被告的败诉率均实现零突破，助推了平安石柱、法治政府和法治社会建设。</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三是创新法治宣传方式，“线上+线下”双轨并行“红喇叭”普法。一是普法文艺队线下展演。通过与本土民间乐队合作，将广泛征集的典型案例和法治文艺作品，编排成法治相声、小品，借助农村“红白酒会”进行演出，在表演中输出法律知识、传播法治理念。二是网络“指尖”普法，与重视传媒合作，征集案例制作普法微视频，借助石柱本土“农人老谭家”抖音号、视频号、</w:t>
            </w:r>
            <w:r>
              <w:rPr>
                <w:color w:val="000000"/>
                <w:sz w:val="16"/>
                <w:szCs w:val="16"/>
              </w:rPr>
              <w:lastRenderedPageBreak/>
              <w:t>快手等平台广泛推送，让广大群众在“指尖”浏览中，关注法律知识、关心法治事件、关切合法权益。自活动启动以来，征集法治文艺作品不</w:t>
            </w:r>
            <w:r>
              <w:rPr>
                <w:rFonts w:hint="default"/>
                <w:color w:val="000000"/>
                <w:sz w:val="16"/>
                <w:szCs w:val="16"/>
              </w:rPr>
              <w:t>少于30个</w:t>
            </w:r>
            <w:r>
              <w:rPr>
                <w:color w:val="000000"/>
                <w:sz w:val="16"/>
                <w:szCs w:val="16"/>
              </w:rPr>
              <w:t>，“红喇叭”普</w:t>
            </w:r>
            <w:r>
              <w:rPr>
                <w:rFonts w:hint="default"/>
                <w:color w:val="000000"/>
                <w:sz w:val="16"/>
                <w:szCs w:val="16"/>
              </w:rPr>
              <w:t>法文艺队开展普法演出200余场次，覆盖全县242个村（社区</w:t>
            </w:r>
            <w:r>
              <w:rPr>
                <w:color w:val="000000"/>
                <w:sz w:val="16"/>
                <w:szCs w:val="16"/>
              </w:rPr>
              <w:t>）；“红喇叭”</w:t>
            </w:r>
            <w:r>
              <w:rPr>
                <w:rFonts w:hint="default"/>
                <w:color w:val="000000"/>
                <w:sz w:val="16"/>
                <w:szCs w:val="16"/>
              </w:rPr>
              <w:t>指尖普法布普法微视频数量30余条，惠及群众20万余人。</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四是积极开展民生实事活动，充分彰显法律的惠民功能。今年以来，共受理法律援助案件613件，为受援人取得利益或者挽回经济损失438.1万元，接待群众咨询数5300余人次，值班律师提供法律帮助数460件次。此外，将残疾人、农民工等特殊群体列为法律援助重点对象，开辟绿色通道，提供上门服务，使其获得及时、有效、便捷的法律援助。石柱县法律援助中心已受理残疾人维权案件14件，农民工维权案件431件，老年人维权案件77件，妇女维权案件149件，开展民生实事活动12次。落实数字化变革工作责任制，迭代升级便捷普惠的数字化移动服务平台。按照“谁主管业务、谁负责推广应用”的原则，发挥智治支撑作用，大力推广重庆村居法平台。全县72名村居法律顾问分别对接全县242个村居，建立村居法律顾问微信群193个，继续实现村居法律顾问全覆盖。今年以来，重庆村居法务平台累计用户数57128人，服务次数8576次，上传服务档案5766份，提供各类法律咨询7736次。</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五是严格执行“</w:t>
            </w:r>
            <w:r>
              <w:rPr>
                <w:rFonts w:hint="default"/>
                <w:color w:val="000000"/>
                <w:sz w:val="16"/>
                <w:szCs w:val="16"/>
              </w:rPr>
              <w:t>1+4</w:t>
            </w:r>
            <w:r>
              <w:rPr>
                <w:color w:val="000000"/>
                <w:sz w:val="16"/>
                <w:szCs w:val="16"/>
              </w:rPr>
              <w:t>”服务管理制度，积极推动各部门、各乡镇（街道）认真落实属事属地主责。严格落实必接必送、安置救助和跟踪帮教工作机制，开展隐患排查研判，做好刑满释放人</w:t>
            </w:r>
            <w:r>
              <w:rPr>
                <w:color w:val="000000"/>
                <w:sz w:val="16"/>
                <w:szCs w:val="16"/>
              </w:rPr>
              <w:lastRenderedPageBreak/>
              <w:t>员安置帮教工作，确保无</w:t>
            </w:r>
            <w:r>
              <w:rPr>
                <w:rFonts w:hint="default"/>
                <w:color w:val="000000"/>
                <w:sz w:val="16"/>
                <w:szCs w:val="16"/>
              </w:rPr>
              <w:t>案事件发生。</w:t>
            </w:r>
            <w:r>
              <w:rPr>
                <w:color w:val="000000"/>
                <w:sz w:val="16"/>
                <w:szCs w:val="16"/>
              </w:rPr>
              <w:t>今年以来，</w:t>
            </w:r>
            <w:r>
              <w:rPr>
                <w:rFonts w:hint="default"/>
                <w:color w:val="000000"/>
                <w:sz w:val="16"/>
                <w:szCs w:val="16"/>
              </w:rPr>
              <w:t>落实</w:t>
            </w:r>
            <w:r>
              <w:rPr>
                <w:color w:val="000000"/>
                <w:sz w:val="16"/>
                <w:szCs w:val="16"/>
              </w:rPr>
              <w:t>590</w:t>
            </w:r>
            <w:r>
              <w:rPr>
                <w:rFonts w:hint="default"/>
                <w:color w:val="000000"/>
                <w:sz w:val="16"/>
                <w:szCs w:val="16"/>
              </w:rPr>
              <w:t>名刑满释放人员帮扶措施，重点对象衔接率100%。</w:t>
            </w:r>
            <w:r>
              <w:rPr>
                <w:color w:val="000000"/>
                <w:sz w:val="16"/>
                <w:szCs w:val="16"/>
              </w:rPr>
              <w:t>严格管理社区矫正对象。每月定期开展社区矫正对象风险研判会，利用社区矫正信息管理系统、远程视频督查</w:t>
            </w:r>
            <w:r>
              <w:rPr>
                <w:rFonts w:hint="default"/>
                <w:color w:val="000000"/>
                <w:sz w:val="16"/>
                <w:szCs w:val="16"/>
              </w:rPr>
              <w:t>、司法矫正APP等智能化</w:t>
            </w:r>
            <w:r>
              <w:rPr>
                <w:color w:val="000000"/>
                <w:sz w:val="16"/>
                <w:szCs w:val="16"/>
              </w:rPr>
              <w:t>终端设施设备，每日核查社区矫正对象活动轨迹、日签到、周报告等，依法严格落实日常报告、外出审批、学习教育、公益活动、执行地变更、不准出境报备、边控等管理规定；通过线上核查和线下抽查相结合的方式，随时掌握矫正对象的日常动态，确保在位在管。强化与公安系统大数据比对的协调配合，定期清理核查社区矫正对象违规违法信息，对查证属实的违规违法社区矫正对象依法严格处理，提升社区矫正规范化执法水平。全年累计列管社区矫正对象403人，现有在册社区矫正对象255人</w:t>
            </w:r>
            <w:r>
              <w:rPr>
                <w:rFonts w:hint="default"/>
                <w:color w:val="000000"/>
                <w:sz w:val="16"/>
                <w:szCs w:val="16"/>
              </w:rPr>
              <w:t>。</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（一）推进全面依法治县更加深入。</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一是健全工作机制，严格落实党政主要负责人履行推进法治建设第一责任人职责。二是深入开展道路交通安全和运输执法领域突出问题专项整治，收集问题线索56条，转办处理问题39个。三是积极参加示范创建。探索新时代“枫桥经验”石柱实践，“贵和工作法 创新党建统领基层治理新路径 ”获评“重庆市政法领域改革最佳实践”及“全市法治政府建设示范项目”。</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（二）推动法治政府建设纵深发展。</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一是全面启动乡镇综合执法改革。对标对表成立改革工作专班，统筹推进乡镇（街道）综合行政执法改革工作。明确试点乡镇综合行政执法事项清单，初步拟定石柱县综合行政执法事项清</w:t>
            </w:r>
            <w:r>
              <w:rPr>
                <w:color w:val="000000"/>
                <w:sz w:val="16"/>
                <w:szCs w:val="16"/>
              </w:rPr>
              <w:lastRenderedPageBreak/>
              <w:t>单。二是强化行政复议和行政应诉工作。持续深化行政复议体制改革，行政复议新收案件数量首次超过人民法院同期行政诉讼案件量，复议首选率大幅攀升。全县行政机关负责人出庭应诉率保持100%，以县政府为被告的行政应诉案件暂无败诉案件。联合县检察院化解一起离婚纠纷，被市局评选为“十大优秀案例”。</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（三）创新法治社会建设提档升级。</w:t>
            </w:r>
          </w:p>
          <w:p w:rsidR="005415E4" w:rsidRDefault="005415E4" w:rsidP="00E50807">
            <w:pPr>
              <w:widowControl w:val="0"/>
              <w:spacing w:line="594" w:lineRule="exact"/>
              <w:ind w:firstLineChars="200" w:firstLine="320"/>
              <w:jc w:val="both"/>
              <w:rPr>
                <w:color w:val="000000"/>
                <w:sz w:val="16"/>
                <w:szCs w:val="16"/>
              </w:rPr>
            </w:pPr>
            <w:r>
              <w:rPr>
                <w:color w:val="000000"/>
                <w:sz w:val="16"/>
                <w:szCs w:val="16"/>
              </w:rPr>
              <w:t>一是全面开展“八五”普法中期自查评估，及时整改问题，补齐短板弱项。常态化开展“红喇叭”送法下乡活动和重点领域专项普法，在全社会营造保护未成年人成长的浓厚氛围。二是公共法律服务更加精准。大力推广村居法律顾问平台，基本公共法律服务指数位居全市前列。二是矛盾纠纷化解更加有效。全县共建立295个调委会，调解力指数位居全市前列。创新建立人民调解进拘留所，并在全市公安系统推广；《延伸治安调解链条 构建人民调解闭环—重庆市创新建立“拘调融合”工作机制》受到贺荣部长关注批示。</w:t>
            </w:r>
          </w:p>
          <w:p w:rsidR="005415E4" w:rsidRDefault="005415E4" w:rsidP="00E50807">
            <w:pPr>
              <w:rPr>
                <w:rFonts w:ascii="Times New Roman" w:hAnsi="Times New Roman"/>
                <w:color w:val="000000"/>
                <w:sz w:val="16"/>
                <w:szCs w:val="16"/>
              </w:rPr>
            </w:pPr>
          </w:p>
        </w:tc>
      </w:tr>
      <w:tr w:rsidR="005415E4" w:rsidTr="00E50807">
        <w:trPr>
          <w:trHeight w:val="732"/>
        </w:trPr>
        <w:tc>
          <w:tcPr>
            <w:tcW w:w="527" w:type="dxa"/>
            <w:tcBorders>
              <w:top w:val="single" w:sz="4" w:space="0" w:color="000000"/>
              <w:left w:val="single" w:sz="4" w:space="0" w:color="000000"/>
              <w:bottom w:val="single" w:sz="4" w:space="0" w:color="auto"/>
              <w:right w:val="single" w:sz="4" w:space="0" w:color="000000"/>
            </w:tcBorders>
            <w:vAlign w:val="center"/>
          </w:tcPr>
          <w:p w:rsidR="005415E4" w:rsidRDefault="005415E4" w:rsidP="00E50807">
            <w:pPr>
              <w:jc w:val="both"/>
              <w:textAlignment w:val="center"/>
              <w:rPr>
                <w:rFonts w:ascii="Times New Roman" w:hAnsi="Times New Roman"/>
                <w:color w:val="000000"/>
                <w:sz w:val="16"/>
                <w:szCs w:val="16"/>
              </w:rPr>
            </w:pPr>
            <w:r>
              <w:rPr>
                <w:color w:val="000000"/>
                <w:sz w:val="16"/>
                <w:szCs w:val="16"/>
              </w:rPr>
              <w:lastRenderedPageBreak/>
              <w:t>一级指标</w:t>
            </w:r>
          </w:p>
        </w:tc>
        <w:tc>
          <w:tcPr>
            <w:tcW w:w="751"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权重</w:t>
            </w: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二级指标</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三级指标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年度指标值</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今年完成值</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分值</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得分</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偏差及原因分析</w:t>
            </w:r>
          </w:p>
        </w:tc>
      </w:tr>
      <w:tr w:rsidR="005415E4" w:rsidTr="00E50807">
        <w:trPr>
          <w:trHeight w:val="435"/>
        </w:trPr>
        <w:tc>
          <w:tcPr>
            <w:tcW w:w="527" w:type="dxa"/>
            <w:vMerge w:val="restart"/>
            <w:tcBorders>
              <w:top w:val="nil"/>
              <w:left w:val="single" w:sz="4" w:space="0" w:color="000000"/>
              <w:bottom w:val="nil"/>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投入管理指标</w:t>
            </w:r>
          </w:p>
        </w:tc>
        <w:tc>
          <w:tcPr>
            <w:tcW w:w="751" w:type="dxa"/>
            <w:vMerge w:val="restart"/>
            <w:tcBorders>
              <w:top w:val="nil"/>
              <w:left w:val="nil"/>
              <w:bottom w:val="nil"/>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30</w:t>
            </w:r>
          </w:p>
        </w:tc>
        <w:tc>
          <w:tcPr>
            <w:tcW w:w="913" w:type="dxa"/>
            <w:vMerge w:val="restart"/>
            <w:tcBorders>
              <w:top w:val="nil"/>
              <w:left w:val="nil"/>
              <w:bottom w:val="nil"/>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预算编审管理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预算编制规范性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规范</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规范</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绩效目标覆盖率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预算审核有效性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有效</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有效</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预算计划合理性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合理</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合理</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r>
              <w:rPr>
                <w:color w:val="000000"/>
                <w:sz w:val="16"/>
                <w:szCs w:val="16"/>
              </w:rPr>
              <w:t>预算执行管理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部门预算整体支出执行率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90%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90%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资金使用合规率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nil"/>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部门结转</w:t>
            </w:r>
            <w:r>
              <w:rPr>
                <w:color w:val="000000"/>
                <w:sz w:val="16"/>
                <w:szCs w:val="16"/>
              </w:rPr>
              <w:lastRenderedPageBreak/>
              <w:t>结余资金管理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lastRenderedPageBreak/>
              <w:t>按规定上缴率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占部门预算比重</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5%</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w:t>
            </w:r>
            <w:r>
              <w:rPr>
                <w:rFonts w:ascii="Times New Roman" w:hAnsi="Times New Roman"/>
                <w:color w:val="000000"/>
                <w:sz w:val="16"/>
                <w:szCs w:val="16"/>
              </w:rPr>
              <w:t>5%</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国库管理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管理有效性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有效</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有效</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nil"/>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预算绩效管理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绩效管理制度</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建立健全</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建立健全</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绩效管理覆盖率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财政监督管理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审计监督无问题</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无问题</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无问题</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r>
              <w:rPr>
                <w:rFonts w:ascii="Times New Roman" w:hAnsi="Times New Roman"/>
                <w:color w:val="000000"/>
                <w:sz w:val="16"/>
                <w:szCs w:val="16"/>
              </w:rPr>
              <w:t>发放通讯费，已退金库</w:t>
            </w: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nil"/>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政府采购管理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制度健全性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健全</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健全</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合规性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合规</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合规</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合同执行有效性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有效</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有效</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single" w:sz="4" w:space="0" w:color="auto"/>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预决算信息公开管理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信息公开率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信息公开及时性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财政批复</w:t>
            </w:r>
            <w:r>
              <w:rPr>
                <w:rFonts w:ascii="Times New Roman" w:hAnsi="Times New Roman"/>
                <w:color w:val="000000"/>
                <w:sz w:val="16"/>
                <w:szCs w:val="16"/>
              </w:rPr>
              <w:t>15</w:t>
            </w:r>
            <w:r>
              <w:rPr>
                <w:color w:val="000000"/>
                <w:sz w:val="16"/>
                <w:szCs w:val="16"/>
              </w:rPr>
              <w:t>日内</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财政批复</w:t>
            </w:r>
            <w:r>
              <w:rPr>
                <w:rFonts w:ascii="Times New Roman" w:hAnsi="Times New Roman"/>
                <w:color w:val="000000"/>
                <w:sz w:val="16"/>
                <w:szCs w:val="16"/>
              </w:rPr>
              <w:t>15</w:t>
            </w:r>
            <w:r>
              <w:rPr>
                <w:color w:val="000000"/>
                <w:sz w:val="16"/>
                <w:szCs w:val="16"/>
              </w:rPr>
              <w:t>日内</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single" w:sz="4" w:space="0" w:color="auto"/>
              <w:right w:val="single" w:sz="4" w:space="0" w:color="000000"/>
            </w:tcBorders>
            <w:vAlign w:val="center"/>
          </w:tcPr>
          <w:p w:rsidR="005415E4" w:rsidRDefault="005415E4" w:rsidP="00E50807">
            <w:pPr>
              <w:textAlignment w:val="center"/>
              <w:rPr>
                <w:rFonts w:ascii="Times New Roman" w:hAnsi="Times New Roman"/>
                <w:color w:val="000000"/>
                <w:sz w:val="16"/>
                <w:szCs w:val="16"/>
              </w:rPr>
            </w:pPr>
            <w:r>
              <w:rPr>
                <w:color w:val="000000"/>
                <w:sz w:val="16"/>
                <w:szCs w:val="16"/>
              </w:rPr>
              <w:t>资产管理</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资产管理制度健全性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健全</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健全</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auto"/>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资产处理合规性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合规</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合规</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4</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4</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90"/>
        </w:trPr>
        <w:tc>
          <w:tcPr>
            <w:tcW w:w="527" w:type="dxa"/>
            <w:vMerge w:val="restart"/>
            <w:tcBorders>
              <w:top w:val="nil"/>
              <w:left w:val="single" w:sz="4" w:space="0" w:color="000000"/>
              <w:bottom w:val="single" w:sz="4" w:space="0" w:color="auto"/>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产出指标</w:t>
            </w:r>
          </w:p>
        </w:tc>
        <w:tc>
          <w:tcPr>
            <w:tcW w:w="751" w:type="dxa"/>
            <w:vMerge w:val="restart"/>
            <w:tcBorders>
              <w:top w:val="nil"/>
              <w:left w:val="nil"/>
              <w:bottom w:val="single" w:sz="4" w:space="0" w:color="auto"/>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25</w:t>
            </w:r>
          </w:p>
        </w:tc>
        <w:tc>
          <w:tcPr>
            <w:tcW w:w="913" w:type="dxa"/>
            <w:vMerge w:val="restart"/>
            <w:tcBorders>
              <w:top w:val="nil"/>
              <w:left w:val="nil"/>
              <w:bottom w:val="single" w:sz="4" w:space="0" w:color="auto"/>
              <w:right w:val="single" w:sz="4" w:space="0" w:color="000000"/>
            </w:tcBorders>
            <w:vAlign w:val="center"/>
          </w:tcPr>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p>
          <w:p w:rsidR="005415E4" w:rsidRDefault="005415E4" w:rsidP="00E50807">
            <w:pPr>
              <w:textAlignment w:val="center"/>
              <w:rPr>
                <w:rFonts w:ascii="Times New Roman" w:hAnsi="Times New Roman"/>
                <w:color w:val="000000"/>
                <w:sz w:val="16"/>
                <w:szCs w:val="16"/>
              </w:rPr>
            </w:pPr>
            <w:r>
              <w:rPr>
                <w:color w:val="000000"/>
                <w:sz w:val="16"/>
                <w:szCs w:val="16"/>
              </w:rPr>
              <w:t>数量指标</w:t>
            </w:r>
          </w:p>
        </w:tc>
        <w:tc>
          <w:tcPr>
            <w:tcW w:w="1544" w:type="dxa"/>
            <w:tcBorders>
              <w:top w:val="single" w:sz="4" w:space="0" w:color="auto"/>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人民调解案件补贴发放率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80%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r>
              <w:rPr>
                <w:rFonts w:ascii="Times New Roman" w:hAnsi="Times New Roman"/>
                <w:color w:val="000000"/>
                <w:sz w:val="16"/>
                <w:szCs w:val="16"/>
              </w:rPr>
              <w:t>有部分案件补贴未及时发放</w:t>
            </w: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法律援助案件补贴发放率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80%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r>
              <w:rPr>
                <w:rFonts w:ascii="Times New Roman" w:hAnsi="Times New Roman"/>
                <w:color w:val="000000"/>
                <w:sz w:val="16"/>
                <w:szCs w:val="16"/>
              </w:rPr>
              <w:t>有部分案件补贴未及时发放</w:t>
            </w:r>
          </w:p>
        </w:tc>
      </w:tr>
      <w:tr w:rsidR="005415E4" w:rsidTr="00E50807">
        <w:trPr>
          <w:trHeight w:val="90"/>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社区矫正助理员工资发放率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普法宣传场次</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300</w:t>
            </w:r>
            <w:r>
              <w:rPr>
                <w:color w:val="000000"/>
                <w:sz w:val="16"/>
                <w:szCs w:val="16"/>
              </w:rPr>
              <w:t>场次</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310</w:t>
            </w:r>
            <w:r>
              <w:rPr>
                <w:color w:val="000000"/>
                <w:sz w:val="16"/>
                <w:szCs w:val="16"/>
              </w:rPr>
              <w:t>场次</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管控社区服刑人员数量</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500</w:t>
            </w:r>
            <w:r>
              <w:rPr>
                <w:color w:val="000000"/>
                <w:sz w:val="16"/>
                <w:szCs w:val="16"/>
              </w:rPr>
              <w:t>余人</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村居法律顾问</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33</w:t>
            </w:r>
            <w:r>
              <w:rPr>
                <w:color w:val="000000"/>
                <w:sz w:val="16"/>
                <w:szCs w:val="16"/>
              </w:rPr>
              <w:t>人</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33</w:t>
            </w:r>
            <w:r>
              <w:rPr>
                <w:color w:val="000000"/>
                <w:sz w:val="16"/>
                <w:szCs w:val="16"/>
              </w:rPr>
              <w:t>人</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黄水法治公园建设数</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w:t>
            </w:r>
            <w:r>
              <w:rPr>
                <w:color w:val="000000"/>
                <w:sz w:val="16"/>
                <w:szCs w:val="16"/>
              </w:rPr>
              <w:t>个</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w:t>
            </w:r>
            <w:r>
              <w:rPr>
                <w:color w:val="000000"/>
                <w:sz w:val="16"/>
                <w:szCs w:val="16"/>
              </w:rPr>
              <w:t>个</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司法所业务用房维修</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w:t>
            </w:r>
            <w:r>
              <w:rPr>
                <w:color w:val="000000"/>
                <w:sz w:val="16"/>
                <w:szCs w:val="16"/>
              </w:rPr>
              <w:t>个</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15</w:t>
            </w:r>
            <w:r>
              <w:rPr>
                <w:color w:val="000000"/>
                <w:sz w:val="16"/>
                <w:szCs w:val="16"/>
              </w:rPr>
              <w:t>个</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执法人员培训人数</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300</w:t>
            </w:r>
            <w:r>
              <w:rPr>
                <w:color w:val="000000"/>
                <w:sz w:val="16"/>
                <w:szCs w:val="16"/>
              </w:rPr>
              <w:t>名</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365</w:t>
            </w:r>
            <w:r>
              <w:rPr>
                <w:color w:val="000000"/>
                <w:sz w:val="16"/>
                <w:szCs w:val="16"/>
              </w:rPr>
              <w:t>名</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auto"/>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人民调解员培训</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35</w:t>
            </w:r>
            <w:r>
              <w:rPr>
                <w:color w:val="000000"/>
                <w:sz w:val="16"/>
                <w:szCs w:val="16"/>
              </w:rPr>
              <w:t>场次</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40</w:t>
            </w:r>
            <w:r>
              <w:rPr>
                <w:color w:val="000000"/>
                <w:sz w:val="16"/>
                <w:szCs w:val="16"/>
              </w:rPr>
              <w:t>场次</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single" w:sz="4" w:space="0" w:color="auto"/>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质量指标</w:t>
            </w:r>
          </w:p>
        </w:tc>
        <w:tc>
          <w:tcPr>
            <w:tcW w:w="1544" w:type="dxa"/>
            <w:tcBorders>
              <w:top w:val="single" w:sz="4" w:space="0" w:color="auto"/>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矛盾纠纷调解成功率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w:t>
            </w:r>
            <w:r>
              <w:rPr>
                <w:rFonts w:ascii="Times New Roman" w:hAnsi="Times New Roman"/>
                <w:color w:val="000000"/>
                <w:sz w:val="16"/>
                <w:szCs w:val="16"/>
              </w:rPr>
              <w:t>95%</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社区服刑人员脱管率、重新犯罪率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w:t>
            </w:r>
            <w:r>
              <w:rPr>
                <w:rFonts w:ascii="Times New Roman" w:hAnsi="Times New Roman"/>
                <w:color w:val="000000"/>
                <w:sz w:val="16"/>
                <w:szCs w:val="16"/>
              </w:rPr>
              <w:t>1%</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刑释人员安置帮教率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法律援助受援群众合法权益保障率</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法律援助案件补贴发放及时性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80%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r>
              <w:rPr>
                <w:rFonts w:ascii="Times New Roman" w:hAnsi="Times New Roman"/>
                <w:color w:val="000000"/>
                <w:sz w:val="16"/>
                <w:szCs w:val="16"/>
              </w:rPr>
              <w:t>有部分案件补贴未及时发放</w:t>
            </w: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社区矫正助理员工资发放及时性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100%</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社区矫正定位手环采购</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及时</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及时</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0</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r>
              <w:rPr>
                <w:rFonts w:ascii="Times New Roman" w:hAnsi="Times New Roman"/>
                <w:color w:val="000000"/>
                <w:sz w:val="16"/>
                <w:szCs w:val="16"/>
              </w:rPr>
              <w:t>计划</w:t>
            </w:r>
            <w:r>
              <w:rPr>
                <w:rFonts w:ascii="Times New Roman" w:hAnsi="Times New Roman"/>
                <w:color w:val="000000"/>
                <w:sz w:val="16"/>
                <w:szCs w:val="16"/>
              </w:rPr>
              <w:t>2025</w:t>
            </w:r>
            <w:r>
              <w:rPr>
                <w:rFonts w:ascii="Times New Roman" w:hAnsi="Times New Roman"/>
                <w:color w:val="000000"/>
                <w:sz w:val="16"/>
                <w:szCs w:val="16"/>
              </w:rPr>
              <w:t>年采购</w:t>
            </w: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培训完成及时性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及时</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及时</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活动及比赛开展及时性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及时</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及时</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2</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val="restart"/>
            <w:tcBorders>
              <w:top w:val="nil"/>
              <w:left w:val="single" w:sz="4" w:space="0" w:color="000000"/>
              <w:bottom w:val="single" w:sz="4" w:space="0" w:color="auto"/>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效果指标</w:t>
            </w:r>
          </w:p>
        </w:tc>
        <w:tc>
          <w:tcPr>
            <w:tcW w:w="751" w:type="dxa"/>
            <w:vMerge w:val="restart"/>
            <w:tcBorders>
              <w:top w:val="nil"/>
              <w:left w:val="nil"/>
              <w:bottom w:val="single" w:sz="4" w:space="0" w:color="auto"/>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35</w:t>
            </w:r>
          </w:p>
        </w:tc>
        <w:tc>
          <w:tcPr>
            <w:tcW w:w="913" w:type="dxa"/>
            <w:tcBorders>
              <w:top w:val="single" w:sz="4" w:space="0" w:color="auto"/>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经济效益指标</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维护群众合法权益，促进社会公平正义，筑牢稳定第一道防线，为经济发展提供保障。</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val="restart"/>
            <w:tcBorders>
              <w:top w:val="nil"/>
              <w:left w:val="nil"/>
              <w:bottom w:val="nil"/>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社会效益指标</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减少和化解社会矛盾纠纷，促进社会和谐稳定</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防止和减少社会服刑人员重新犯罪，促进社会稳定。</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明显提高</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明显提高</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法律援助应援尽援，保护困难群众合法权益，维护社会稳定。</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vMerge/>
            <w:tcBorders>
              <w:top w:val="nil"/>
              <w:left w:val="nil"/>
              <w:bottom w:val="nil"/>
              <w:right w:val="single" w:sz="4" w:space="0" w:color="000000"/>
            </w:tcBorders>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带动全民学法用法，提高全县人民法律素养，有效推动全县法治建设。</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明显改善</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5</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35"/>
        </w:trPr>
        <w:tc>
          <w:tcPr>
            <w:tcW w:w="527" w:type="dxa"/>
            <w:vMerge/>
            <w:tcBorders>
              <w:top w:val="nil"/>
              <w:left w:val="single" w:sz="4" w:space="0" w:color="000000"/>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751" w:type="dxa"/>
            <w:vMerge/>
            <w:tcBorders>
              <w:top w:val="nil"/>
              <w:left w:val="nil"/>
              <w:bottom w:val="single" w:sz="4" w:space="0" w:color="auto"/>
              <w:right w:val="single" w:sz="4" w:space="0" w:color="000000"/>
            </w:tcBorders>
            <w:vAlign w:val="center"/>
          </w:tcPr>
          <w:p w:rsidR="005415E4" w:rsidRDefault="005415E4" w:rsidP="00E50807">
            <w:pPr>
              <w:rPr>
                <w:rFonts w:ascii="Times New Roman" w:hAnsi="Times New Roman"/>
                <w:color w:val="000000"/>
                <w:sz w:val="16"/>
                <w:szCs w:val="16"/>
              </w:rPr>
            </w:pP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可持续影响指标</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长效管理制度健全性</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健全</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健全</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1125"/>
        </w:trPr>
        <w:tc>
          <w:tcPr>
            <w:tcW w:w="527" w:type="dxa"/>
            <w:tcBorders>
              <w:top w:val="single" w:sz="4" w:space="0" w:color="auto"/>
              <w:left w:val="single" w:sz="4" w:space="0" w:color="000000"/>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满意度指</w:t>
            </w:r>
            <w:r>
              <w:rPr>
                <w:color w:val="000000"/>
                <w:sz w:val="16"/>
                <w:szCs w:val="16"/>
              </w:rPr>
              <w:lastRenderedPageBreak/>
              <w:t>标</w:t>
            </w:r>
          </w:p>
        </w:tc>
        <w:tc>
          <w:tcPr>
            <w:tcW w:w="751" w:type="dxa"/>
            <w:tcBorders>
              <w:top w:val="single" w:sz="4" w:space="0" w:color="auto"/>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lastRenderedPageBreak/>
              <w:t>10</w:t>
            </w:r>
          </w:p>
        </w:tc>
        <w:tc>
          <w:tcPr>
            <w:tcW w:w="913"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社会公众或服务对象满意度指标</w:t>
            </w: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color w:val="000000"/>
                <w:sz w:val="16"/>
                <w:szCs w:val="16"/>
              </w:rPr>
              <w:t>服务对象满意度</w:t>
            </w: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w:t>
            </w:r>
            <w:r>
              <w:rPr>
                <w:rFonts w:ascii="Times New Roman" w:hAnsi="Times New Roman"/>
                <w:color w:val="000000"/>
                <w:sz w:val="16"/>
                <w:szCs w:val="16"/>
              </w:rPr>
              <w:t>85%</w:t>
            </w: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80%</w:t>
            </w:r>
            <w:r>
              <w:rPr>
                <w:rFonts w:ascii="Times New Roman" w:hAnsi="Times New Roman"/>
                <w:color w:val="000000"/>
                <w:sz w:val="16"/>
                <w:szCs w:val="16"/>
              </w:rPr>
              <w:t>—</w:t>
            </w:r>
            <w:r>
              <w:rPr>
                <w:rFonts w:ascii="Times New Roman" w:hAnsi="Times New Roman"/>
                <w:color w:val="000000"/>
                <w:sz w:val="16"/>
                <w:szCs w:val="16"/>
              </w:rPr>
              <w:t>85%</w:t>
            </w: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10</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8</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r>
              <w:rPr>
                <w:color w:val="000000"/>
                <w:sz w:val="16"/>
                <w:szCs w:val="16"/>
              </w:rPr>
              <w:t>满意度有进一步提高空间</w:t>
            </w:r>
          </w:p>
        </w:tc>
      </w:tr>
      <w:tr w:rsidR="005415E4" w:rsidTr="00E50807">
        <w:trPr>
          <w:trHeight w:val="435"/>
        </w:trPr>
        <w:tc>
          <w:tcPr>
            <w:tcW w:w="1278" w:type="dxa"/>
            <w:gridSpan w:val="2"/>
            <w:tcBorders>
              <w:top w:val="single" w:sz="4" w:space="0" w:color="000000"/>
              <w:left w:val="single" w:sz="4" w:space="0" w:color="000000"/>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lastRenderedPageBreak/>
              <w:t>合计</w:t>
            </w:r>
          </w:p>
        </w:tc>
        <w:tc>
          <w:tcPr>
            <w:tcW w:w="913" w:type="dxa"/>
            <w:tcBorders>
              <w:top w:val="single" w:sz="4" w:space="0" w:color="000000"/>
              <w:left w:val="nil"/>
              <w:bottom w:val="single" w:sz="4" w:space="0" w:color="000000"/>
              <w:right w:val="single" w:sz="4" w:space="0" w:color="000000"/>
            </w:tcBorders>
            <w:noWrap/>
            <w:vAlign w:val="center"/>
          </w:tcPr>
          <w:p w:rsidR="005415E4" w:rsidRDefault="005415E4" w:rsidP="00E50807">
            <w:pPr>
              <w:rPr>
                <w:rFonts w:ascii="Times New Roman" w:hAnsi="Times New Roman"/>
                <w:color w:val="000000"/>
                <w:sz w:val="16"/>
                <w:szCs w:val="16"/>
              </w:rPr>
            </w:pPr>
          </w:p>
        </w:tc>
        <w:tc>
          <w:tcPr>
            <w:tcW w:w="1544"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p>
        </w:tc>
        <w:tc>
          <w:tcPr>
            <w:tcW w:w="915"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p>
        </w:tc>
        <w:tc>
          <w:tcPr>
            <w:tcW w:w="1110" w:type="dxa"/>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p>
        </w:tc>
        <w:tc>
          <w:tcPr>
            <w:tcW w:w="975" w:type="dxa"/>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rFonts w:ascii="Times New Roman" w:hAnsi="Times New Roman"/>
                <w:color w:val="000000"/>
                <w:sz w:val="16"/>
                <w:szCs w:val="16"/>
              </w:rPr>
              <w:t>100</w:t>
            </w:r>
          </w:p>
        </w:tc>
        <w:tc>
          <w:tcPr>
            <w:tcW w:w="823" w:type="dxa"/>
            <w:gridSpan w:val="2"/>
            <w:tcBorders>
              <w:top w:val="single" w:sz="4" w:space="0" w:color="000000"/>
              <w:left w:val="nil"/>
              <w:bottom w:val="single" w:sz="4" w:space="0" w:color="000000"/>
              <w:right w:val="single" w:sz="4" w:space="0" w:color="000000"/>
            </w:tcBorders>
            <w:vAlign w:val="center"/>
          </w:tcPr>
          <w:p w:rsidR="005415E4" w:rsidRDefault="005415E4" w:rsidP="00E50807">
            <w:pPr>
              <w:jc w:val="center"/>
              <w:rPr>
                <w:rFonts w:ascii="Times New Roman" w:hAnsi="Times New Roman"/>
                <w:color w:val="000000"/>
                <w:sz w:val="16"/>
                <w:szCs w:val="16"/>
              </w:rPr>
            </w:pPr>
            <w:r>
              <w:rPr>
                <w:rFonts w:ascii="Times New Roman" w:hAnsi="Times New Roman"/>
                <w:color w:val="000000"/>
                <w:sz w:val="16"/>
                <w:szCs w:val="16"/>
              </w:rPr>
              <w:t>91</w:t>
            </w:r>
          </w:p>
        </w:tc>
        <w:tc>
          <w:tcPr>
            <w:tcW w:w="842" w:type="dxa"/>
            <w:tcBorders>
              <w:top w:val="single" w:sz="4" w:space="0" w:color="000000"/>
              <w:left w:val="nil"/>
              <w:bottom w:val="single" w:sz="4" w:space="0" w:color="000000"/>
              <w:right w:val="single" w:sz="4" w:space="0" w:color="000000"/>
            </w:tcBorders>
            <w:vAlign w:val="center"/>
          </w:tcPr>
          <w:p w:rsidR="005415E4" w:rsidRDefault="005415E4" w:rsidP="00E50807">
            <w:pPr>
              <w:rPr>
                <w:rFonts w:ascii="Times New Roman" w:hAnsi="Times New Roman"/>
                <w:color w:val="000000"/>
                <w:sz w:val="16"/>
                <w:szCs w:val="16"/>
              </w:rPr>
            </w:pPr>
          </w:p>
        </w:tc>
      </w:tr>
      <w:tr w:rsidR="005415E4" w:rsidTr="00E50807">
        <w:trPr>
          <w:trHeight w:val="498"/>
        </w:trPr>
        <w:tc>
          <w:tcPr>
            <w:tcW w:w="527" w:type="dxa"/>
            <w:tcBorders>
              <w:top w:val="single" w:sz="4" w:space="0" w:color="000000"/>
              <w:left w:val="single" w:sz="4" w:space="0" w:color="000000"/>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说明</w:t>
            </w:r>
          </w:p>
        </w:tc>
        <w:tc>
          <w:tcPr>
            <w:tcW w:w="7873" w:type="dxa"/>
            <w:gridSpan w:val="9"/>
            <w:tcBorders>
              <w:top w:val="single" w:sz="4" w:space="0" w:color="000000"/>
              <w:left w:val="nil"/>
              <w:bottom w:val="single" w:sz="4" w:space="0" w:color="000000"/>
              <w:right w:val="single" w:sz="4" w:space="0" w:color="000000"/>
            </w:tcBorders>
            <w:vAlign w:val="center"/>
          </w:tcPr>
          <w:p w:rsidR="005415E4" w:rsidRDefault="005415E4" w:rsidP="00E50807">
            <w:pPr>
              <w:jc w:val="center"/>
              <w:textAlignment w:val="center"/>
              <w:rPr>
                <w:rFonts w:ascii="Times New Roman" w:hAnsi="Times New Roman"/>
                <w:color w:val="000000"/>
                <w:sz w:val="16"/>
                <w:szCs w:val="16"/>
              </w:rPr>
            </w:pPr>
            <w:r>
              <w:rPr>
                <w:color w:val="000000"/>
                <w:sz w:val="16"/>
                <w:szCs w:val="16"/>
              </w:rPr>
              <w:t>无。</w:t>
            </w:r>
          </w:p>
        </w:tc>
      </w:tr>
    </w:tbl>
    <w:p w:rsidR="00C6146D" w:rsidRDefault="009A71D3" w:rsidP="009A71D3">
      <w:pPr>
        <w:pStyle w:val="Char"/>
        <w:spacing w:before="0" w:beforeAutospacing="0"/>
        <w:rPr>
          <w:rFonts w:ascii="方正仿宋_GBK" w:eastAsia="方正仿宋_GBK" w:hAnsi="方正仿宋_GBK" w:cs="方正仿宋_GBK" w:hint="eastAsia"/>
          <w:sz w:val="28"/>
          <w:szCs w:val="28"/>
          <w:shd w:val="clear" w:color="auto" w:fill="FFFFFF"/>
        </w:rPr>
      </w:pPr>
      <w:r>
        <w:rPr>
          <w:rFonts w:ascii="方正仿宋_GBK" w:eastAsia="方正仿宋_GBK" w:hAnsi="方正仿宋_GBK" w:cs="方正仿宋_GBK" w:hint="eastAsia"/>
          <w:sz w:val="28"/>
          <w:szCs w:val="28"/>
          <w:shd w:val="clear" w:color="auto" w:fill="FFFFFF"/>
        </w:rPr>
        <w:t>项目支出绩效自评表（一级项目）</w:t>
      </w:r>
    </w:p>
    <w:p w:rsidR="009A71D3" w:rsidRDefault="009A71D3" w:rsidP="009A71D3">
      <w:pPr>
        <w:pStyle w:val="Char"/>
        <w:spacing w:before="0" w:beforeAutospacing="0"/>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我部门只涉及二级项目的绩效自评。</w:t>
      </w:r>
    </w:p>
    <w:p w:rsidR="009A71D3" w:rsidRDefault="009A71D3" w:rsidP="009A71D3">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9A71D3" w:rsidRDefault="009A71D3" w:rsidP="009A71D3">
      <w:pPr>
        <w:pStyle w:val="2"/>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我单位对社区矫正项目开展了绩效评价，涉及财政拨</w:t>
      </w:r>
    </w:p>
    <w:p w:rsidR="009A71D3" w:rsidRDefault="009A71D3" w:rsidP="009A71D3">
      <w:pPr>
        <w:pStyle w:val="2"/>
        <w:autoSpaceDE w:val="0"/>
        <w:ind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款项目资金</w:t>
      </w:r>
      <w:r w:rsidR="003B1FDF">
        <w:rPr>
          <w:rFonts w:ascii="方正仿宋_GBK" w:eastAsia="方正仿宋_GBK" w:hAnsi="方正仿宋_GBK" w:cs="方正仿宋_GBK" w:hint="eastAsia"/>
          <w:sz w:val="32"/>
          <w:szCs w:val="32"/>
          <w:shd w:val="clear" w:color="auto" w:fill="FFFFFF"/>
        </w:rPr>
        <w:t>91.74</w:t>
      </w:r>
      <w:r>
        <w:rPr>
          <w:rFonts w:ascii="方正仿宋_GBK" w:eastAsia="方正仿宋_GBK" w:hAnsi="方正仿宋_GBK" w:cs="方正仿宋_GBK" w:hint="eastAsia"/>
          <w:sz w:val="32"/>
          <w:szCs w:val="32"/>
          <w:shd w:val="clear" w:color="auto" w:fill="FFFFFF"/>
        </w:rPr>
        <w:t>万元，评价得分</w:t>
      </w:r>
      <w:r w:rsidR="003B1FDF">
        <w:rPr>
          <w:rFonts w:ascii="方正仿宋_GBK" w:eastAsia="方正仿宋_GBK" w:hAnsi="方正仿宋_GBK" w:cs="方正仿宋_GBK" w:hint="eastAsia"/>
          <w:sz w:val="32"/>
          <w:szCs w:val="32"/>
          <w:shd w:val="clear" w:color="auto" w:fill="FFFFFF"/>
        </w:rPr>
        <w:t>100</w:t>
      </w:r>
      <w:r>
        <w:rPr>
          <w:rFonts w:ascii="方正仿宋_GBK" w:eastAsia="方正仿宋_GBK" w:hAnsi="方正仿宋_GBK" w:cs="方正仿宋_GBK" w:hint="eastAsia"/>
          <w:sz w:val="32"/>
          <w:szCs w:val="32"/>
          <w:shd w:val="clear" w:color="auto" w:fill="FFFFFF"/>
        </w:rPr>
        <w:t>分，评价等次为优；对人民调解项目开展了绩效评价，涉及财政拨款项目资金</w:t>
      </w:r>
      <w:r w:rsidR="003B1FDF">
        <w:rPr>
          <w:rFonts w:ascii="方正仿宋_GBK" w:eastAsia="方正仿宋_GBK" w:hAnsi="方正仿宋_GBK" w:cs="方正仿宋_GBK" w:hint="eastAsia"/>
          <w:sz w:val="32"/>
          <w:szCs w:val="32"/>
          <w:shd w:val="clear" w:color="auto" w:fill="FFFFFF"/>
        </w:rPr>
        <w:t>88.13</w:t>
      </w:r>
      <w:r>
        <w:rPr>
          <w:rFonts w:ascii="方正仿宋_GBK" w:eastAsia="方正仿宋_GBK" w:hAnsi="方正仿宋_GBK" w:cs="方正仿宋_GBK" w:hint="eastAsia"/>
          <w:sz w:val="32"/>
          <w:szCs w:val="32"/>
          <w:shd w:val="clear" w:color="auto" w:fill="FFFFFF"/>
        </w:rPr>
        <w:t>万元，评价得分</w:t>
      </w:r>
      <w:r w:rsidR="003B1FDF">
        <w:rPr>
          <w:rFonts w:ascii="方正仿宋_GBK" w:eastAsia="方正仿宋_GBK" w:hAnsi="方正仿宋_GBK" w:cs="方正仿宋_GBK" w:hint="eastAsia"/>
          <w:sz w:val="32"/>
          <w:szCs w:val="32"/>
          <w:shd w:val="clear" w:color="auto" w:fill="FFFFFF"/>
        </w:rPr>
        <w:t>97.34</w:t>
      </w:r>
      <w:r>
        <w:rPr>
          <w:rFonts w:ascii="方正仿宋_GBK" w:eastAsia="方正仿宋_GBK" w:hAnsi="方正仿宋_GBK" w:cs="方正仿宋_GBK" w:hint="eastAsia"/>
          <w:sz w:val="32"/>
          <w:szCs w:val="32"/>
          <w:shd w:val="clear" w:color="auto" w:fill="FFFFFF"/>
        </w:rPr>
        <w:t>分，评价等次为优；对法律援助项目开展了绩效评价，涉及财政拨款项目资金</w:t>
      </w:r>
      <w:r w:rsidR="003B1FDF">
        <w:rPr>
          <w:rFonts w:ascii="方正仿宋_GBK" w:eastAsia="方正仿宋_GBK" w:hAnsi="方正仿宋_GBK" w:cs="方正仿宋_GBK" w:hint="eastAsia"/>
          <w:sz w:val="32"/>
          <w:szCs w:val="32"/>
          <w:shd w:val="clear" w:color="auto" w:fill="FFFFFF"/>
        </w:rPr>
        <w:t>47.99</w:t>
      </w:r>
      <w:r>
        <w:rPr>
          <w:rFonts w:ascii="方正仿宋_GBK" w:eastAsia="方正仿宋_GBK" w:hAnsi="方正仿宋_GBK" w:cs="方正仿宋_GBK" w:hint="eastAsia"/>
          <w:sz w:val="32"/>
          <w:szCs w:val="32"/>
          <w:shd w:val="clear" w:color="auto" w:fill="FFFFFF"/>
        </w:rPr>
        <w:t>万元，评价得分</w:t>
      </w:r>
      <w:r w:rsidR="003B1FDF">
        <w:rPr>
          <w:rFonts w:ascii="方正仿宋_GBK" w:eastAsia="方正仿宋_GBK" w:hAnsi="方正仿宋_GBK" w:cs="方正仿宋_GBK" w:hint="eastAsia"/>
          <w:sz w:val="32"/>
          <w:szCs w:val="32"/>
          <w:shd w:val="clear" w:color="auto" w:fill="FFFFFF"/>
        </w:rPr>
        <w:t>100</w:t>
      </w:r>
      <w:r>
        <w:rPr>
          <w:rFonts w:ascii="方正仿宋_GBK" w:eastAsia="方正仿宋_GBK" w:hAnsi="方正仿宋_GBK" w:cs="方正仿宋_GBK" w:hint="eastAsia"/>
          <w:sz w:val="32"/>
          <w:szCs w:val="32"/>
          <w:shd w:val="clear" w:color="auto" w:fill="FFFFFF"/>
        </w:rPr>
        <w:t>，评价等次为优；对普法宣传项目开展了绩效评价，涉及财政拨款项目资金</w:t>
      </w:r>
      <w:r w:rsidR="003B1FDF">
        <w:rPr>
          <w:rFonts w:ascii="方正仿宋_GBK" w:eastAsia="方正仿宋_GBK" w:hAnsi="方正仿宋_GBK" w:cs="方正仿宋_GBK" w:hint="eastAsia"/>
          <w:sz w:val="32"/>
          <w:szCs w:val="32"/>
          <w:shd w:val="clear" w:color="auto" w:fill="FFFFFF"/>
        </w:rPr>
        <w:t>67.8</w:t>
      </w:r>
      <w:r>
        <w:rPr>
          <w:rFonts w:ascii="方正仿宋_GBK" w:eastAsia="方正仿宋_GBK" w:hAnsi="方正仿宋_GBK" w:cs="方正仿宋_GBK" w:hint="eastAsia"/>
          <w:sz w:val="32"/>
          <w:szCs w:val="32"/>
          <w:shd w:val="clear" w:color="auto" w:fill="FFFFFF"/>
        </w:rPr>
        <w:t>万元，评价得分</w:t>
      </w:r>
      <w:r w:rsidR="003B1FDF">
        <w:rPr>
          <w:rFonts w:ascii="方正仿宋_GBK" w:eastAsia="方正仿宋_GBK" w:hAnsi="方正仿宋_GBK" w:cs="方正仿宋_GBK" w:hint="eastAsia"/>
          <w:sz w:val="32"/>
          <w:szCs w:val="32"/>
          <w:shd w:val="clear" w:color="auto" w:fill="FFFFFF"/>
        </w:rPr>
        <w:t>100</w:t>
      </w:r>
      <w:r>
        <w:rPr>
          <w:rFonts w:ascii="方正仿宋_GBK" w:eastAsia="方正仿宋_GBK" w:hAnsi="方正仿宋_GBK" w:cs="方正仿宋_GBK" w:hint="eastAsia"/>
          <w:sz w:val="32"/>
          <w:szCs w:val="32"/>
          <w:shd w:val="clear" w:color="auto" w:fill="FFFFFF"/>
        </w:rPr>
        <w:t>分，评定等级为优</w:t>
      </w:r>
      <w:r w:rsidR="003B1FDF">
        <w:rPr>
          <w:rFonts w:ascii="方正仿宋_GBK" w:eastAsia="方正仿宋_GBK" w:hAnsi="方正仿宋_GBK" w:cs="方正仿宋_GBK" w:hint="eastAsia"/>
          <w:sz w:val="32"/>
          <w:szCs w:val="32"/>
          <w:shd w:val="clear" w:color="auto" w:fill="FFFFFF"/>
        </w:rPr>
        <w:t>；对装备经费项目开展了绩效评价，涉及财政拨款项目资金</w:t>
      </w:r>
      <w:r w:rsidR="007D6A1F">
        <w:rPr>
          <w:rFonts w:ascii="方正仿宋_GBK" w:eastAsia="方正仿宋_GBK" w:hAnsi="方正仿宋_GBK" w:cs="方正仿宋_GBK" w:hint="eastAsia"/>
          <w:sz w:val="32"/>
          <w:szCs w:val="32"/>
          <w:shd w:val="clear" w:color="auto" w:fill="FFFFFF"/>
        </w:rPr>
        <w:t>9.14</w:t>
      </w:r>
      <w:r w:rsidR="003B1FDF">
        <w:rPr>
          <w:rFonts w:ascii="方正仿宋_GBK" w:eastAsia="方正仿宋_GBK" w:hAnsi="方正仿宋_GBK" w:cs="方正仿宋_GBK" w:hint="eastAsia"/>
          <w:sz w:val="32"/>
          <w:szCs w:val="32"/>
          <w:shd w:val="clear" w:color="auto" w:fill="FFFFFF"/>
        </w:rPr>
        <w:t>万元，评价得分</w:t>
      </w:r>
      <w:r w:rsidR="007D6A1F">
        <w:rPr>
          <w:rFonts w:ascii="方正仿宋_GBK" w:eastAsia="方正仿宋_GBK" w:hAnsi="方正仿宋_GBK" w:cs="方正仿宋_GBK" w:hint="eastAsia"/>
          <w:sz w:val="32"/>
          <w:szCs w:val="32"/>
          <w:shd w:val="clear" w:color="auto" w:fill="FFFFFF"/>
        </w:rPr>
        <w:t>100</w:t>
      </w:r>
      <w:r w:rsidR="003B1FDF">
        <w:rPr>
          <w:rFonts w:ascii="方正仿宋_GBK" w:eastAsia="方正仿宋_GBK" w:hAnsi="方正仿宋_GBK" w:cs="方正仿宋_GBK" w:hint="eastAsia"/>
          <w:sz w:val="32"/>
          <w:szCs w:val="32"/>
          <w:shd w:val="clear" w:color="auto" w:fill="FFFFFF"/>
        </w:rPr>
        <w:t>，评价等次为</w:t>
      </w:r>
      <w:r w:rsidR="007D6A1F">
        <w:rPr>
          <w:rFonts w:ascii="方正仿宋_GBK" w:eastAsia="方正仿宋_GBK" w:hAnsi="方正仿宋_GBK" w:cs="方正仿宋_GBK" w:hint="eastAsia"/>
          <w:sz w:val="32"/>
          <w:szCs w:val="32"/>
          <w:shd w:val="clear" w:color="auto" w:fill="FFFFFF"/>
        </w:rPr>
        <w:t>优</w:t>
      </w:r>
      <w:r>
        <w:rPr>
          <w:rFonts w:ascii="方正仿宋_GBK" w:eastAsia="方正仿宋_GBK" w:hAnsi="方正仿宋_GBK" w:cs="方正仿宋_GBK" w:hint="eastAsia"/>
          <w:sz w:val="32"/>
          <w:szCs w:val="32"/>
          <w:shd w:val="clear" w:color="auto" w:fill="FFFFFF"/>
        </w:rPr>
        <w:t>。以上项目绩效评价发现了存在预算资金执行率未达到100%的主要问题，提出加强资金批复使用及时率，下一步工作建议进一步优化项目指标，注重其科学性、实用性、可实现性和可操作性，并适当使用定性指标；进一步建立健全预算管理和专项资金管理制度，加强资金监管，明确工作责任。</w:t>
      </w:r>
    </w:p>
    <w:p w:rsidR="009A71D3" w:rsidRDefault="009A71D3" w:rsidP="009A71D3">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C6146D" w:rsidRDefault="009A71D3" w:rsidP="00C6146D">
      <w:pPr>
        <w:pStyle w:val="1"/>
        <w:autoSpaceDE w:val="0"/>
        <w:ind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市财政局未委托第三方对我部门开展绩效评价。</w:t>
      </w:r>
    </w:p>
    <w:p w:rsidR="00C6146D" w:rsidRPr="00C6146D" w:rsidRDefault="00C6146D" w:rsidP="00C6146D">
      <w:pPr>
        <w:pStyle w:val="1"/>
        <w:autoSpaceDE w:val="0"/>
        <w:ind w:firstLine="643"/>
        <w:rPr>
          <w:rStyle w:val="a6"/>
          <w:rFonts w:ascii="方正仿宋_GBK" w:eastAsia="方正仿宋_GBK" w:hAnsi="方正仿宋_GBK" w:cs="方正仿宋_GBK"/>
          <w:b w:val="0"/>
          <w:sz w:val="32"/>
          <w:szCs w:val="32"/>
          <w:shd w:val="clear" w:color="auto" w:fill="FFFFFF"/>
        </w:rPr>
      </w:pPr>
      <w:r>
        <w:rPr>
          <w:rStyle w:val="a6"/>
          <w:rFonts w:ascii="黑体" w:eastAsia="黑体" w:hAnsi="黑体" w:cs="黑体"/>
          <w:sz w:val="32"/>
          <w:szCs w:val="32"/>
          <w:shd w:val="clear" w:color="auto" w:fill="FFFFFF"/>
        </w:rPr>
        <w:t>六、专业名词解释</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C6146D" w:rsidRDefault="00C6146D" w:rsidP="00C6146D">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lastRenderedPageBreak/>
        <w:t> </w:t>
      </w:r>
      <w:r>
        <w:rPr>
          <w:rStyle w:val="a6"/>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w:t>
      </w:r>
      <w:r>
        <w:rPr>
          <w:rFonts w:ascii="方正仿宋_GBK" w:eastAsia="方正仿宋_GBK" w:hAnsi="方正仿宋_GBK" w:cs="方正仿宋_GBK"/>
          <w:sz w:val="32"/>
          <w:szCs w:val="32"/>
          <w:shd w:val="clear" w:color="auto" w:fill="FFFFFF"/>
        </w:rPr>
        <w:lastRenderedPageBreak/>
        <w:t>奖励费用等支出；公务接待费反映单位按规定开支的各类公务接待（含外宾接待）支出。</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C6146D" w:rsidRDefault="00C6146D" w:rsidP="00C6146D">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C6146D" w:rsidRDefault="00C6146D" w:rsidP="00C6146D">
      <w:pPr>
        <w:pStyle w:val="a5"/>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C6146D" w:rsidRDefault="00C6146D" w:rsidP="00C6146D">
      <w:pPr>
        <w:pStyle w:val="a5"/>
        <w:snapToGrid w:val="0"/>
        <w:spacing w:before="0" w:beforeAutospacing="0" w:after="0" w:afterAutospacing="0" w:line="600" w:lineRule="exact"/>
        <w:ind w:leftChars="200" w:left="640" w:hangingChars="50" w:hanging="160"/>
        <w:jc w:val="both"/>
        <w:rPr>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w:t>
      </w:r>
      <w:r>
        <w:rPr>
          <w:rStyle w:val="a6"/>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w:t>
      </w:r>
    </w:p>
    <w:p w:rsidR="00C6146D" w:rsidRPr="00B76E2A" w:rsidRDefault="00C6146D" w:rsidP="00C6146D">
      <w:pPr>
        <w:pStyle w:val="a5"/>
        <w:snapToGrid w:val="0"/>
        <w:spacing w:before="0" w:beforeAutospacing="0" w:after="0" w:afterAutospacing="0" w:line="600"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资产、战略性和应急性储备、土地和无形资产，以及构建基础设施、大型修缮和财政支持企业更新改造所发生的支出。</w:t>
      </w:r>
    </w:p>
    <w:p w:rsidR="00C6146D" w:rsidRDefault="00C6146D" w:rsidP="00C6146D">
      <w:pPr>
        <w:pStyle w:val="a5"/>
        <w:numPr>
          <w:ilvl w:val="0"/>
          <w:numId w:val="2"/>
        </w:numPr>
        <w:shd w:val="clear" w:color="auto" w:fill="FFFFFF"/>
        <w:rPr>
          <w:rStyle w:val="a6"/>
          <w:rFonts w:ascii="方正仿宋_GBK" w:eastAsia="方正仿宋_GBK" w:hAnsi="方正仿宋_GBK" w:cs="方正仿宋_GBK"/>
          <w:sz w:val="32"/>
          <w:szCs w:val="32"/>
          <w:shd w:val="clear" w:color="auto" w:fill="FFFFFF"/>
        </w:rPr>
      </w:pPr>
      <w:r>
        <w:rPr>
          <w:rStyle w:val="a6"/>
          <w:rFonts w:ascii="黑体" w:eastAsia="黑体" w:hAnsi="黑体" w:cs="黑体"/>
          <w:sz w:val="32"/>
          <w:szCs w:val="32"/>
          <w:shd w:val="clear" w:color="auto" w:fill="FFFFFF"/>
        </w:rPr>
        <w:t>决算公开联系方式及信息反馈渠道</w:t>
      </w:r>
    </w:p>
    <w:p w:rsidR="00C6146D" w:rsidRPr="00C6146D" w:rsidRDefault="00C6146D" w:rsidP="00C6146D">
      <w:pPr>
        <w:pStyle w:val="a5"/>
        <w:shd w:val="clear" w:color="auto" w:fill="FFFFFF"/>
        <w:ind w:left="643"/>
        <w:rPr>
          <w:rFonts w:ascii="方正仿宋_GBK" w:eastAsia="方正仿宋_GBK" w:hAnsi="方正仿宋_GBK" w:cs="方正仿宋_GBK" w:hint="default"/>
          <w:b/>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p>
    <w:p w:rsidR="00C6146D" w:rsidRDefault="00C6146D" w:rsidP="00C6146D">
      <w:pPr>
        <w:pStyle w:val="a5"/>
        <w:snapToGrid w:val="0"/>
        <w:spacing w:before="0" w:beforeAutospacing="0" w:after="0" w:afterAutospacing="0" w:line="600" w:lineRule="exact"/>
        <w:ind w:firstLineChars="200" w:firstLine="640"/>
        <w:jc w:val="both"/>
        <w:rPr>
          <w:rStyle w:val="a6"/>
          <w:rFonts w:ascii="方正仿宋_GBK" w:eastAsia="方正仿宋_GBK" w:hAnsi="方正仿宋_GBK" w:cs="方正仿宋_GBK"/>
          <w:sz w:val="32"/>
          <w:szCs w:val="32"/>
          <w:shd w:val="clear" w:color="auto" w:fill="FFFF00"/>
        </w:rPr>
        <w:sectPr w:rsidR="00C6146D">
          <w:footerReference w:type="default" r:id="rId8"/>
          <w:pgSz w:w="11915" w:h="16840"/>
          <w:pgMar w:top="1440" w:right="1800" w:bottom="1440" w:left="1800" w:header="851" w:footer="992" w:gutter="0"/>
          <w:pgNumType w:fmt="numberInDash"/>
          <w:cols w:space="720"/>
          <w:docGrid w:type="lines" w:linePitch="312"/>
        </w:sectPr>
      </w:pPr>
      <w:r w:rsidRPr="00B237C7">
        <w:rPr>
          <w:rFonts w:ascii="方正仿宋_GBK" w:eastAsia="方正仿宋_GBK" w:hAnsi="方正仿宋_GBK" w:cs="方正仿宋_GBK"/>
          <w:sz w:val="32"/>
          <w:szCs w:val="32"/>
          <w:shd w:val="clear" w:color="auto" w:fill="FFFFFF"/>
        </w:rPr>
        <w:lastRenderedPageBreak/>
        <w:t>姜圣毅            023—73378148</w:t>
      </w:r>
    </w:p>
    <w:p w:rsidR="00C6146D" w:rsidRDefault="00C6146D" w:rsidP="00C6146D">
      <w:pPr>
        <w:pStyle w:val="a5"/>
        <w:snapToGrid w:val="0"/>
        <w:spacing w:before="0" w:beforeAutospacing="0" w:after="0" w:afterAutospacing="0" w:line="596" w:lineRule="exact"/>
        <w:jc w:val="both"/>
        <w:rPr>
          <w:rFonts w:ascii="方正仿宋_GBK" w:eastAsia="方正仿宋_GBK" w:hAnsi="方正仿宋_GBK" w:cs="方正仿宋_GBK" w:hint="default"/>
          <w:color w:val="FF0000"/>
          <w:sz w:val="32"/>
          <w:szCs w:val="32"/>
          <w:shd w:val="clear" w:color="auto" w:fill="FFFFFF"/>
        </w:rPr>
        <w:sectPr w:rsidR="00C6146D">
          <w:footerReference w:type="default" r:id="rId9"/>
          <w:pgSz w:w="11915" w:h="16840"/>
          <w:pgMar w:top="1440" w:right="1800" w:bottom="1440" w:left="1800" w:header="851" w:footer="992" w:gutter="0"/>
          <w:pgNumType w:fmt="numberInDash"/>
          <w:cols w:space="720"/>
          <w:docGrid w:type="lines" w:linePitch="312"/>
        </w:sectPr>
      </w:pPr>
    </w:p>
    <w:tbl>
      <w:tblPr>
        <w:tblW w:w="19207" w:type="dxa"/>
        <w:jc w:val="center"/>
        <w:tblLayout w:type="fixed"/>
        <w:tblLook w:val="04A0"/>
      </w:tblPr>
      <w:tblGrid>
        <w:gridCol w:w="4377"/>
        <w:gridCol w:w="850"/>
        <w:gridCol w:w="4436"/>
        <w:gridCol w:w="4433"/>
        <w:gridCol w:w="767"/>
        <w:gridCol w:w="4344"/>
      </w:tblGrid>
      <w:tr w:rsidR="009272D7">
        <w:trPr>
          <w:trHeight w:val="390"/>
          <w:jc w:val="center"/>
        </w:trPr>
        <w:tc>
          <w:tcPr>
            <w:tcW w:w="19207" w:type="dxa"/>
            <w:gridSpan w:val="6"/>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收入支出决算表</w:t>
            </w:r>
          </w:p>
        </w:tc>
      </w:tr>
      <w:tr w:rsidR="009272D7">
        <w:trPr>
          <w:trHeight w:val="255"/>
          <w:jc w:val="center"/>
        </w:trPr>
        <w:tc>
          <w:tcPr>
            <w:tcW w:w="14863" w:type="dxa"/>
            <w:gridSpan w:val="5"/>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0"/>
                <w:szCs w:val="20"/>
              </w:rPr>
              <w:t>部门：</w:t>
            </w:r>
            <w:r>
              <w:rPr>
                <w:sz w:val="20"/>
              </w:rPr>
              <w:t>石柱土家族自治县司法局</w:t>
            </w:r>
          </w:p>
        </w:tc>
        <w:tc>
          <w:tcPr>
            <w:tcW w:w="4344"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01表</w:t>
            </w:r>
          </w:p>
        </w:tc>
      </w:tr>
      <w:tr w:rsidR="009272D7">
        <w:trPr>
          <w:trHeight w:val="255"/>
          <w:jc w:val="center"/>
        </w:trPr>
        <w:tc>
          <w:tcPr>
            <w:tcW w:w="14863" w:type="dxa"/>
            <w:gridSpan w:val="5"/>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支出</w:t>
            </w:r>
          </w:p>
        </w:tc>
      </w:tr>
      <w:tr w:rsidR="009272D7">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color w:val="000000"/>
                <w:sz w:val="22"/>
                <w:szCs w:val="22"/>
              </w:rPr>
            </w:pPr>
            <w:r>
              <w:rPr>
                <w:rFonts w:cs="宋体"/>
                <w:b/>
                <w:bCs/>
                <w:color w:val="000000"/>
                <w:sz w:val="22"/>
                <w:szCs w:val="22"/>
              </w:rPr>
              <w:t>栏次</w:t>
            </w:r>
          </w:p>
        </w:tc>
        <w:tc>
          <w:tcPr>
            <w:tcW w:w="850"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767"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129,479.42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二、外交支出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三、国防支出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16,903,364.89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五、事业收入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五、教育支出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六、经营收入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八、其他收入</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436" w:type="dxa"/>
            <w:tcBorders>
              <w:top w:val="nil"/>
              <w:left w:val="nil"/>
              <w:bottom w:val="nil"/>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2,947,794.34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943,508.99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十六、金融支出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46</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47</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48</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49</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1,003,375.56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50</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51</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52</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53</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24</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54</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55</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436" w:type="dxa"/>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56</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57</w:t>
            </w:r>
          </w:p>
        </w:tc>
        <w:tc>
          <w:tcPr>
            <w:tcW w:w="4344"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21,927,523.20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结余分配</w:t>
            </w:r>
          </w:p>
        </w:tc>
        <w:tc>
          <w:tcPr>
            <w:tcW w:w="76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58</w:t>
            </w:r>
          </w:p>
        </w:tc>
        <w:tc>
          <w:tcPr>
            <w:tcW w:w="4344" w:type="dxa"/>
            <w:tcBorders>
              <w:top w:val="nil"/>
              <w:left w:val="nil"/>
              <w:bottom w:val="single" w:sz="4" w:space="0" w:color="auto"/>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43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443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767" w:type="dxa"/>
            <w:tcBorders>
              <w:top w:val="nil"/>
              <w:left w:val="nil"/>
              <w:bottom w:val="single" w:sz="4" w:space="0" w:color="000000"/>
              <w:right w:val="single" w:sz="4" w:space="0" w:color="auto"/>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60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21,927,523.20</w:t>
            </w:r>
          </w:p>
        </w:tc>
      </w:tr>
    </w:tbl>
    <w:p w:rsidR="009272D7" w:rsidRDefault="009272D7">
      <w:pPr>
        <w:pStyle w:val="1"/>
        <w:autoSpaceDE w:val="0"/>
        <w:ind w:firstLineChars="0" w:firstLine="0"/>
        <w:rPr>
          <w:rFonts w:cs="宋体"/>
          <w:sz w:val="21"/>
          <w:szCs w:val="21"/>
        </w:rPr>
        <w:sectPr w:rsidR="009272D7">
          <w:headerReference w:type="default" r:id="rId10"/>
          <w:footerReference w:type="default" r:id="rId11"/>
          <w:pgSz w:w="23811" w:h="16838" w:orient="landscape"/>
          <w:pgMar w:top="567" w:right="454" w:bottom="567" w:left="1037" w:header="0" w:footer="283" w:gutter="0"/>
          <w:pgNumType w:fmt="numberInDash"/>
          <w:cols w:space="720"/>
          <w:docGrid w:type="lines" w:linePitch="312"/>
        </w:sectPr>
      </w:pPr>
    </w:p>
    <w:p w:rsidR="009272D7" w:rsidRDefault="009272D7">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9272D7">
        <w:trPr>
          <w:trHeight w:val="390"/>
        </w:trPr>
        <w:tc>
          <w:tcPr>
            <w:tcW w:w="22443" w:type="dxa"/>
            <w:gridSpan w:val="11"/>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t>收入决算表</w:t>
            </w:r>
          </w:p>
        </w:tc>
      </w:tr>
      <w:tr w:rsidR="009272D7">
        <w:trPr>
          <w:trHeight w:val="610"/>
        </w:trPr>
        <w:tc>
          <w:tcPr>
            <w:tcW w:w="20035" w:type="dxa"/>
            <w:gridSpan w:val="10"/>
            <w:tcBorders>
              <w:top w:val="nil"/>
              <w:left w:val="nil"/>
              <w:bottom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1"/>
                <w:szCs w:val="21"/>
              </w:rPr>
              <w:t>部门</w:t>
            </w:r>
            <w:r>
              <w:rPr>
                <w:rFonts w:cs="宋体"/>
                <w:sz w:val="20"/>
                <w:szCs w:val="20"/>
              </w:rPr>
              <w:t>：</w:t>
            </w:r>
            <w:r>
              <w:rPr>
                <w:sz w:val="20"/>
              </w:rPr>
              <w:t>石柱土家族自治县司法局</w:t>
            </w:r>
          </w:p>
        </w:tc>
        <w:tc>
          <w:tcPr>
            <w:tcW w:w="2408" w:type="dxa"/>
            <w:tcBorders>
              <w:top w:val="nil"/>
              <w:left w:val="nil"/>
              <w:right w:val="nil"/>
            </w:tcBorders>
            <w:shd w:val="clear" w:color="auto" w:fill="auto"/>
            <w:vAlign w:val="bottom"/>
          </w:tcPr>
          <w:p w:rsidR="009272D7" w:rsidRDefault="00AC7C2C">
            <w:pPr>
              <w:jc w:val="right"/>
              <w:textAlignment w:val="bottom"/>
              <w:rPr>
                <w:rFonts w:ascii="Arial" w:hAnsi="Arial" w:cs="Arial" w:hint="default"/>
                <w:color w:val="000000"/>
                <w:sz w:val="20"/>
                <w:szCs w:val="20"/>
              </w:rPr>
            </w:pPr>
            <w:r>
              <w:rPr>
                <w:rFonts w:cs="宋体"/>
                <w:color w:val="000000"/>
                <w:sz w:val="20"/>
                <w:szCs w:val="20"/>
              </w:rPr>
              <w:t>02表</w:t>
            </w:r>
          </w:p>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其他收入</w:t>
            </w:r>
          </w:p>
        </w:tc>
      </w:tr>
      <w:tr w:rsidR="009272D7">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项</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7</w:t>
            </w:r>
          </w:p>
        </w:tc>
      </w:tr>
      <w:tr w:rsidR="009272D7">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21,927,523.20 </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21,927,523.20 </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20132</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组织事务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2013202</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一般行政管理事务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20136</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其他共产党事务支出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2013699</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其他共产党事务支出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204</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16,903,364.89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16,903,364.89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20406</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司法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16,903,364.89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16,903,364.89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11,486,345.74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11,486,345.74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2040604</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基层司法业务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2040605</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普法宣传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2040606</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律师管理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2040607</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公共法律服务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2040610</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社区矫正</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2040650</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事业运行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2040699</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其他司法支出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2,947,794.34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2,947,794.34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2,694,134.34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2,694,134.34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681,830.00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681,830.00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2080502</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1,332,131.36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1,332,131.36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631,872.98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631,872.98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20808</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253,660.00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253,660.00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2080801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死亡抚恤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2080899</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其他优抚支出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2101101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行政单位医疗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676,655.27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676,655.27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2101102</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2101199</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220,800.00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220,800.00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lastRenderedPageBreak/>
              <w:t>221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1,003,375.56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1,003,375.56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9272D7" w:rsidRDefault="00AC7C2C">
      <w:pPr>
        <w:rPr>
          <w:rFonts w:cs="宋体" w:hint="default"/>
          <w:sz w:val="21"/>
          <w:szCs w:val="21"/>
        </w:rPr>
      </w:pPr>
      <w:r>
        <w:rPr>
          <w:rFonts w:cs="宋体"/>
          <w:sz w:val="21"/>
          <w:szCs w:val="21"/>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9272D7">
        <w:trPr>
          <w:trHeight w:val="390"/>
        </w:trPr>
        <w:tc>
          <w:tcPr>
            <w:tcW w:w="22443" w:type="dxa"/>
            <w:gridSpan w:val="10"/>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支出决算表</w:t>
            </w:r>
          </w:p>
        </w:tc>
      </w:tr>
      <w:tr w:rsidR="009272D7">
        <w:trPr>
          <w:trHeight w:val="270"/>
        </w:trPr>
        <w:tc>
          <w:tcPr>
            <w:tcW w:w="19702" w:type="dxa"/>
            <w:gridSpan w:val="9"/>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石柱土家族自治县司法局 </w:t>
            </w:r>
          </w:p>
        </w:tc>
        <w:tc>
          <w:tcPr>
            <w:tcW w:w="2741"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03表</w:t>
            </w:r>
          </w:p>
        </w:tc>
      </w:tr>
      <w:tr w:rsidR="009272D7">
        <w:trPr>
          <w:trHeight w:val="270"/>
        </w:trPr>
        <w:tc>
          <w:tcPr>
            <w:tcW w:w="19702" w:type="dxa"/>
            <w:gridSpan w:val="9"/>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对附属单位补助支出</w:t>
            </w:r>
          </w:p>
        </w:tc>
      </w:tr>
      <w:tr w:rsidR="009272D7">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项</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6</w:t>
            </w:r>
          </w:p>
        </w:tc>
      </w:tr>
      <w:tr w:rsidR="009272D7">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21,927,523.20 </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17,558,240.24 </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4,369,282.96 </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129,479.42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20132</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组织事务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2013202</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一般行政管理事务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95,080.00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20136</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其他共产党事务支出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2013699</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其他共产党事务支出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34,399.42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204</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公共安全支出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16,903,364.89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12,674,421.35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4,228,943.54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20406</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司法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16,903,364.89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12,674,421.35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4,228,943.54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11,486,345.74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11,486,345.74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2040604</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基层司法业务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801,294.94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2040605</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普法宣传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678,036.15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2040606</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律师管理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189,000.00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2040607</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公共法律服务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479,877.17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2040610</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社区矫正</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1,986,575.28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2040650</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事业运行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1,188,075.61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2040699</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其他司法支出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94,160.00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2,947,794.34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2,936,934.34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2,694,134.34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2,694,134.34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681,830.00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681,830.00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2080502</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1,332,131.36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1,332,131.36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631,872.98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631,872.98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20808</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253,660.00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242,800.00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2080801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死亡抚恤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242,800.00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2080899</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其他优抚支出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10,860.00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943,508.99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2101101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行政单位医疗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676,655.27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676,655.27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2101102</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46,053.72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2101199</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220,800.00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220,800.00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b/>
                <w:color w:val="000000"/>
                <w:sz w:val="22"/>
                <w:szCs w:val="22"/>
              </w:rPr>
              <w:lastRenderedPageBreak/>
              <w:t>22102</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1,003,375.56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9272D7">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textAlignment w:val="center"/>
              <w:rPr>
                <w:rFonts w:cs="宋体" w:hint="default"/>
                <w:color w:val="000000"/>
                <w:sz w:val="22"/>
                <w:szCs w:val="22"/>
              </w:rPr>
            </w:pPr>
            <w:r>
              <w:rPr>
                <w:rFonts w:cs="宋体"/>
                <w:color w:val="000000"/>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1,003,375.56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1,003,375.56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9272D7" w:rsidRDefault="00AC7C2C">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9272D7">
        <w:trPr>
          <w:trHeight w:val="390"/>
          <w:jc w:val="center"/>
        </w:trPr>
        <w:tc>
          <w:tcPr>
            <w:tcW w:w="22398" w:type="dxa"/>
            <w:gridSpan w:val="9"/>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财政拨款收入支出决算表</w:t>
            </w:r>
          </w:p>
        </w:tc>
      </w:tr>
      <w:tr w:rsidR="009272D7">
        <w:trPr>
          <w:trHeight w:val="255"/>
          <w:jc w:val="center"/>
        </w:trPr>
        <w:tc>
          <w:tcPr>
            <w:tcW w:w="19524" w:type="dxa"/>
            <w:gridSpan w:val="8"/>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2874"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04表</w:t>
            </w:r>
          </w:p>
        </w:tc>
      </w:tr>
      <w:tr w:rsidR="009272D7">
        <w:trPr>
          <w:trHeight w:val="255"/>
          <w:jc w:val="center"/>
        </w:trPr>
        <w:tc>
          <w:tcPr>
            <w:tcW w:w="19524" w:type="dxa"/>
            <w:gridSpan w:val="8"/>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收     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支     出</w:t>
            </w:r>
          </w:p>
        </w:tc>
      </w:tr>
      <w:tr w:rsidR="009272D7">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国有资本经营预算财政拨款</w:t>
            </w:r>
          </w:p>
        </w:tc>
      </w:tr>
      <w:tr w:rsidR="009272D7">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color w:val="000000"/>
                <w:sz w:val="22"/>
                <w:szCs w:val="22"/>
              </w:rPr>
            </w:pPr>
            <w:r>
              <w:rPr>
                <w:rFonts w:cs="宋体"/>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129,479.42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129,479.42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16,903,364.89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16,903,364.89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2,947,794.34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2,947,794.34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943,508.99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943,508.99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1,003,375.56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1,003,375.56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60" w:lineRule="exact"/>
              <w:rPr>
                <w:rFonts w:ascii="Times New Roman" w:eastAsiaTheme="minorEastAsia" w:hAnsi="Times New Roman" w:hint="default"/>
                <w:color w:val="000000"/>
                <w:sz w:val="22"/>
                <w:szCs w:val="22"/>
              </w:rPr>
            </w:pP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textAlignment w:val="center"/>
              <w:rPr>
                <w:rFonts w:cs="宋体" w:hint="default"/>
                <w:b/>
                <w:bCs/>
                <w:color w:val="000000"/>
                <w:sz w:val="22"/>
                <w:szCs w:val="22"/>
              </w:rPr>
            </w:pPr>
            <w:r>
              <w:rPr>
                <w:rFonts w:cs="宋体"/>
                <w:b/>
                <w:bCs/>
                <w:color w:val="000000"/>
                <w:sz w:val="22"/>
                <w:szCs w:val="22"/>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60" w:lineRule="exact"/>
              <w:jc w:val="right"/>
              <w:rPr>
                <w:rFonts w:ascii="Times New Roman" w:eastAsiaTheme="minorEastAsia" w:hAnsi="Times New Roman" w:hint="default"/>
                <w:color w:val="000000"/>
                <w:sz w:val="22"/>
                <w:szCs w:val="22"/>
              </w:rPr>
            </w:pPr>
          </w:p>
        </w:tc>
      </w:tr>
      <w:tr w:rsidR="009272D7">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center"/>
              <w:textAlignment w:val="center"/>
              <w:rPr>
                <w:rFonts w:cs="宋体" w:hint="default"/>
                <w:b/>
                <w:bCs/>
                <w:color w:val="000000"/>
                <w:sz w:val="22"/>
                <w:szCs w:val="22"/>
              </w:rPr>
            </w:pPr>
            <w:r>
              <w:rPr>
                <w:rFonts w:cs="宋体"/>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21,927,523.20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9272D7" w:rsidRDefault="00AC7C2C">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9272D7">
        <w:trPr>
          <w:trHeight w:val="523"/>
        </w:trPr>
        <w:tc>
          <w:tcPr>
            <w:tcW w:w="23039" w:type="dxa"/>
            <w:gridSpan w:val="17"/>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一般公共预算财政拨款收入支出决算表</w:t>
            </w:r>
          </w:p>
        </w:tc>
      </w:tr>
      <w:tr w:rsidR="009272D7">
        <w:trPr>
          <w:trHeight w:val="262"/>
        </w:trPr>
        <w:tc>
          <w:tcPr>
            <w:tcW w:w="21883" w:type="dxa"/>
            <w:gridSpan w:val="16"/>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1156"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05表</w:t>
            </w:r>
          </w:p>
        </w:tc>
      </w:tr>
      <w:tr w:rsidR="009272D7">
        <w:trPr>
          <w:trHeight w:val="262"/>
        </w:trPr>
        <w:tc>
          <w:tcPr>
            <w:tcW w:w="21883" w:type="dxa"/>
            <w:gridSpan w:val="16"/>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9272D7">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9272D7">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9272D7">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r>
      <w:tr w:rsidR="009272D7">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9272D7">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9272D7" w:rsidRDefault="009272D7">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9272D7" w:rsidRDefault="009272D7">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21,927,523.20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17,558,240.24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4,369,282.96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21,927,523.20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17,558,240.24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4,369,282.96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一般公共服务支出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129,479.42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20132</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组织事务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95,080.00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2013202</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一般行政管理事务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95,080.00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20136</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其他共产党事务支出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34,399.42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2013699</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其他共产党事务支出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34,399.42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204</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公共安全支出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16,903,364.89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12,674,421.35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16,903,364.89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12,674,421.35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20406</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司法</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16,903,364.89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12,674,421.35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16,903,364.89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12,674,421.35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4,228,943.54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2040601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行政运行</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11,486,345.74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11,486,345.74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11,486,345.74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11,486,345.74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2040604</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基层司法业务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801,294.94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2040605</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普法宣传</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678,036.15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2040606</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律师管理</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189,000.00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2040607</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公共法律服务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479,877.17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2040610</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社区矫正</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1,986,575.28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2040650</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事业运行</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1,188,075.61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2040699</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其他司法支出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94,160.00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2,947,794.34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2,936,934.34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2,947,794.34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2,936,934.34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2,694,134.34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2,694,134.34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2,694,134.34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2,694,134.34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2080501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行政单位离退休</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681,830.00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681,830.00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681,830.00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681,830.00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2080502</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事业单位离退休</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1,332,131.36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1,332,131.36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1,332,131.36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1,332,131.36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631,872.98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631,872.98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631,872.98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631,872.98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20808</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抚恤</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253,660.00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242,800.00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253,660.00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242,800.00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10,860.00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2080801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死亡抚恤</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242,800.00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2080899</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其他优抚支出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10,860.00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lastRenderedPageBreak/>
              <w:t>210</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943,508.99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2101101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行政单位医疗</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676,655.27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676,655.27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676,655.27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676,655.27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46,053.72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220,800.00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220,800.00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220,800.00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220,800.00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1,003,375.56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1,003,375.56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1,003,375.56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1,003,375.56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1,003,375.56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9272D7" w:rsidRDefault="00AC7C2C">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9272D7">
        <w:trPr>
          <w:trHeight w:val="390"/>
        </w:trPr>
        <w:tc>
          <w:tcPr>
            <w:tcW w:w="22366" w:type="dxa"/>
            <w:gridSpan w:val="9"/>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一般公共预算财政拨款基本支出决算明细表</w:t>
            </w:r>
          </w:p>
        </w:tc>
      </w:tr>
      <w:tr w:rsidR="009272D7">
        <w:trPr>
          <w:trHeight w:val="255"/>
        </w:trPr>
        <w:tc>
          <w:tcPr>
            <w:tcW w:w="19684" w:type="dxa"/>
            <w:gridSpan w:val="8"/>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2682"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06表</w:t>
            </w:r>
          </w:p>
        </w:tc>
      </w:tr>
      <w:tr w:rsidR="009272D7">
        <w:trPr>
          <w:trHeight w:val="255"/>
        </w:trPr>
        <w:tc>
          <w:tcPr>
            <w:tcW w:w="19684" w:type="dxa"/>
            <w:gridSpan w:val="8"/>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公用经费</w:t>
            </w:r>
          </w:p>
        </w:tc>
      </w:tr>
      <w:tr w:rsidR="009272D7">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决算数</w:t>
            </w:r>
          </w:p>
        </w:tc>
      </w:tr>
      <w:tr w:rsidR="009272D7">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13,699,214.98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2,798,595.26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基本工资</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3,052,132.00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办公费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427,760.00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房屋建筑物购建</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津贴补贴</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3,107,330.50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印刷费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办公设备购置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奖金</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3,066,950.00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咨询费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专用设备购置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伙食补助费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手续费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基础设施建设</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绩效工资</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586,360.00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水费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大型修缮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1,332,131.36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电费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职业年金缴费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631,872.98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邮电费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210,652.00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物资储备</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760,746.31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取暖费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土地补偿</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物业管理费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79,712.00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安置补助</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其他社会保障缴费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25,016.27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差旅费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307,200.00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住房公积金</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1,003,375.56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因公出国（境）费用</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拆迁补偿</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医疗费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133,300.00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维修（护）费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公务用车购置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其他工资福利支出</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租赁费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其他交通工具购置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1,060,430.00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会议费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文物和陈列品购置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离休费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培训费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无形资产购置</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退休费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公务接待费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其他资本性支出</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退职（役）费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专用材料费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抚恤金</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242,800.00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被装购置费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资本金注入</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生活补助</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730,130.00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专用燃料费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救济费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劳务费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262,176.00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费用补贴</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医疗费补助</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87,500.00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委托业务费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利息补贴</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助学金</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工会经费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506,645.26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其他资本性补助</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奖励金</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福利费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其他对企业补助</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个人农业生产补贴</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代缴社会保险费</w:t>
            </w:r>
          </w:p>
        </w:tc>
        <w:tc>
          <w:tcPr>
            <w:tcW w:w="265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其他交通费用</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512,450.00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税金及附加费用</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389,500.00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b/>
                <w:bCs/>
                <w:color w:val="000000"/>
                <w:sz w:val="22"/>
                <w:szCs w:val="22"/>
              </w:rPr>
            </w:pPr>
            <w:r>
              <w:rPr>
                <w:rFonts w:cs="宋体"/>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国内债务付息</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国外债务付息</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jc w:val="right"/>
              <w:rPr>
                <w:rFonts w:ascii="Times New Roman" w:hAnsi="Times New Roman" w:hint="default"/>
                <w:color w:val="000000"/>
                <w:sz w:val="22"/>
                <w:szCs w:val="22"/>
              </w:rPr>
            </w:pP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国内债务发行费用</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jc w:val="right"/>
              <w:rPr>
                <w:rFonts w:ascii="Times New Roman" w:hAnsi="Times New Roman" w:hint="default"/>
                <w:color w:val="000000"/>
                <w:sz w:val="22"/>
                <w:szCs w:val="22"/>
              </w:rPr>
            </w:pPr>
          </w:p>
        </w:tc>
      </w:tr>
      <w:tr w:rsidR="009272D7">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9272D7" w:rsidRDefault="00AC7C2C">
            <w:pPr>
              <w:spacing w:line="340" w:lineRule="exact"/>
              <w:textAlignment w:val="center"/>
              <w:rPr>
                <w:rFonts w:cs="宋体" w:hint="default"/>
                <w:color w:val="000000"/>
                <w:sz w:val="22"/>
                <w:szCs w:val="22"/>
              </w:rPr>
            </w:pPr>
            <w:r>
              <w:rPr>
                <w:rFonts w:cs="宋体"/>
                <w:color w:val="000000"/>
                <w:sz w:val="22"/>
                <w:szCs w:val="22"/>
              </w:rPr>
              <w:t xml:space="preserve">  国外债务发行费用</w:t>
            </w:r>
          </w:p>
        </w:tc>
        <w:tc>
          <w:tcPr>
            <w:tcW w:w="236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9272D7" w:rsidRDefault="009272D7">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9272D7" w:rsidRDefault="009272D7">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340" w:lineRule="exact"/>
              <w:jc w:val="right"/>
              <w:rPr>
                <w:rFonts w:ascii="Times New Roman" w:hAnsi="Times New Roman" w:hint="default"/>
                <w:color w:val="000000"/>
                <w:sz w:val="22"/>
                <w:szCs w:val="22"/>
              </w:rPr>
            </w:pPr>
          </w:p>
        </w:tc>
      </w:tr>
      <w:tr w:rsidR="009272D7">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340" w:lineRule="exact"/>
              <w:jc w:val="center"/>
              <w:textAlignment w:val="center"/>
              <w:rPr>
                <w:rFonts w:cs="宋体" w:hint="default"/>
                <w:color w:val="000000"/>
                <w:sz w:val="22"/>
                <w:szCs w:val="22"/>
              </w:rPr>
            </w:pPr>
            <w:r>
              <w:rPr>
                <w:rFonts w:cs="宋体"/>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14,759,644.98 </w:t>
            </w:r>
          </w:p>
        </w:tc>
        <w:tc>
          <w:tcPr>
            <w:tcW w:w="12067" w:type="dxa"/>
            <w:gridSpan w:val="5"/>
            <w:tcBorders>
              <w:top w:val="nil"/>
              <w:left w:val="nil"/>
              <w:bottom w:val="single" w:sz="4" w:space="0" w:color="000000"/>
              <w:right w:val="single" w:sz="4" w:space="0" w:color="000000"/>
            </w:tcBorders>
            <w:shd w:val="clear" w:color="auto" w:fill="auto"/>
            <w:vAlign w:val="center"/>
          </w:tcPr>
          <w:p w:rsidR="009272D7" w:rsidRDefault="00AC7C2C">
            <w:pPr>
              <w:spacing w:line="340" w:lineRule="exact"/>
              <w:jc w:val="center"/>
              <w:textAlignment w:val="center"/>
              <w:rPr>
                <w:rFonts w:cs="宋体" w:hint="default"/>
                <w:color w:val="000000"/>
                <w:sz w:val="22"/>
                <w:szCs w:val="22"/>
              </w:rPr>
            </w:pPr>
            <w:r>
              <w:rPr>
                <w:rFonts w:cs="宋体"/>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2,798,595.26 </w:t>
            </w:r>
          </w:p>
        </w:tc>
      </w:tr>
    </w:tbl>
    <w:p w:rsidR="009272D7" w:rsidRDefault="00AC7C2C">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9272D7">
        <w:trPr>
          <w:trHeight w:val="523"/>
        </w:trPr>
        <w:tc>
          <w:tcPr>
            <w:tcW w:w="23039" w:type="dxa"/>
            <w:gridSpan w:val="17"/>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政府性基金预算财政拨款收入支出决算表</w:t>
            </w:r>
          </w:p>
        </w:tc>
      </w:tr>
      <w:tr w:rsidR="009272D7">
        <w:trPr>
          <w:trHeight w:val="262"/>
        </w:trPr>
        <w:tc>
          <w:tcPr>
            <w:tcW w:w="21883" w:type="dxa"/>
            <w:gridSpan w:val="16"/>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石柱土家族自治县司法局</w:t>
            </w:r>
          </w:p>
        </w:tc>
        <w:tc>
          <w:tcPr>
            <w:tcW w:w="1156"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07表</w:t>
            </w:r>
          </w:p>
        </w:tc>
      </w:tr>
      <w:tr w:rsidR="009272D7">
        <w:trPr>
          <w:trHeight w:val="262"/>
        </w:trPr>
        <w:tc>
          <w:tcPr>
            <w:tcW w:w="21883" w:type="dxa"/>
            <w:gridSpan w:val="16"/>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9272D7">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9272D7">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9272D7">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9272D7" w:rsidRDefault="009272D7">
            <w:pPr>
              <w:spacing w:line="400" w:lineRule="exact"/>
              <w:jc w:val="center"/>
              <w:rPr>
                <w:rFonts w:cs="宋体" w:hint="default"/>
                <w:color w:val="000000"/>
                <w:sz w:val="22"/>
                <w:szCs w:val="22"/>
              </w:rPr>
            </w:pPr>
          </w:p>
        </w:tc>
      </w:tr>
      <w:tr w:rsidR="009272D7">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9272D7">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9272D7" w:rsidRDefault="009272D7">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9272D7" w:rsidRDefault="009272D7">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9272D7">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9272D7">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9272D7" w:rsidRDefault="009272D7">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9272D7" w:rsidRDefault="00AC7C2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9272D7" w:rsidRDefault="00AC7C2C">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9272D7">
        <w:trPr>
          <w:trHeight w:val="390"/>
        </w:trPr>
        <w:tc>
          <w:tcPr>
            <w:tcW w:w="22139" w:type="dxa"/>
            <w:gridSpan w:val="13"/>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30"/>
                <w:szCs w:val="30"/>
              </w:rPr>
            </w:pPr>
            <w:r>
              <w:rPr>
                <w:rFonts w:cs="宋体"/>
                <w:b/>
                <w:bCs/>
                <w:color w:val="000000"/>
                <w:sz w:val="30"/>
                <w:szCs w:val="30"/>
              </w:rPr>
              <w:lastRenderedPageBreak/>
              <w:t>国有资本经营预算财政拨款收入支出决算表</w:t>
            </w:r>
          </w:p>
        </w:tc>
      </w:tr>
      <w:tr w:rsidR="009272D7">
        <w:trPr>
          <w:trHeight w:val="255"/>
        </w:trPr>
        <w:tc>
          <w:tcPr>
            <w:tcW w:w="20023" w:type="dxa"/>
            <w:gridSpan w:val="12"/>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color w:val="000000"/>
                <w:sz w:val="20"/>
                <w:szCs w:val="20"/>
              </w:rPr>
              <w:t>部门：</w:t>
            </w:r>
            <w:r>
              <w:rPr>
                <w:color w:val="000000"/>
                <w:sz w:val="20"/>
              </w:rPr>
              <w:t>石柱土家族自治县司法局</w:t>
            </w:r>
          </w:p>
        </w:tc>
        <w:tc>
          <w:tcPr>
            <w:tcW w:w="2116"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08表</w:t>
            </w:r>
          </w:p>
        </w:tc>
      </w:tr>
      <w:tr w:rsidR="009272D7">
        <w:trPr>
          <w:trHeight w:val="255"/>
        </w:trPr>
        <w:tc>
          <w:tcPr>
            <w:tcW w:w="20023" w:type="dxa"/>
            <w:gridSpan w:val="12"/>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年末结转和结余</w:t>
            </w:r>
          </w:p>
        </w:tc>
      </w:tr>
      <w:tr w:rsidR="009272D7">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结余</w:t>
            </w:r>
          </w:p>
        </w:tc>
      </w:tr>
      <w:tr w:rsidR="009272D7">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color w:val="000000"/>
                <w:sz w:val="22"/>
                <w:szCs w:val="22"/>
              </w:rPr>
            </w:pPr>
          </w:p>
        </w:tc>
      </w:tr>
      <w:tr w:rsidR="009272D7">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8</w:t>
            </w:r>
          </w:p>
        </w:tc>
      </w:tr>
      <w:tr w:rsidR="009272D7">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9272D7" w:rsidRDefault="009272D7">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9272D7" w:rsidRDefault="00AC7C2C">
            <w:pPr>
              <w:jc w:val="center"/>
              <w:textAlignment w:val="center"/>
              <w:rPr>
                <w:rFonts w:cs="宋体" w:hint="default"/>
                <w:b/>
                <w:bCs/>
                <w:color w:val="000000"/>
                <w:sz w:val="22"/>
                <w:szCs w:val="22"/>
              </w:rPr>
            </w:pPr>
            <w:r>
              <w:rPr>
                <w:rFonts w:cs="宋体"/>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9272D7">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9272D7" w:rsidRDefault="009272D7">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9272D7" w:rsidRDefault="009272D7">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9272D7" w:rsidRDefault="00AC7C2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9272D7" w:rsidRDefault="00AC7C2C">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9272D7">
        <w:trPr>
          <w:trHeight w:val="540"/>
        </w:trPr>
        <w:tc>
          <w:tcPr>
            <w:tcW w:w="20051" w:type="dxa"/>
            <w:gridSpan w:val="6"/>
            <w:tcBorders>
              <w:top w:val="nil"/>
              <w:left w:val="nil"/>
              <w:bottom w:val="nil"/>
              <w:right w:val="nil"/>
            </w:tcBorders>
            <w:shd w:val="clear" w:color="auto" w:fill="auto"/>
            <w:vAlign w:val="bottom"/>
          </w:tcPr>
          <w:p w:rsidR="009272D7" w:rsidRDefault="00AC7C2C">
            <w:pPr>
              <w:jc w:val="center"/>
              <w:textAlignment w:val="bottom"/>
              <w:rPr>
                <w:rFonts w:cs="宋体" w:hint="default"/>
                <w:color w:val="000000"/>
                <w:sz w:val="44"/>
                <w:szCs w:val="44"/>
              </w:rPr>
            </w:pPr>
            <w:r>
              <w:rPr>
                <w:rFonts w:cs="宋体"/>
                <w:b/>
                <w:bCs/>
                <w:color w:val="000000"/>
                <w:sz w:val="30"/>
                <w:szCs w:val="30"/>
              </w:rPr>
              <w:lastRenderedPageBreak/>
              <w:t>机构运行信息决算表</w:t>
            </w:r>
          </w:p>
        </w:tc>
      </w:tr>
      <w:tr w:rsidR="009272D7">
        <w:trPr>
          <w:trHeight w:val="255"/>
        </w:trPr>
        <w:tc>
          <w:tcPr>
            <w:tcW w:w="15917" w:type="dxa"/>
            <w:gridSpan w:val="5"/>
            <w:vMerge w:val="restart"/>
            <w:tcBorders>
              <w:top w:val="nil"/>
              <w:left w:val="nil"/>
              <w:right w:val="nil"/>
            </w:tcBorders>
            <w:shd w:val="clear" w:color="auto" w:fill="auto"/>
            <w:vAlign w:val="bottom"/>
          </w:tcPr>
          <w:p w:rsidR="009272D7" w:rsidRDefault="00AC7C2C">
            <w:pPr>
              <w:rPr>
                <w:rFonts w:ascii="Arial" w:hAnsi="Arial" w:cs="Arial" w:hint="default"/>
                <w:color w:val="000000"/>
                <w:sz w:val="20"/>
                <w:szCs w:val="20"/>
              </w:rPr>
            </w:pPr>
            <w:r>
              <w:rPr>
                <w:rFonts w:cs="宋体"/>
                <w:color w:val="000000"/>
                <w:sz w:val="20"/>
                <w:szCs w:val="20"/>
              </w:rPr>
              <w:t>部门：</w:t>
            </w:r>
            <w:r>
              <w:rPr>
                <w:color w:val="000000"/>
                <w:sz w:val="20"/>
              </w:rPr>
              <w:t>石柱土家族自治县司法局</w:t>
            </w:r>
          </w:p>
        </w:tc>
        <w:tc>
          <w:tcPr>
            <w:tcW w:w="4134"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09表</w:t>
            </w:r>
          </w:p>
        </w:tc>
      </w:tr>
      <w:tr w:rsidR="009272D7">
        <w:trPr>
          <w:trHeight w:val="255"/>
        </w:trPr>
        <w:tc>
          <w:tcPr>
            <w:tcW w:w="15917" w:type="dxa"/>
            <w:gridSpan w:val="5"/>
            <w:vMerge/>
            <w:tcBorders>
              <w:left w:val="nil"/>
              <w:bottom w:val="nil"/>
              <w:right w:val="nil"/>
            </w:tcBorders>
            <w:shd w:val="clear" w:color="auto" w:fill="auto"/>
            <w:vAlign w:val="bottom"/>
          </w:tcPr>
          <w:p w:rsidR="009272D7" w:rsidRDefault="009272D7">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9272D7" w:rsidRDefault="00AC7C2C">
            <w:pPr>
              <w:jc w:val="right"/>
              <w:textAlignment w:val="bottom"/>
              <w:rPr>
                <w:rFonts w:cs="宋体" w:hint="default"/>
                <w:color w:val="000000"/>
                <w:sz w:val="20"/>
                <w:szCs w:val="20"/>
              </w:rPr>
            </w:pPr>
            <w:r>
              <w:rPr>
                <w:rFonts w:cs="宋体"/>
                <w:color w:val="000000"/>
                <w:sz w:val="20"/>
                <w:szCs w:val="20"/>
              </w:rPr>
              <w:t>单位：元</w:t>
            </w:r>
          </w:p>
        </w:tc>
      </w:tr>
      <w:tr w:rsidR="009272D7">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017" w:type="dxa"/>
            <w:tcBorders>
              <w:top w:val="single" w:sz="4" w:space="0" w:color="000000"/>
              <w:left w:val="nil"/>
              <w:bottom w:val="nil"/>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134" w:type="dxa"/>
            <w:tcBorders>
              <w:top w:val="single" w:sz="4" w:space="0" w:color="000000"/>
              <w:left w:val="nil"/>
              <w:bottom w:val="nil"/>
              <w:right w:val="single" w:sz="4" w:space="0" w:color="000000"/>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bCs/>
                <w:color w:val="000000"/>
                <w:sz w:val="22"/>
                <w:szCs w:val="22"/>
              </w:rPr>
              <w:t>一、“三公”经费支出</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bCs/>
                <w:color w:val="000000"/>
                <w:sz w:val="22"/>
                <w:szCs w:val="22"/>
              </w:rPr>
              <w:t>五、机关运行经费</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2,518,899.74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（一）支出合计</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117,500.00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（一）行政单位</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2,251,940.12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266,959.62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110,000.00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六、资产信息</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3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110,000.00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7,500.00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7,500.00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3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8．其他用车</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3</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七、政府采购支出信息</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15</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91,418.80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91,418.80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75</w:t>
            </w: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80,028.80 </w:t>
            </w:r>
          </w:p>
        </w:tc>
      </w:tr>
      <w:tr w:rsidR="009272D7">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9272D7" w:rsidRDefault="00AC7C2C">
            <w:pPr>
              <w:spacing w:line="400" w:lineRule="exact"/>
              <w:textAlignment w:val="center"/>
              <w:rPr>
                <w:rFonts w:cs="宋体" w:hint="default"/>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sz="4" w:space="0" w:color="000000"/>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80,028.80 </w:t>
            </w:r>
          </w:p>
        </w:tc>
      </w:tr>
      <w:tr w:rsidR="009272D7">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bCs/>
                <w:color w:val="000000"/>
                <w:sz w:val="22"/>
                <w:szCs w:val="22"/>
              </w:rPr>
              <w:t>二、会议费</w:t>
            </w:r>
          </w:p>
        </w:tc>
        <w:tc>
          <w:tcPr>
            <w:tcW w:w="1017" w:type="dxa"/>
            <w:tcBorders>
              <w:top w:val="nil"/>
              <w:left w:val="nil"/>
              <w:bottom w:val="single" w:sz="4" w:space="0" w:color="auto"/>
              <w:right w:val="nil"/>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9272D7" w:rsidRDefault="009272D7">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auto"/>
              <w:right w:val="single" w:sz="4" w:space="0" w:color="000000"/>
            </w:tcBorders>
            <w:shd w:val="clear" w:color="auto" w:fill="auto"/>
            <w:vAlign w:val="center"/>
          </w:tcPr>
          <w:p w:rsidR="009272D7" w:rsidRDefault="009272D7">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9272D7" w:rsidRDefault="009272D7">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272D7" w:rsidRDefault="009272D7">
            <w:pPr>
              <w:spacing w:line="400" w:lineRule="exact"/>
              <w:rPr>
                <w:rFonts w:ascii="Arial" w:hAnsi="Arial" w:cs="Arial" w:hint="default"/>
                <w:color w:val="000000"/>
                <w:sz w:val="20"/>
                <w:szCs w:val="20"/>
              </w:rPr>
            </w:pPr>
          </w:p>
        </w:tc>
      </w:tr>
      <w:tr w:rsidR="009272D7">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AC7C2C">
            <w:pPr>
              <w:spacing w:line="400" w:lineRule="exact"/>
              <w:textAlignment w:val="center"/>
              <w:rPr>
                <w:rFonts w:cs="宋体" w:hint="default"/>
                <w:color w:val="000000"/>
                <w:sz w:val="22"/>
                <w:szCs w:val="22"/>
              </w:rPr>
            </w:pPr>
            <w:r>
              <w:rPr>
                <w:rFonts w:cs="宋体"/>
                <w:b/>
                <w:bCs/>
                <w:color w:val="000000"/>
                <w:sz w:val="22"/>
                <w:szCs w:val="22"/>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AC7C2C">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30,000.00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9272D7">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9272D7">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9272D7" w:rsidRDefault="009272D7">
            <w:pPr>
              <w:spacing w:line="400" w:lineRule="exact"/>
              <w:rPr>
                <w:rFonts w:ascii="Arial" w:hAnsi="Arial" w:cs="Arial" w:hint="default"/>
                <w:color w:val="000000"/>
                <w:sz w:val="20"/>
                <w:szCs w:val="20"/>
              </w:rPr>
            </w:pPr>
          </w:p>
        </w:tc>
      </w:tr>
      <w:tr w:rsidR="009272D7">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AC7C2C">
            <w:pPr>
              <w:spacing w:line="400" w:lineRule="exact"/>
              <w:textAlignment w:val="center"/>
              <w:rPr>
                <w:rFonts w:cs="宋体" w:hint="default"/>
                <w:b/>
                <w:color w:val="000000"/>
                <w:kern w:val="2"/>
                <w:sz w:val="22"/>
                <w:szCs w:val="22"/>
              </w:rPr>
            </w:pPr>
            <w:r>
              <w:rPr>
                <w:rFonts w:cs="宋体"/>
                <w:b/>
                <w:color w:val="000000"/>
                <w:sz w:val="22"/>
                <w:szCs w:val="22"/>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AC7C2C">
            <w:pPr>
              <w:spacing w:line="400" w:lineRule="exact"/>
              <w:jc w:val="center"/>
              <w:textAlignment w:val="center"/>
              <w:rPr>
                <w:rFonts w:cs="宋体" w:hint="default"/>
                <w:b/>
                <w:bCs/>
                <w:color w:val="000000"/>
                <w:kern w:val="2"/>
                <w:sz w:val="22"/>
                <w:szCs w:val="22"/>
              </w:rPr>
            </w:pPr>
            <w:r>
              <w:rPr>
                <w:rFonts w:cs="宋体"/>
                <w:b/>
                <w:bCs/>
                <w:color w:val="000000"/>
                <w:sz w:val="22"/>
                <w:szCs w:val="22"/>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9272D7" w:rsidRDefault="00AC7C2C">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400,712.07</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9272D7">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9272D7" w:rsidRDefault="009272D7">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9272D7" w:rsidRDefault="009272D7">
            <w:pPr>
              <w:spacing w:line="400" w:lineRule="exact"/>
              <w:rPr>
                <w:rFonts w:ascii="Arial" w:hAnsi="Arial" w:cs="Arial" w:hint="default"/>
                <w:color w:val="000000"/>
                <w:sz w:val="20"/>
                <w:szCs w:val="20"/>
              </w:rPr>
            </w:pPr>
          </w:p>
        </w:tc>
      </w:tr>
    </w:tbl>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rPr>
          <w:rFonts w:cs="宋体" w:hint="default"/>
          <w:color w:val="000000"/>
          <w:sz w:val="21"/>
          <w:szCs w:val="21"/>
        </w:rPr>
      </w:pPr>
    </w:p>
    <w:p w:rsidR="009272D7" w:rsidRDefault="009272D7">
      <w:pPr>
        <w:pStyle w:val="1"/>
        <w:autoSpaceDE w:val="0"/>
        <w:ind w:firstLineChars="0" w:firstLine="0"/>
        <w:rPr>
          <w:rFonts w:cs="宋体"/>
          <w:sz w:val="21"/>
          <w:szCs w:val="21"/>
        </w:rPr>
      </w:pPr>
    </w:p>
    <w:sectPr w:rsidR="009272D7" w:rsidSect="009272D7">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9F3" w:rsidRDefault="000139F3" w:rsidP="009272D7">
      <w:pPr>
        <w:rPr>
          <w:rFonts w:hint="default"/>
        </w:rPr>
      </w:pPr>
      <w:r>
        <w:separator/>
      </w:r>
    </w:p>
  </w:endnote>
  <w:endnote w:type="continuationSeparator" w:id="0">
    <w:p w:rsidR="000139F3" w:rsidRDefault="000139F3" w:rsidP="009272D7">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6D" w:rsidRDefault="00C6146D">
    <w:pPr>
      <w:pStyle w:val="a3"/>
      <w:rPr>
        <w:rFonts w:hint="default"/>
      </w:rPr>
    </w:pPr>
    <w:r>
      <w:rPr>
        <w:rFonts w:hint="default"/>
      </w:rPr>
      <w:pict>
        <v:shapetype id="_x0000_t202" coordsize="21600,21600" o:spt="202" path="m,l,21600r21600,l21600,xe">
          <v:stroke joinstyle="miter"/>
          <v:path gradientshapeok="t" o:connecttype="rect"/>
        </v:shapetype>
        <v:shape id="_x0000_s1031" type="#_x0000_t202" style="position:absolute;margin-left:0;margin-top:0;width:2in;height:2in;z-index:251663360;mso-wrap-style:none;mso-position-horizontal:center;mso-position-horizontal-relative:margin" filled="f" stroked="f" strokeweight=".5pt">
          <v:textbox style="mso-next-textbox:#_x0000_s1031;mso-fit-shape-to-text:t" inset="0,0,0,0">
            <w:txbxContent>
              <w:p w:rsidR="00C6146D" w:rsidRDefault="00C6146D">
                <w:pPr>
                  <w:pStyle w:val="a3"/>
                  <w:rPr>
                    <w:rFonts w:hint="default"/>
                  </w:rPr>
                </w:pPr>
                <w:fldSimple w:instr=" PAGE  \* MERGEFORMAT ">
                  <w:r w:rsidR="00DC6237">
                    <w:rPr>
                      <w:rFonts w:hint="default"/>
                      <w:noProof/>
                    </w:rPr>
                    <w:t>- 20 -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D3" w:rsidRDefault="009A71D3">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9A71D3" w:rsidRDefault="009A71D3">
                <w:pPr>
                  <w:pStyle w:val="a3"/>
                  <w:rPr>
                    <w:rFonts w:hint="default"/>
                  </w:rPr>
                </w:pPr>
                <w:fldSimple w:instr=" PAGE  \* MERGEFORMAT ">
                  <w:r w:rsidR="00DC6237">
                    <w:rPr>
                      <w:rFonts w:hint="default"/>
                      <w:noProof/>
                    </w:rPr>
                    <w:t>- 22 -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D3" w:rsidRDefault="009A71D3">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9A71D3" w:rsidRDefault="009A71D3">
                <w:pPr>
                  <w:pStyle w:val="a3"/>
                  <w:rPr>
                    <w:rFonts w:hint="default"/>
                  </w:rPr>
                </w:pPr>
                <w:r>
                  <w:t xml:space="preserve"> </w:t>
                </w:r>
                <w:fldSimple w:instr="PAGE   \* MERGEFORMAT">
                  <w:r w:rsidR="00DC6237" w:rsidRPr="00DC6237">
                    <w:rPr>
                      <w:rFonts w:hint="default"/>
                      <w:noProof/>
                      <w:lang w:val="zh-CN"/>
                    </w:rPr>
                    <w:t>-</w:t>
                  </w:r>
                  <w:r w:rsidR="00DC6237">
                    <w:rPr>
                      <w:rFonts w:hint="default"/>
                      <w:noProof/>
                    </w:rPr>
                    <w:t xml:space="preserve"> 23 -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9A71D3" w:rsidRDefault="009A71D3">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9F3" w:rsidRDefault="000139F3" w:rsidP="009272D7">
      <w:pPr>
        <w:rPr>
          <w:rFonts w:hint="default"/>
        </w:rPr>
      </w:pPr>
      <w:r>
        <w:separator/>
      </w:r>
    </w:p>
  </w:footnote>
  <w:footnote w:type="continuationSeparator" w:id="0">
    <w:p w:rsidR="000139F3" w:rsidRDefault="000139F3" w:rsidP="009272D7">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D3" w:rsidRDefault="009A71D3">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2607D4"/>
    <w:multiLevelType w:val="singleLevel"/>
    <w:tmpl w:val="D42607D4"/>
    <w:lvl w:ilvl="0">
      <w:start w:val="5"/>
      <w:numFmt w:val="chineseCounting"/>
      <w:suff w:val="nothing"/>
      <w:lvlText w:val="%1、"/>
      <w:lvlJc w:val="left"/>
      <w:rPr>
        <w:rFonts w:hint="eastAsia"/>
      </w:rPr>
    </w:lvl>
  </w:abstractNum>
  <w:abstractNum w:abstractNumId="1">
    <w:nsid w:val="18B105A4"/>
    <w:multiLevelType w:val="hybridMultilevel"/>
    <w:tmpl w:val="71065D64"/>
    <w:lvl w:ilvl="0" w:tplc="EE56DCF0">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BF63990"/>
    <w:multiLevelType w:val="multilevel"/>
    <w:tmpl w:val="5BF63990"/>
    <w:lvl w:ilvl="0">
      <w:start w:val="1"/>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39F3"/>
    <w:rsid w:val="000946BE"/>
    <w:rsid w:val="000D7BCC"/>
    <w:rsid w:val="00111870"/>
    <w:rsid w:val="003A4956"/>
    <w:rsid w:val="003B1FDF"/>
    <w:rsid w:val="0041579E"/>
    <w:rsid w:val="00457DDF"/>
    <w:rsid w:val="00482482"/>
    <w:rsid w:val="00482B31"/>
    <w:rsid w:val="004C2313"/>
    <w:rsid w:val="00526E82"/>
    <w:rsid w:val="005415E4"/>
    <w:rsid w:val="00550ABE"/>
    <w:rsid w:val="00731B18"/>
    <w:rsid w:val="007B419D"/>
    <w:rsid w:val="007D6A1F"/>
    <w:rsid w:val="007E7B4E"/>
    <w:rsid w:val="0090479D"/>
    <w:rsid w:val="009272D7"/>
    <w:rsid w:val="00961184"/>
    <w:rsid w:val="00976220"/>
    <w:rsid w:val="009A71D3"/>
    <w:rsid w:val="009B67B8"/>
    <w:rsid w:val="00AA7F9D"/>
    <w:rsid w:val="00AC7C2C"/>
    <w:rsid w:val="00AF581C"/>
    <w:rsid w:val="00B03CCD"/>
    <w:rsid w:val="00C037C4"/>
    <w:rsid w:val="00C6146D"/>
    <w:rsid w:val="00DC6237"/>
    <w:rsid w:val="00E079B2"/>
    <w:rsid w:val="00E719D1"/>
    <w:rsid w:val="00EA1728"/>
    <w:rsid w:val="00EF2DD6"/>
    <w:rsid w:val="00F3541A"/>
    <w:rsid w:val="00FC5B65"/>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9272D7"/>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272D7"/>
    <w:pPr>
      <w:tabs>
        <w:tab w:val="center" w:pos="4153"/>
        <w:tab w:val="right" w:pos="8306"/>
      </w:tabs>
      <w:snapToGrid w:val="0"/>
    </w:pPr>
    <w:rPr>
      <w:sz w:val="18"/>
      <w:szCs w:val="18"/>
    </w:rPr>
  </w:style>
  <w:style w:type="paragraph" w:styleId="a4">
    <w:name w:val="header"/>
    <w:basedOn w:val="a"/>
    <w:qFormat/>
    <w:rsid w:val="009272D7"/>
    <w:pPr>
      <w:tabs>
        <w:tab w:val="center" w:pos="4153"/>
        <w:tab w:val="right" w:pos="8306"/>
      </w:tabs>
      <w:snapToGrid w:val="0"/>
      <w:jc w:val="center"/>
    </w:pPr>
    <w:rPr>
      <w:sz w:val="18"/>
      <w:szCs w:val="18"/>
    </w:rPr>
  </w:style>
  <w:style w:type="paragraph" w:styleId="HTML">
    <w:name w:val="HTML Preformatted"/>
    <w:basedOn w:val="a"/>
    <w:qFormat/>
    <w:rsid w:val="00927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9272D7"/>
    <w:pPr>
      <w:spacing w:before="100" w:beforeAutospacing="1" w:after="100" w:afterAutospacing="1"/>
    </w:pPr>
  </w:style>
  <w:style w:type="character" w:styleId="a6">
    <w:name w:val="Strong"/>
    <w:qFormat/>
    <w:rsid w:val="009272D7"/>
    <w:rPr>
      <w:b/>
    </w:rPr>
  </w:style>
  <w:style w:type="paragraph" w:customStyle="1" w:styleId="1">
    <w:name w:val="列出段落1"/>
    <w:basedOn w:val="a"/>
    <w:uiPriority w:val="99"/>
    <w:qFormat/>
    <w:rsid w:val="009272D7"/>
    <w:pPr>
      <w:ind w:firstLineChars="200" w:firstLine="420"/>
    </w:pPr>
    <w:rPr>
      <w:rFonts w:hint="default"/>
    </w:rPr>
  </w:style>
  <w:style w:type="paragraph" w:customStyle="1" w:styleId="Char">
    <w:name w:val="普通(网站) Char"/>
    <w:uiPriority w:val="99"/>
    <w:qFormat/>
    <w:rsid w:val="00F3541A"/>
    <w:pPr>
      <w:spacing w:before="100" w:beforeAutospacing="1" w:after="100" w:afterAutospacing="1"/>
    </w:pPr>
    <w:rPr>
      <w:rFonts w:ascii="宋体" w:hAnsi="宋体"/>
      <w:sz w:val="24"/>
      <w:szCs w:val="24"/>
    </w:rPr>
  </w:style>
  <w:style w:type="paragraph" w:customStyle="1" w:styleId="2">
    <w:name w:val="列出段落2"/>
    <w:uiPriority w:val="99"/>
    <w:qFormat/>
    <w:rsid w:val="009A71D3"/>
    <w:pPr>
      <w:ind w:firstLineChars="200" w:firstLine="420"/>
    </w:pPr>
    <w:rPr>
      <w:rFonts w:ascii="宋体" w:hAnsi="宋体"/>
      <w:sz w:val="24"/>
      <w:szCs w:val="24"/>
    </w:rPr>
  </w:style>
  <w:style w:type="paragraph" w:styleId="a7">
    <w:name w:val="Balloon Text"/>
    <w:basedOn w:val="a"/>
    <w:link w:val="Char0"/>
    <w:rsid w:val="009A71D3"/>
    <w:rPr>
      <w:sz w:val="18"/>
      <w:szCs w:val="18"/>
    </w:rPr>
  </w:style>
  <w:style w:type="character" w:customStyle="1" w:styleId="Char0">
    <w:name w:val="批注框文本 Char"/>
    <w:basedOn w:val="a0"/>
    <w:link w:val="a7"/>
    <w:rsid w:val="009A71D3"/>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34</Pages>
  <Words>4016</Words>
  <Characters>22894</Characters>
  <Application>Microsoft Office Word</Application>
  <DocSecurity>0</DocSecurity>
  <Lines>190</Lines>
  <Paragraphs>53</Paragraphs>
  <ScaleCrop>false</ScaleCrop>
  <Company/>
  <LinksUpToDate>false</LinksUpToDate>
  <CharactersWithSpaces>26857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重庆市石柱土家族自治县司法局</cp:lastModifiedBy>
  <cp:revision>9</cp:revision>
  <dcterms:created xsi:type="dcterms:W3CDTF">2025-09-25T08:49:00Z</dcterms:created>
  <dcterms:modified xsi:type="dcterms:W3CDTF">2025-10-09T03:01:00Z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