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ind w:left="0"/>
        <w:rPr>
          <w:rFonts w:ascii="Times New Roman"/>
          <w:sz w:val="20"/>
        </w:rPr>
      </w:pPr>
    </w:p>
    <w:p>
      <w:pPr>
        <w:pStyle w:val="2"/>
        <w:spacing w:before="0"/>
        <w:ind w:left="0"/>
        <w:rPr>
          <w:rFonts w:ascii="Times New Roman"/>
          <w:sz w:val="20"/>
        </w:rPr>
      </w:pPr>
    </w:p>
    <w:p>
      <w:pPr>
        <w:pStyle w:val="2"/>
        <w:spacing w:before="9"/>
        <w:ind w:left="0"/>
        <w:rPr>
          <w:rFonts w:ascii="Times New Roman"/>
          <w:sz w:val="20"/>
        </w:rPr>
      </w:pPr>
    </w:p>
    <w:p>
      <w:pPr>
        <w:pStyle w:val="5"/>
        <w:spacing w:line="223" w:lineRule="auto"/>
        <w:rPr>
          <w:rFonts w:hint="eastAsia" w:ascii="方正小标宋_GBK" w:eastAsia="方正小标宋_GBK"/>
          <w:color w:val="171717"/>
          <w:spacing w:val="-2"/>
          <w:sz w:val="44"/>
          <w:szCs w:val="44"/>
        </w:rPr>
      </w:pPr>
      <w:r>
        <w:rPr>
          <w:rFonts w:hint="eastAsia" w:ascii="方正小标宋_GBK" w:eastAsia="方正小标宋_GBK"/>
          <w:color w:val="171717"/>
          <w:spacing w:val="-2"/>
          <w:sz w:val="44"/>
          <w:szCs w:val="44"/>
        </w:rPr>
        <w:t>石柱土家族自治县市场监督管理局</w:t>
      </w:r>
    </w:p>
    <w:p>
      <w:pPr>
        <w:pStyle w:val="5"/>
        <w:spacing w:line="223" w:lineRule="auto"/>
        <w:jc w:val="center"/>
        <w:rPr>
          <w:rFonts w:ascii="方正小标宋_GBK" w:eastAsia="方正小标宋_GBK"/>
          <w:sz w:val="44"/>
          <w:szCs w:val="44"/>
        </w:rPr>
      </w:pPr>
      <w:r>
        <w:rPr>
          <w:rFonts w:hint="eastAsia" w:ascii="方正小标宋_GBK" w:eastAsia="方正小标宋_GBK"/>
          <w:color w:val="171717"/>
          <w:spacing w:val="-2"/>
          <w:sz w:val="44"/>
          <w:szCs w:val="44"/>
        </w:rPr>
        <w:t>行政处罚决定书</w:t>
      </w:r>
    </w:p>
    <w:p>
      <w:pPr>
        <w:pStyle w:val="2"/>
        <w:spacing w:before="172" w:line="388" w:lineRule="auto"/>
        <w:ind w:left="975" w:right="3795"/>
        <w:jc w:val="center"/>
        <w:rPr>
          <w:rFonts w:ascii="方正仿宋_GBK" w:eastAsia="方正仿宋_GBK"/>
          <w:color w:val="2E2E2E"/>
          <w:spacing w:val="-2"/>
          <w:sz w:val="32"/>
          <w:szCs w:val="32"/>
        </w:rPr>
      </w:pPr>
      <w:r>
        <w:rPr>
          <w:rFonts w:hint="eastAsia" w:ascii="方正仿宋_GBK" w:eastAsia="方正仿宋_GBK"/>
          <w:color w:val="2E2E2E"/>
          <w:spacing w:val="-2"/>
          <w:sz w:val="32"/>
          <w:szCs w:val="32"/>
        </w:rPr>
        <w:t xml:space="preserve">               </w:t>
      </w:r>
      <w:bookmarkStart w:id="0" w:name="_GoBack"/>
      <w:bookmarkEnd w:id="0"/>
      <w:r>
        <w:rPr>
          <w:rFonts w:hint="eastAsia" w:ascii="方正仿宋_GBK" w:eastAsia="方正仿宋_GBK"/>
          <w:color w:val="2E2E2E"/>
          <w:spacing w:val="-2"/>
          <w:sz w:val="32"/>
          <w:szCs w:val="32"/>
        </w:rPr>
        <w:t>渝石柱市监处罚〔2024〕55号</w:t>
      </w:r>
    </w:p>
    <w:p>
      <w:pPr>
        <w:pStyle w:val="2"/>
        <w:spacing w:before="172" w:line="580" w:lineRule="exact"/>
        <w:ind w:left="975" w:right="3795"/>
        <w:rPr>
          <w:rFonts w:ascii="方正仿宋_GBK" w:eastAsia="方正仿宋_GBK"/>
          <w:sz w:val="32"/>
          <w:szCs w:val="32"/>
        </w:rPr>
      </w:pPr>
      <w:r>
        <w:rPr>
          <w:rFonts w:hint="eastAsia" w:ascii="方正仿宋_GBK" w:eastAsia="方正仿宋_GBK"/>
          <w:spacing w:val="-2"/>
          <w:sz w:val="32"/>
          <w:szCs w:val="32"/>
        </w:rPr>
        <w:t>当事人：石柱土家族自治县**食品超市</w:t>
      </w:r>
    </w:p>
    <w:p>
      <w:pPr>
        <w:pStyle w:val="2"/>
        <w:snapToGrid w:val="0"/>
        <w:spacing w:before="0" w:line="580" w:lineRule="exact"/>
        <w:ind w:left="975"/>
        <w:contextualSpacing/>
        <w:rPr>
          <w:rFonts w:ascii="方正仿宋_GBK" w:eastAsia="方正仿宋_GBK"/>
          <w:sz w:val="32"/>
          <w:szCs w:val="32"/>
        </w:rPr>
      </w:pPr>
      <w:r>
        <w:rPr>
          <w:rFonts w:hint="eastAsia" w:ascii="方正仿宋_GBK" w:eastAsia="方正仿宋_GBK"/>
          <w:spacing w:val="-1"/>
          <w:sz w:val="32"/>
          <w:szCs w:val="32"/>
        </w:rPr>
        <w:t>主体资格证照名称：营业执照</w:t>
      </w:r>
    </w:p>
    <w:p>
      <w:pPr>
        <w:pStyle w:val="2"/>
        <w:snapToGrid w:val="0"/>
        <w:spacing w:before="216" w:line="580" w:lineRule="exact"/>
        <w:ind w:left="975"/>
        <w:contextualSpacing/>
        <w:rPr>
          <w:rFonts w:ascii="方正仿宋_GBK" w:eastAsia="方正仿宋_GBK"/>
          <w:sz w:val="32"/>
          <w:szCs w:val="32"/>
        </w:rPr>
      </w:pPr>
      <w:r>
        <w:rPr>
          <w:rFonts w:hint="eastAsia" w:ascii="方正仿宋_GBK" w:eastAsia="方正仿宋_GBK"/>
          <w:w w:val="95"/>
          <w:sz w:val="32"/>
          <w:szCs w:val="32"/>
        </w:rPr>
        <w:t>统一社会信用代码</w:t>
      </w:r>
      <w:r>
        <w:rPr>
          <w:rFonts w:hint="eastAsia" w:ascii="方正仿宋_GBK" w:eastAsia="方正仿宋_GBK"/>
          <w:spacing w:val="-2"/>
          <w:w w:val="95"/>
          <w:sz w:val="32"/>
          <w:szCs w:val="32"/>
        </w:rPr>
        <w:t>：92500240MA****X8</w:t>
      </w:r>
    </w:p>
    <w:p>
      <w:pPr>
        <w:pStyle w:val="2"/>
        <w:snapToGrid w:val="0"/>
        <w:spacing w:before="215" w:line="580" w:lineRule="exact"/>
        <w:ind w:left="975" w:right="1803"/>
        <w:contextualSpacing/>
        <w:rPr>
          <w:rFonts w:ascii="方正仿宋_GBK" w:eastAsia="方正仿宋_GBK"/>
          <w:sz w:val="32"/>
          <w:szCs w:val="32"/>
        </w:rPr>
      </w:pPr>
      <w:r>
        <w:rPr>
          <w:rFonts w:hint="eastAsia" w:ascii="方正仿宋_GBK" w:eastAsia="方正仿宋_GBK"/>
          <w:spacing w:val="-2"/>
          <w:sz w:val="32"/>
          <w:szCs w:val="32"/>
        </w:rPr>
        <w:t>法定代表人（负责人、经营者）：叶*</w:t>
      </w:r>
    </w:p>
    <w:p>
      <w:pPr>
        <w:pStyle w:val="2"/>
        <w:spacing w:before="29" w:line="580" w:lineRule="exact"/>
        <w:ind w:left="618" w:right="862" w:firstLine="616" w:firstLineChars="200"/>
        <w:jc w:val="both"/>
        <w:rPr>
          <w:rFonts w:ascii="方正仿宋_GBK" w:eastAsia="方正仿宋_GBK"/>
          <w:sz w:val="32"/>
          <w:szCs w:val="32"/>
        </w:rPr>
      </w:pPr>
      <w:r>
        <w:rPr>
          <w:rFonts w:hint="eastAsia" w:ascii="方正仿宋_GBK" w:eastAsia="方正仿宋_GBK"/>
          <w:spacing w:val="-1"/>
          <w:w w:val="97"/>
          <w:sz w:val="32"/>
          <w:szCs w:val="32"/>
        </w:rPr>
        <w:t>2</w:t>
      </w:r>
      <w:r>
        <w:rPr>
          <w:rFonts w:hint="eastAsia" w:ascii="方正仿宋_GBK" w:eastAsia="方正仿宋_GBK"/>
          <w:w w:val="97"/>
          <w:sz w:val="32"/>
          <w:szCs w:val="32"/>
        </w:rPr>
        <w:t>0</w:t>
      </w:r>
      <w:r>
        <w:rPr>
          <w:rFonts w:hint="eastAsia" w:ascii="方正仿宋_GBK" w:eastAsia="方正仿宋_GBK"/>
          <w:spacing w:val="-1"/>
          <w:sz w:val="32"/>
          <w:szCs w:val="32"/>
        </w:rPr>
        <w:t>24年</w:t>
      </w:r>
      <w:r>
        <w:rPr>
          <w:rFonts w:hint="eastAsia" w:ascii="方正仿宋_GBK" w:eastAsia="方正仿宋_GBK"/>
          <w:sz w:val="32"/>
          <w:szCs w:val="32"/>
        </w:rPr>
        <w:t>2</w:t>
      </w:r>
      <w:r>
        <w:rPr>
          <w:rFonts w:hint="eastAsia" w:ascii="方正仿宋_GBK" w:eastAsia="方正仿宋_GBK"/>
          <w:w w:val="98"/>
          <w:sz w:val="32"/>
          <w:szCs w:val="32"/>
        </w:rPr>
        <w:t>月20日，我局对当事人进行现场检查,</w:t>
      </w:r>
      <w:r>
        <w:rPr>
          <w:rFonts w:hint="eastAsia" w:ascii="方正仿宋_GBK" w:eastAsia="方正仿宋_GBK"/>
          <w:w w:val="99"/>
          <w:sz w:val="32"/>
          <w:szCs w:val="32"/>
        </w:rPr>
        <w:t>在其货架上发现有2</w:t>
      </w:r>
      <w:r>
        <w:rPr>
          <w:rFonts w:hint="eastAsia" w:ascii="方正仿宋_GBK" w:eastAsia="方正仿宋_GBK"/>
          <w:spacing w:val="-3"/>
          <w:sz w:val="32"/>
          <w:szCs w:val="32"/>
        </w:rPr>
        <w:t>个“喜之</w:t>
      </w:r>
      <w:r>
        <w:rPr>
          <w:rFonts w:hint="eastAsia" w:ascii="方正仿宋_GBK" w:eastAsia="方正仿宋_GBK"/>
          <w:spacing w:val="-4"/>
          <w:sz w:val="32"/>
          <w:szCs w:val="32"/>
        </w:rPr>
        <w:t>郎 什锦果</w:t>
      </w:r>
      <w:r>
        <w:rPr>
          <w:rFonts w:hint="eastAsia" w:ascii="方正仿宋_GBK" w:eastAsia="方正仿宋_GBK"/>
          <w:w w:val="99"/>
          <w:sz w:val="32"/>
          <w:szCs w:val="32"/>
        </w:rPr>
        <w:t>肉果冻”，净含量为2</w:t>
      </w:r>
      <w:r>
        <w:rPr>
          <w:rFonts w:hint="eastAsia" w:ascii="方正仿宋_GBK" w:eastAsia="方正仿宋_GBK"/>
          <w:spacing w:val="-1"/>
          <w:w w:val="99"/>
          <w:sz w:val="32"/>
          <w:szCs w:val="32"/>
        </w:rPr>
        <w:t>00克，生</w:t>
      </w:r>
      <w:r>
        <w:rPr>
          <w:rFonts w:hint="eastAsia" w:ascii="方正仿宋_GBK" w:eastAsia="方正仿宋_GBK"/>
          <w:w w:val="99"/>
          <w:sz w:val="32"/>
          <w:szCs w:val="32"/>
        </w:rPr>
        <w:t>产日期为2</w:t>
      </w:r>
      <w:r>
        <w:rPr>
          <w:rFonts w:hint="eastAsia" w:ascii="方正仿宋_GBK" w:eastAsia="方正仿宋_GBK"/>
          <w:w w:val="96"/>
          <w:sz w:val="32"/>
          <w:szCs w:val="32"/>
        </w:rPr>
        <w:t>0</w:t>
      </w:r>
      <w:r>
        <w:rPr>
          <w:rFonts w:hint="eastAsia" w:ascii="方正仿宋_GBK" w:eastAsia="方正仿宋_GBK"/>
          <w:w w:val="98"/>
          <w:sz w:val="32"/>
          <w:szCs w:val="32"/>
        </w:rPr>
        <w:t>2</w:t>
      </w:r>
      <w:r>
        <w:rPr>
          <w:rFonts w:hint="eastAsia" w:ascii="方正仿宋_GBK" w:eastAsia="方正仿宋_GBK"/>
          <w:sz w:val="32"/>
          <w:szCs w:val="32"/>
        </w:rPr>
        <w:t>3</w:t>
      </w:r>
      <w:r>
        <w:rPr>
          <w:rFonts w:hint="eastAsia" w:ascii="方正仿宋_GBK" w:eastAsia="方正仿宋_GBK"/>
          <w:w w:val="98"/>
          <w:sz w:val="32"/>
          <w:szCs w:val="32"/>
        </w:rPr>
        <w:t>年5</w:t>
      </w:r>
      <w:r>
        <w:rPr>
          <w:rFonts w:hint="eastAsia" w:ascii="方正仿宋_GBK" w:eastAsia="方正仿宋_GBK"/>
          <w:sz w:val="32"/>
          <w:szCs w:val="32"/>
        </w:rPr>
        <w:t>月</w:t>
      </w:r>
      <w:r>
        <w:rPr>
          <w:rFonts w:hint="eastAsia" w:ascii="方正仿宋_GBK" w:eastAsia="方正仿宋_GBK"/>
          <w:w w:val="101"/>
          <w:sz w:val="32"/>
          <w:szCs w:val="32"/>
        </w:rPr>
        <w:t>7</w:t>
      </w:r>
      <w:r>
        <w:rPr>
          <w:rFonts w:hint="eastAsia" w:ascii="方正仿宋_GBK" w:eastAsia="方正仿宋_GBK"/>
          <w:sz w:val="32"/>
          <w:szCs w:val="32"/>
        </w:rPr>
        <w:t>日，保质期</w:t>
      </w:r>
      <w:r>
        <w:rPr>
          <w:rFonts w:hint="eastAsia" w:ascii="方正仿宋_GBK" w:eastAsia="方正仿宋_GBK"/>
          <w:w w:val="102"/>
          <w:sz w:val="32"/>
          <w:szCs w:val="32"/>
        </w:rPr>
        <w:t>为9个月；1</w:t>
      </w:r>
      <w:r>
        <w:rPr>
          <w:rFonts w:hint="eastAsia" w:ascii="方正仿宋_GBK" w:eastAsia="方正仿宋_GBK"/>
          <w:spacing w:val="-3"/>
          <w:sz w:val="32"/>
          <w:szCs w:val="32"/>
        </w:rPr>
        <w:t xml:space="preserve">个“喜之郎 </w:t>
      </w:r>
      <w:r>
        <w:rPr>
          <w:rFonts w:hint="eastAsia" w:ascii="方正仿宋_GBK" w:eastAsia="方正仿宋_GBK"/>
          <w:w w:val="99"/>
          <w:sz w:val="32"/>
          <w:szCs w:val="32"/>
        </w:rPr>
        <w:t>什锦果肉果冻”，净含量为2</w:t>
      </w:r>
      <w:r>
        <w:rPr>
          <w:rFonts w:hint="eastAsia" w:ascii="方正仿宋_GBK" w:eastAsia="方正仿宋_GBK"/>
          <w:w w:val="96"/>
          <w:sz w:val="32"/>
          <w:szCs w:val="32"/>
        </w:rPr>
        <w:t>00</w:t>
      </w:r>
      <w:r>
        <w:rPr>
          <w:rFonts w:hint="eastAsia" w:ascii="方正仿宋_GBK" w:eastAsia="方正仿宋_GBK"/>
          <w:sz w:val="32"/>
          <w:szCs w:val="32"/>
        </w:rPr>
        <w:t xml:space="preserve">克，生产日期为 </w:t>
      </w:r>
      <w:r>
        <w:rPr>
          <w:rFonts w:hint="eastAsia" w:ascii="方正仿宋_GBK" w:eastAsia="方正仿宋_GBK"/>
          <w:spacing w:val="-1"/>
          <w:w w:val="97"/>
          <w:sz w:val="32"/>
          <w:szCs w:val="32"/>
        </w:rPr>
        <w:t>2</w:t>
      </w:r>
      <w:r>
        <w:rPr>
          <w:rFonts w:hint="eastAsia" w:ascii="方正仿宋_GBK" w:eastAsia="方正仿宋_GBK"/>
          <w:w w:val="97"/>
          <w:sz w:val="32"/>
          <w:szCs w:val="32"/>
        </w:rPr>
        <w:t>0</w:t>
      </w:r>
      <w:r>
        <w:rPr>
          <w:rFonts w:hint="eastAsia" w:ascii="方正仿宋_GBK" w:eastAsia="方正仿宋_GBK"/>
          <w:spacing w:val="-1"/>
          <w:w w:val="98"/>
          <w:sz w:val="32"/>
          <w:szCs w:val="32"/>
        </w:rPr>
        <w:t>2</w:t>
      </w:r>
      <w:r>
        <w:rPr>
          <w:rFonts w:hint="eastAsia" w:ascii="方正仿宋_GBK" w:eastAsia="方正仿宋_GBK"/>
          <w:sz w:val="32"/>
          <w:szCs w:val="32"/>
        </w:rPr>
        <w:t>3年</w:t>
      </w:r>
      <w:r>
        <w:rPr>
          <w:rFonts w:hint="eastAsia" w:ascii="方正仿宋_GBK" w:eastAsia="方正仿宋_GBK"/>
          <w:spacing w:val="-1"/>
          <w:sz w:val="32"/>
          <w:szCs w:val="32"/>
        </w:rPr>
        <w:t>3</w:t>
      </w:r>
      <w:r>
        <w:rPr>
          <w:rFonts w:hint="eastAsia" w:ascii="方正仿宋_GBK" w:eastAsia="方正仿宋_GBK"/>
          <w:sz w:val="32"/>
          <w:szCs w:val="32"/>
        </w:rPr>
        <w:t>月</w:t>
      </w:r>
      <w:r>
        <w:rPr>
          <w:rFonts w:hint="eastAsia" w:ascii="方正仿宋_GBK" w:eastAsia="方正仿宋_GBK"/>
          <w:spacing w:val="-1"/>
          <w:sz w:val="32"/>
          <w:szCs w:val="32"/>
        </w:rPr>
        <w:t>3</w:t>
      </w:r>
      <w:r>
        <w:rPr>
          <w:rFonts w:hint="eastAsia" w:ascii="方正仿宋_GBK" w:eastAsia="方正仿宋_GBK"/>
          <w:w w:val="99"/>
          <w:sz w:val="32"/>
          <w:szCs w:val="32"/>
        </w:rPr>
        <w:t>日，保质期为9个月。上述食品均超过保质期。</w:t>
      </w:r>
    </w:p>
    <w:p>
      <w:pPr>
        <w:pStyle w:val="2"/>
        <w:snapToGrid w:val="0"/>
        <w:spacing w:line="580" w:lineRule="exact"/>
        <w:ind w:left="618" w:right="624" w:firstLine="632" w:firstLineChars="200"/>
        <w:contextualSpacing/>
        <w:jc w:val="both"/>
        <w:rPr>
          <w:rFonts w:ascii="方正仿宋_GBK" w:eastAsia="方正仿宋_GBK"/>
          <w:sz w:val="32"/>
          <w:szCs w:val="32"/>
        </w:rPr>
      </w:pPr>
      <w:r>
        <w:rPr>
          <w:rFonts w:hint="eastAsia" w:ascii="方正仿宋_GBK" w:eastAsia="方正仿宋_GBK"/>
          <w:spacing w:val="-2"/>
          <w:sz w:val="32"/>
          <w:szCs w:val="32"/>
        </w:rPr>
        <w:t>当事人涉嫌违反《中华人民共和国食品安全法》第三十四条第（十）项的规定。执法人员依据《中华人民共和国食品安全法》第一百一十条第（四）项的规定，建议对以上食品实施扣押强制措施，期限自2024年2月20日至2024年3月21日。</w:t>
      </w:r>
      <w:r>
        <w:rPr>
          <w:rFonts w:hint="eastAsia" w:ascii="方正仿宋_GBK" w:eastAsia="方正仿宋_GBK"/>
          <w:sz w:val="32"/>
          <w:szCs w:val="32"/>
        </w:rPr>
        <w:t>2024年3月21</w:t>
      </w:r>
      <w:r>
        <w:rPr>
          <w:rFonts w:hint="eastAsia" w:ascii="方正仿宋_GBK" w:eastAsia="方正仿宋_GBK"/>
          <w:spacing w:val="-2"/>
          <w:sz w:val="32"/>
          <w:szCs w:val="32"/>
        </w:rPr>
        <w:t>日解除强制措施。</w:t>
      </w:r>
    </w:p>
    <w:p>
      <w:pPr>
        <w:pStyle w:val="2"/>
        <w:snapToGrid w:val="0"/>
        <w:spacing w:before="275" w:line="580" w:lineRule="exact"/>
        <w:ind w:left="618" w:right="651" w:firstLine="534"/>
        <w:contextualSpacing/>
        <w:rPr>
          <w:rFonts w:ascii="方正仿宋_GBK" w:eastAsia="方正仿宋_GBK"/>
          <w:sz w:val="32"/>
          <w:szCs w:val="32"/>
        </w:rPr>
      </w:pPr>
      <w:r>
        <w:rPr>
          <w:rFonts w:hint="eastAsia" w:ascii="方正仿宋_GBK" w:eastAsia="方正仿宋_GBK"/>
          <w:spacing w:val="-2"/>
          <w:sz w:val="32"/>
          <w:szCs w:val="32"/>
        </w:rPr>
        <w:t>经查，当事人成立于2017年7月5日，主要从事食品销售，经营面积约为 280平方米，有从业人员9名。</w:t>
      </w:r>
    </w:p>
    <w:p>
      <w:pPr>
        <w:pStyle w:val="2"/>
        <w:spacing w:before="37" w:line="580" w:lineRule="exact"/>
        <w:ind w:left="0" w:firstLine="1264" w:firstLineChars="400"/>
        <w:jc w:val="both"/>
        <w:rPr>
          <w:rFonts w:ascii="方正仿宋_GBK" w:eastAsia="方正仿宋_GBK"/>
          <w:spacing w:val="-2"/>
          <w:sz w:val="32"/>
          <w:szCs w:val="32"/>
        </w:rPr>
      </w:pPr>
      <w:r>
        <w:rPr>
          <w:rFonts w:hint="eastAsia" w:ascii="方正仿宋_GBK" w:eastAsia="方正仿宋_GBK"/>
          <w:spacing w:val="-2"/>
          <w:sz w:val="32"/>
          <w:szCs w:val="32"/>
        </w:rPr>
        <w:t>2024年2月20日，我局执法人员对当事人进行现场检查时，在其货架</w:t>
      </w:r>
    </w:p>
    <w:p>
      <w:pPr>
        <w:pStyle w:val="2"/>
        <w:spacing w:before="37" w:line="580" w:lineRule="exact"/>
        <w:jc w:val="both"/>
        <w:rPr>
          <w:rFonts w:ascii="方正仿宋_GBK" w:eastAsia="方正仿宋_GBK"/>
          <w:spacing w:val="-2"/>
          <w:sz w:val="32"/>
          <w:szCs w:val="32"/>
        </w:rPr>
      </w:pPr>
      <w:r>
        <w:rPr>
          <w:rFonts w:hint="eastAsia" w:ascii="方正仿宋_GBK" w:eastAsia="方正仿宋_GBK"/>
          <w:spacing w:val="-2"/>
          <w:sz w:val="32"/>
          <w:szCs w:val="32"/>
        </w:rPr>
        <w:t>上发现了2个“喜之郎 什锦果肉果冻”，净含量为200克，生产日期为2023</w:t>
      </w:r>
    </w:p>
    <w:p>
      <w:pPr>
        <w:pStyle w:val="2"/>
        <w:spacing w:before="37" w:line="580" w:lineRule="exact"/>
        <w:ind w:left="0" w:firstLine="632" w:firstLineChars="200"/>
        <w:jc w:val="both"/>
        <w:rPr>
          <w:rFonts w:ascii="方正仿宋_GBK" w:eastAsia="方正仿宋_GBK"/>
          <w:sz w:val="32"/>
          <w:szCs w:val="32"/>
        </w:rPr>
      </w:pPr>
      <w:r>
        <w:rPr>
          <w:rFonts w:hint="eastAsia" w:ascii="方正仿宋_GBK" w:eastAsia="方正仿宋_GBK"/>
          <w:spacing w:val="-2"/>
          <w:sz w:val="32"/>
          <w:szCs w:val="32"/>
        </w:rPr>
        <w:t>年5</w:t>
      </w:r>
      <w:r>
        <w:rPr>
          <w:rFonts w:hint="eastAsia" w:ascii="方正仿宋_GBK" w:eastAsia="方正仿宋_GBK"/>
          <w:sz w:val="32"/>
          <w:szCs w:val="32"/>
        </w:rPr>
        <w:t>月7日，保质期为9个月；1个“喜之郎 什锦果肉果冻”，净含量为</w:t>
      </w:r>
    </w:p>
    <w:p>
      <w:pPr>
        <w:pStyle w:val="2"/>
        <w:spacing w:before="37" w:line="580" w:lineRule="exact"/>
        <w:ind w:left="0" w:firstLine="640" w:firstLineChars="200"/>
        <w:jc w:val="both"/>
        <w:rPr>
          <w:rFonts w:ascii="方正仿宋_GBK" w:eastAsia="方正仿宋_GBK"/>
          <w:w w:val="95"/>
          <w:sz w:val="32"/>
          <w:szCs w:val="32"/>
        </w:rPr>
      </w:pPr>
      <w:r>
        <w:rPr>
          <w:rFonts w:hint="eastAsia" w:ascii="方正仿宋_GBK" w:eastAsia="方正仿宋_GBK"/>
          <w:sz w:val="32"/>
          <w:szCs w:val="32"/>
        </w:rPr>
        <w:t>200克。</w:t>
      </w:r>
      <w:r>
        <w:rPr>
          <w:rFonts w:hint="eastAsia" w:ascii="方正仿宋_GBK" w:eastAsia="方正仿宋_GBK"/>
          <w:w w:val="95"/>
          <w:sz w:val="32"/>
          <w:szCs w:val="32"/>
        </w:rPr>
        <w:t>生产日期为2023年3月3日，保质期为9个月；上述食品检查时均已超</w:t>
      </w:r>
    </w:p>
    <w:p>
      <w:pPr>
        <w:pStyle w:val="2"/>
        <w:snapToGrid w:val="0"/>
        <w:spacing w:before="37" w:line="580" w:lineRule="exact"/>
        <w:ind w:left="0" w:firstLine="608" w:firstLineChars="200"/>
        <w:contextualSpacing/>
        <w:jc w:val="both"/>
        <w:rPr>
          <w:rFonts w:ascii="方正仿宋_GBK" w:eastAsia="方正仿宋_GBK"/>
          <w:sz w:val="32"/>
          <w:szCs w:val="32"/>
        </w:rPr>
      </w:pPr>
      <w:r>
        <w:rPr>
          <w:rFonts w:hint="eastAsia" w:ascii="方正仿宋_GBK" w:eastAsia="方正仿宋_GBK"/>
          <w:w w:val="95"/>
          <w:sz w:val="32"/>
          <w:szCs w:val="32"/>
        </w:rPr>
        <w:t>过</w:t>
      </w:r>
      <w:r>
        <w:rPr>
          <w:rFonts w:hint="eastAsia" w:ascii="方正仿宋_GBK" w:eastAsia="方正仿宋_GBK"/>
          <w:spacing w:val="-10"/>
          <w:w w:val="95"/>
          <w:sz w:val="32"/>
          <w:szCs w:val="32"/>
        </w:rPr>
        <w:t>保</w:t>
      </w:r>
      <w:r>
        <w:rPr>
          <w:rFonts w:hint="eastAsia" w:ascii="方正仿宋_GBK" w:eastAsia="方正仿宋_GBK"/>
          <w:spacing w:val="-1"/>
          <w:sz w:val="32"/>
          <w:szCs w:val="32"/>
        </w:rPr>
        <w:t>质期。</w:t>
      </w:r>
    </w:p>
    <w:p>
      <w:pPr>
        <w:pStyle w:val="2"/>
        <w:snapToGrid w:val="0"/>
        <w:spacing w:before="216" w:line="580" w:lineRule="exact"/>
        <w:ind w:left="618" w:right="624" w:firstLine="636" w:firstLineChars="200"/>
        <w:contextualSpacing/>
        <w:jc w:val="both"/>
        <w:rPr>
          <w:rFonts w:ascii="方正仿宋_GBK" w:eastAsia="方正仿宋_GBK"/>
          <w:sz w:val="32"/>
          <w:szCs w:val="32"/>
        </w:rPr>
      </w:pPr>
      <w:r>
        <w:rPr>
          <w:rFonts w:hint="eastAsia" w:ascii="方正仿宋_GBK" w:eastAsia="方正仿宋_GBK"/>
          <w:spacing w:val="-1"/>
          <w:sz w:val="32"/>
          <w:szCs w:val="32"/>
        </w:rPr>
        <w:t>我局执法人员对上述超过保质期的食品实施了扣押的行政强制措施。</w:t>
      </w:r>
      <w:r>
        <w:rPr>
          <w:rFonts w:hint="eastAsia" w:ascii="方正仿宋_GBK" w:eastAsia="方正仿宋_GBK"/>
          <w:w w:val="99"/>
          <w:sz w:val="32"/>
          <w:szCs w:val="32"/>
        </w:rPr>
        <w:t>现查明：20</w:t>
      </w:r>
      <w:r>
        <w:rPr>
          <w:rFonts w:hint="eastAsia" w:ascii="方正仿宋_GBK" w:eastAsia="方正仿宋_GBK"/>
          <w:spacing w:val="-1"/>
          <w:w w:val="98"/>
          <w:sz w:val="32"/>
          <w:szCs w:val="32"/>
        </w:rPr>
        <w:t>2</w:t>
      </w:r>
      <w:r>
        <w:rPr>
          <w:rFonts w:hint="eastAsia" w:ascii="方正仿宋_GBK" w:eastAsia="方正仿宋_GBK"/>
          <w:spacing w:val="-1"/>
          <w:sz w:val="32"/>
          <w:szCs w:val="32"/>
        </w:rPr>
        <w:t>3</w:t>
      </w:r>
      <w:r>
        <w:rPr>
          <w:rFonts w:hint="eastAsia" w:ascii="方正仿宋_GBK" w:eastAsia="方正仿宋_GBK"/>
          <w:w w:val="106"/>
          <w:sz w:val="32"/>
          <w:szCs w:val="32"/>
        </w:rPr>
        <w:t>年4月1</w:t>
      </w:r>
      <w:r>
        <w:rPr>
          <w:rFonts w:hint="eastAsia" w:ascii="方正仿宋_GBK" w:eastAsia="方正仿宋_GBK"/>
          <w:spacing w:val="-1"/>
          <w:sz w:val="32"/>
          <w:szCs w:val="32"/>
        </w:rPr>
        <w:t>3</w:t>
      </w:r>
      <w:r>
        <w:rPr>
          <w:rFonts w:hint="eastAsia" w:ascii="方正仿宋_GBK" w:eastAsia="方正仿宋_GBK"/>
          <w:sz w:val="32"/>
          <w:szCs w:val="32"/>
        </w:rPr>
        <w:t>日和8</w:t>
      </w:r>
      <w:r>
        <w:rPr>
          <w:rFonts w:hint="eastAsia" w:ascii="方正仿宋_GBK" w:eastAsia="方正仿宋_GBK"/>
          <w:w w:val="99"/>
          <w:sz w:val="32"/>
          <w:szCs w:val="32"/>
        </w:rPr>
        <w:t>月2</w:t>
      </w:r>
      <w:r>
        <w:rPr>
          <w:rFonts w:hint="eastAsia" w:ascii="方正仿宋_GBK" w:eastAsia="方正仿宋_GBK"/>
          <w:spacing w:val="-1"/>
          <w:w w:val="101"/>
          <w:sz w:val="32"/>
          <w:szCs w:val="32"/>
        </w:rPr>
        <w:t>7</w:t>
      </w:r>
      <w:r>
        <w:rPr>
          <w:rFonts w:hint="eastAsia" w:ascii="方正仿宋_GBK" w:eastAsia="方正仿宋_GBK"/>
          <w:sz w:val="32"/>
          <w:szCs w:val="32"/>
        </w:rPr>
        <w:t>日，当事人在石柱县睿达副食品经营部分</w:t>
      </w:r>
      <w:r>
        <w:rPr>
          <w:rFonts w:hint="eastAsia" w:ascii="方正仿宋_GBK" w:eastAsia="方正仿宋_GBK"/>
          <w:w w:val="103"/>
          <w:sz w:val="32"/>
          <w:szCs w:val="32"/>
        </w:rPr>
        <w:t>别购进了1</w:t>
      </w:r>
      <w:r>
        <w:rPr>
          <w:rFonts w:hint="eastAsia" w:ascii="方正仿宋_GBK" w:eastAsia="方正仿宋_GBK"/>
          <w:spacing w:val="-3"/>
          <w:sz w:val="32"/>
          <w:szCs w:val="32"/>
        </w:rPr>
        <w:t>件“喜之郎 什锦果肉果冻”，购进单价为</w:t>
      </w:r>
      <w:r>
        <w:rPr>
          <w:rFonts w:hint="eastAsia" w:ascii="方正仿宋_GBK" w:eastAsia="方正仿宋_GBK"/>
          <w:w w:val="101"/>
          <w:sz w:val="32"/>
          <w:szCs w:val="32"/>
        </w:rPr>
        <w:t>7</w:t>
      </w:r>
      <w:r>
        <w:rPr>
          <w:rFonts w:hint="eastAsia" w:ascii="方正仿宋_GBK" w:eastAsia="方正仿宋_GBK"/>
          <w:w w:val="96"/>
          <w:sz w:val="32"/>
          <w:szCs w:val="32"/>
        </w:rPr>
        <w:t>5</w:t>
      </w:r>
      <w:r>
        <w:rPr>
          <w:rFonts w:hint="eastAsia" w:ascii="方正仿宋_GBK" w:eastAsia="方正仿宋_GBK"/>
          <w:w w:val="87"/>
          <w:sz w:val="32"/>
          <w:szCs w:val="32"/>
        </w:rPr>
        <w:t>元/件/2</w:t>
      </w:r>
      <w:r>
        <w:rPr>
          <w:rFonts w:hint="eastAsia" w:ascii="方正仿宋_GBK" w:eastAsia="方正仿宋_GBK"/>
          <w:spacing w:val="-1"/>
          <w:sz w:val="32"/>
          <w:szCs w:val="32"/>
        </w:rPr>
        <w:t xml:space="preserve">4个，销售 </w:t>
      </w:r>
      <w:r>
        <w:rPr>
          <w:rFonts w:hint="eastAsia" w:ascii="方正仿宋_GBK" w:eastAsia="方正仿宋_GBK"/>
          <w:w w:val="96"/>
          <w:sz w:val="32"/>
          <w:szCs w:val="32"/>
        </w:rPr>
        <w:t>价格为4元/</w:t>
      </w:r>
      <w:r>
        <w:rPr>
          <w:rFonts w:hint="eastAsia" w:ascii="方正仿宋_GBK" w:eastAsia="方正仿宋_GBK"/>
          <w:w w:val="99"/>
          <w:sz w:val="32"/>
          <w:szCs w:val="32"/>
        </w:rPr>
        <w:t>个，条形码为6902</w:t>
      </w:r>
      <w:r>
        <w:rPr>
          <w:rFonts w:hint="eastAsia" w:ascii="方正仿宋_GBK" w:eastAsia="方正仿宋_GBK"/>
          <w:spacing w:val="-1"/>
          <w:w w:val="101"/>
          <w:sz w:val="32"/>
          <w:szCs w:val="32"/>
        </w:rPr>
        <w:t>93</w:t>
      </w:r>
      <w:r>
        <w:rPr>
          <w:rFonts w:hint="eastAsia" w:ascii="方正仿宋_GBK" w:eastAsia="方正仿宋_GBK"/>
          <w:w w:val="101"/>
          <w:sz w:val="32"/>
          <w:szCs w:val="32"/>
        </w:rPr>
        <w:t>4</w:t>
      </w:r>
      <w:r>
        <w:rPr>
          <w:rFonts w:hint="eastAsia" w:ascii="方正仿宋_GBK" w:eastAsia="方正仿宋_GBK"/>
          <w:spacing w:val="-1"/>
          <w:w w:val="97"/>
          <w:sz w:val="32"/>
          <w:szCs w:val="32"/>
        </w:rPr>
        <w:t>99036</w:t>
      </w:r>
      <w:r>
        <w:rPr>
          <w:rFonts w:hint="eastAsia" w:ascii="方正仿宋_GBK" w:eastAsia="方正仿宋_GBK"/>
          <w:w w:val="97"/>
          <w:sz w:val="32"/>
          <w:szCs w:val="32"/>
        </w:rPr>
        <w:t>2</w:t>
      </w:r>
      <w:r>
        <w:rPr>
          <w:rFonts w:hint="eastAsia" w:ascii="方正仿宋_GBK" w:eastAsia="方正仿宋_GBK"/>
          <w:sz w:val="32"/>
          <w:szCs w:val="32"/>
        </w:rPr>
        <w:t>。</w:t>
      </w:r>
    </w:p>
    <w:p>
      <w:pPr>
        <w:pStyle w:val="2"/>
        <w:spacing w:line="580" w:lineRule="exact"/>
        <w:ind w:left="618" w:right="624" w:firstLine="632" w:firstLineChars="200"/>
        <w:jc w:val="both"/>
        <w:rPr>
          <w:rFonts w:ascii="方正仿宋_GBK" w:eastAsia="方正仿宋_GBK"/>
          <w:sz w:val="32"/>
          <w:szCs w:val="32"/>
        </w:rPr>
      </w:pPr>
      <w:r>
        <w:rPr>
          <w:rFonts w:hint="eastAsia" w:ascii="方正仿宋_GBK" w:eastAsia="方正仿宋_GBK"/>
          <w:spacing w:val="-2"/>
          <w:sz w:val="32"/>
          <w:szCs w:val="32"/>
        </w:rPr>
        <w:t>因本案无证据证明当事人已售出的其余涉案产品为超过保质期的食品，故认</w:t>
      </w:r>
      <w:r>
        <w:rPr>
          <w:rFonts w:hint="eastAsia" w:ascii="方正仿宋_GBK" w:eastAsia="方正仿宋_GBK"/>
          <w:sz w:val="32"/>
          <w:szCs w:val="32"/>
        </w:rPr>
        <w:t>定本案涉案超过保质期食品为3</w:t>
      </w:r>
      <w:r>
        <w:rPr>
          <w:rFonts w:hint="eastAsia" w:ascii="方正仿宋_GBK" w:eastAsia="方正仿宋_GBK"/>
          <w:spacing w:val="-6"/>
          <w:sz w:val="32"/>
          <w:szCs w:val="32"/>
        </w:rPr>
        <w:t>个“喜之郎 什锦果肉果冻”，货值金额以销</w:t>
      </w:r>
      <w:r>
        <w:rPr>
          <w:rFonts w:hint="eastAsia" w:ascii="方正仿宋_GBK" w:eastAsia="方正仿宋_GBK"/>
          <w:spacing w:val="-2"/>
          <w:sz w:val="32"/>
          <w:szCs w:val="32"/>
        </w:rPr>
        <w:t>售价计算：3*4=12元，无违法所得。</w:t>
      </w:r>
    </w:p>
    <w:p>
      <w:pPr>
        <w:pStyle w:val="2"/>
        <w:snapToGrid w:val="0"/>
        <w:spacing w:before="62" w:line="580" w:lineRule="exact"/>
        <w:ind w:left="1154"/>
        <w:contextualSpacing/>
        <w:rPr>
          <w:rFonts w:ascii="方正仿宋_GBK" w:eastAsia="方正仿宋_GBK"/>
          <w:sz w:val="32"/>
          <w:szCs w:val="32"/>
        </w:rPr>
      </w:pPr>
      <w:r>
        <w:rPr>
          <w:rFonts w:hint="eastAsia" w:ascii="方正仿宋_GBK" w:eastAsia="方正仿宋_GBK"/>
          <w:spacing w:val="-1"/>
          <w:sz w:val="32"/>
          <w:szCs w:val="32"/>
        </w:rPr>
        <w:t>上述事实，主要有以下证据证明：</w:t>
      </w:r>
    </w:p>
    <w:p>
      <w:pPr>
        <w:pStyle w:val="2"/>
        <w:snapToGrid w:val="0"/>
        <w:spacing w:before="275" w:line="580" w:lineRule="exact"/>
        <w:ind w:left="618" w:right="728" w:firstLine="632" w:firstLineChars="200"/>
        <w:contextualSpacing/>
        <w:jc w:val="both"/>
        <w:rPr>
          <w:rFonts w:ascii="方正仿宋_GBK" w:eastAsia="方正仿宋_GBK"/>
          <w:sz w:val="32"/>
          <w:szCs w:val="32"/>
        </w:rPr>
      </w:pPr>
      <w:r>
        <w:rPr>
          <w:rFonts w:hint="eastAsia" w:ascii="方正仿宋_GBK" w:eastAsia="方正仿宋_GBK"/>
          <w:spacing w:val="-2"/>
          <w:sz w:val="32"/>
          <w:szCs w:val="32"/>
        </w:rPr>
        <w:t>第一组：当事人营业执照、食品经营许可证及经营者身份证复印件各1份。证明当事人主体资格和负责人身份。</w:t>
      </w:r>
    </w:p>
    <w:p>
      <w:pPr>
        <w:pStyle w:val="2"/>
        <w:spacing w:line="580" w:lineRule="exact"/>
        <w:ind w:left="618" w:right="739" w:firstLine="632" w:firstLineChars="200"/>
        <w:jc w:val="both"/>
        <w:rPr>
          <w:rFonts w:ascii="方正仿宋_GBK" w:eastAsia="方正仿宋_GBK"/>
          <w:sz w:val="32"/>
          <w:szCs w:val="32"/>
        </w:rPr>
      </w:pPr>
      <w:r>
        <w:rPr>
          <w:rFonts w:hint="eastAsia" w:ascii="方正仿宋_GBK" w:eastAsia="方正仿宋_GBK"/>
          <w:spacing w:val="-2"/>
          <w:sz w:val="32"/>
          <w:szCs w:val="32"/>
        </w:rPr>
        <w:t>第二组：询问调查笔录1份，现场笔录1份，涉案过期食品购进单据及销售记录各3份，现场照片2张。证明当事人经营超过保质期的食品，销售105支涉诉玉米肠，且货值金额为33元，违法所得为1.2元，同时未履行进货查验义务的事实。</w:t>
      </w:r>
    </w:p>
    <w:p>
      <w:pPr>
        <w:pStyle w:val="2"/>
        <w:spacing w:line="580" w:lineRule="exact"/>
        <w:ind w:left="618" w:right="699" w:firstLine="640" w:firstLineChars="200"/>
        <w:jc w:val="both"/>
        <w:rPr>
          <w:rFonts w:ascii="方正仿宋_GBK" w:eastAsia="方正仿宋_GBK"/>
          <w:sz w:val="32"/>
          <w:szCs w:val="32"/>
        </w:rPr>
      </w:pPr>
      <w:r>
        <w:rPr>
          <w:rFonts w:hint="eastAsia" w:ascii="方正仿宋_GBK" w:eastAsia="方正仿宋_GBK"/>
          <w:sz w:val="32"/>
          <w:szCs w:val="32"/>
        </w:rPr>
        <w:t>第三组：当事人给投诉人赔偿转账截图1</w:t>
      </w:r>
      <w:r>
        <w:rPr>
          <w:rFonts w:hint="eastAsia" w:ascii="方正仿宋_GBK" w:eastAsia="方正仿宋_GBK"/>
          <w:w w:val="101"/>
          <w:sz w:val="32"/>
          <w:szCs w:val="32"/>
        </w:rPr>
        <w:t>张，投诉人微信号截图1</w:t>
      </w:r>
      <w:r>
        <w:rPr>
          <w:rFonts w:hint="eastAsia" w:ascii="方正仿宋_GBK" w:eastAsia="方正仿宋_GBK"/>
          <w:sz w:val="32"/>
          <w:szCs w:val="32"/>
        </w:rPr>
        <w:t>张，现场</w:t>
      </w:r>
      <w:r>
        <w:rPr>
          <w:rFonts w:hint="eastAsia" w:ascii="方正仿宋_GBK" w:eastAsia="方正仿宋_GBK"/>
          <w:w w:val="103"/>
          <w:sz w:val="32"/>
          <w:szCs w:val="32"/>
        </w:rPr>
        <w:t>调解照片1</w:t>
      </w:r>
      <w:r>
        <w:rPr>
          <w:rFonts w:hint="eastAsia" w:ascii="方正仿宋_GBK" w:eastAsia="方正仿宋_GBK"/>
          <w:w w:val="101"/>
          <w:sz w:val="32"/>
          <w:szCs w:val="32"/>
        </w:rPr>
        <w:t>张，涉诉玉米肠销毁照片1</w:t>
      </w:r>
      <w:r>
        <w:rPr>
          <w:rFonts w:hint="eastAsia" w:ascii="方正仿宋_GBK" w:eastAsia="方正仿宋_GBK"/>
          <w:w w:val="99"/>
          <w:sz w:val="32"/>
          <w:szCs w:val="32"/>
        </w:rPr>
        <w:t>张。证明当事人赔偿投诉人6</w:t>
      </w:r>
      <w:r>
        <w:rPr>
          <w:rFonts w:hint="eastAsia" w:ascii="方正仿宋_GBK" w:eastAsia="方正仿宋_GBK"/>
          <w:w w:val="96"/>
          <w:sz w:val="32"/>
          <w:szCs w:val="32"/>
        </w:rPr>
        <w:t>00</w:t>
      </w:r>
      <w:r>
        <w:rPr>
          <w:rFonts w:hint="eastAsia" w:ascii="方正仿宋_GBK" w:eastAsia="方正仿宋_GBK"/>
          <w:spacing w:val="-5"/>
          <w:sz w:val="32"/>
          <w:szCs w:val="32"/>
        </w:rPr>
        <w:t>元且现</w:t>
      </w:r>
      <w:r>
        <w:rPr>
          <w:rFonts w:hint="eastAsia" w:ascii="方正仿宋_GBK" w:eastAsia="方正仿宋_GBK"/>
          <w:w w:val="99"/>
          <w:sz w:val="32"/>
          <w:szCs w:val="32"/>
        </w:rPr>
        <w:t>场销毁6</w:t>
      </w:r>
      <w:r>
        <w:rPr>
          <w:rFonts w:hint="eastAsia" w:ascii="方正仿宋_GBK" w:eastAsia="方正仿宋_GBK"/>
          <w:sz w:val="32"/>
          <w:szCs w:val="32"/>
        </w:rPr>
        <w:t>根涉诉玉米肠的事实。</w:t>
      </w:r>
    </w:p>
    <w:p>
      <w:pPr>
        <w:pStyle w:val="2"/>
        <w:spacing w:line="580" w:lineRule="exact"/>
        <w:ind w:left="618" w:right="735" w:firstLine="632" w:firstLineChars="200"/>
        <w:jc w:val="both"/>
        <w:rPr>
          <w:rFonts w:ascii="方正仿宋_GBK" w:eastAsia="方正仿宋_GBK"/>
          <w:sz w:val="32"/>
          <w:szCs w:val="32"/>
        </w:rPr>
      </w:pPr>
      <w:r>
        <w:rPr>
          <w:rFonts w:hint="eastAsia" w:ascii="方正仿宋_GBK" w:eastAsia="方正仿宋_GBK"/>
          <w:spacing w:val="-2"/>
          <w:sz w:val="32"/>
          <w:szCs w:val="32"/>
        </w:rPr>
        <w:t>第四组：询问调查笔录2份。证明当事人将15支涉诉玉米肠退还石柱土家族自治县明意商贸有限公司的事实。</w:t>
      </w:r>
    </w:p>
    <w:p>
      <w:pPr>
        <w:pStyle w:val="2"/>
        <w:spacing w:line="580" w:lineRule="exact"/>
        <w:ind w:left="0" w:right="963" w:firstLine="474" w:firstLineChars="150"/>
        <w:jc w:val="both"/>
      </w:pPr>
      <w:r>
        <w:rPr>
          <w:rFonts w:hint="eastAsia" w:ascii="方正仿宋_GBK" w:eastAsia="方正仿宋_GBK"/>
          <w:spacing w:val="-2"/>
          <w:sz w:val="32"/>
          <w:szCs w:val="32"/>
        </w:rPr>
        <w:t>2024年5月20日，本局向当事人送达了《石柱土家族自治县市场监督管理管理局行政处罚告知书》（渝石柱市监罚告〔2024〕49号），依法告知     其拟作出行政处罚的事实、理由、依据、处罚内容及享有的陈述、申辩的</w:t>
      </w:r>
    </w:p>
    <w:p>
      <w:pPr>
        <w:pStyle w:val="2"/>
        <w:spacing w:line="580" w:lineRule="exact"/>
        <w:ind w:left="0" w:right="963"/>
        <w:jc w:val="both"/>
        <w:sectPr>
          <w:type w:val="continuous"/>
          <w:pgSz w:w="11910" w:h="16840"/>
          <w:pgMar w:top="1940" w:right="380" w:bottom="280" w:left="380" w:header="720" w:footer="720" w:gutter="0"/>
          <w:cols w:space="720" w:num="1"/>
        </w:sectPr>
      </w:pPr>
    </w:p>
    <w:p>
      <w:pPr>
        <w:pStyle w:val="2"/>
        <w:spacing w:before="61" w:line="580" w:lineRule="exact"/>
        <w:ind w:left="0" w:right="913" w:firstLine="632" w:firstLineChars="200"/>
        <w:jc w:val="both"/>
        <w:rPr>
          <w:rFonts w:ascii="方正仿宋_GBK" w:eastAsia="方正仿宋_GBK"/>
          <w:sz w:val="32"/>
          <w:szCs w:val="32"/>
        </w:rPr>
      </w:pPr>
      <w:r>
        <w:rPr>
          <w:rFonts w:hint="eastAsia" w:ascii="方正仿宋_GBK" w:eastAsia="方正仿宋_GBK"/>
          <w:spacing w:val="-2"/>
          <w:sz w:val="32"/>
          <w:szCs w:val="32"/>
        </w:rPr>
        <w:t>权利。当事人未向本局提出陈述和申辩意见。</w:t>
      </w:r>
    </w:p>
    <w:p>
      <w:pPr>
        <w:pStyle w:val="2"/>
        <w:spacing w:before="61" w:line="580" w:lineRule="exact"/>
        <w:ind w:left="1154"/>
        <w:rPr>
          <w:rFonts w:ascii="方正仿宋_GBK" w:eastAsia="方正仿宋_GBK"/>
          <w:spacing w:val="-1"/>
          <w:sz w:val="32"/>
          <w:szCs w:val="32"/>
        </w:rPr>
      </w:pPr>
      <w:r>
        <w:rPr>
          <w:rFonts w:hint="eastAsia" w:ascii="方正仿宋_GBK" w:eastAsia="方正仿宋_GBK"/>
          <w:spacing w:val="-1"/>
          <w:sz w:val="32"/>
          <w:szCs w:val="32"/>
        </w:rPr>
        <w:t>本局认为，当事人未完全进行进货查验，其行为违反了《中华人民</w:t>
      </w:r>
    </w:p>
    <w:p>
      <w:pPr>
        <w:pStyle w:val="2"/>
        <w:spacing w:before="37" w:line="580" w:lineRule="exact"/>
        <w:ind w:right="622"/>
        <w:rPr>
          <w:rFonts w:ascii="方正仿宋_GBK" w:eastAsia="方正仿宋_GBK"/>
          <w:sz w:val="32"/>
          <w:szCs w:val="32"/>
        </w:rPr>
      </w:pPr>
      <w:r>
        <w:rPr>
          <w:rFonts w:hint="eastAsia" w:ascii="方正仿宋_GBK" w:eastAsia="方正仿宋_GBK"/>
          <w:spacing w:val="-1"/>
          <w:sz w:val="32"/>
          <w:szCs w:val="32"/>
        </w:rPr>
        <w:t>共和</w:t>
      </w:r>
      <w:r>
        <w:rPr>
          <w:rFonts w:hint="eastAsia" w:ascii="方正仿宋_GBK" w:eastAsia="方正仿宋_GBK"/>
          <w:spacing w:val="-2"/>
          <w:sz w:val="32"/>
          <w:szCs w:val="32"/>
        </w:rPr>
        <w:t>国食品安全法》第五十三条第一款“食品经营者采购食品，应当查验供货者的许可证和食品出厂检验合格证或者其他合格证明（以下称合格证明文件）”和第二款“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构成了未履行进货查验等义务的违法行为。</w:t>
      </w:r>
    </w:p>
    <w:p>
      <w:pPr>
        <w:pStyle w:val="2"/>
        <w:spacing w:before="2" w:line="580" w:lineRule="exact"/>
        <w:ind w:left="618" w:right="924" w:firstLine="632" w:firstLineChars="200"/>
        <w:jc w:val="both"/>
        <w:rPr>
          <w:rFonts w:ascii="方正仿宋_GBK" w:eastAsia="方正仿宋_GBK"/>
          <w:sz w:val="32"/>
          <w:szCs w:val="32"/>
        </w:rPr>
      </w:pPr>
      <w:r>
        <w:rPr>
          <w:rFonts w:hint="eastAsia" w:ascii="方正仿宋_GBK" w:eastAsia="方正仿宋_GBK"/>
          <w:spacing w:val="-2"/>
          <w:sz w:val="32"/>
          <w:szCs w:val="32"/>
        </w:rPr>
        <w:t>当事人销售超过保质期的食品，其行为违反了《中华人民共和国食品安全法》第三十四条“禁止生产经营下列食品、食品添加剂、食品相关产品：……（十）标注虚假生产日期、保质期或者超过保质期的食品、食品添加剂”的规定，构成了经营超过保质期的食品的违法行为。</w:t>
      </w:r>
    </w:p>
    <w:p>
      <w:pPr>
        <w:pStyle w:val="2"/>
        <w:spacing w:before="60" w:line="580" w:lineRule="exact"/>
        <w:ind w:left="618" w:right="624" w:firstLine="632" w:firstLineChars="200"/>
        <w:rPr>
          <w:rFonts w:ascii="方正仿宋_GBK" w:eastAsia="方正仿宋_GBK"/>
          <w:sz w:val="32"/>
          <w:szCs w:val="32"/>
        </w:rPr>
      </w:pPr>
      <w:r>
        <w:rPr>
          <w:rFonts w:hint="eastAsia" w:ascii="方正仿宋_GBK" w:eastAsia="方正仿宋_GBK"/>
          <w:spacing w:val="-2"/>
          <w:sz w:val="32"/>
          <w:szCs w:val="32"/>
        </w:rPr>
        <w:t>本案涉案货值金额33元，违法所得为1.2元，在本案调查过程中当事人积极配合调查，其经营规模较小、经济承受能力较差，按照《川渝市场监督管理领域常见违法行为行政处罚裁量因素积分制规则（试行）》关于《中华人民共和国食品安全法》第一百二十四条裁量规定，本案裁量因素积分为-4分，依据《川渝市场监督管理领域常见违法行为行政处罚裁量因素积分制规则（试行）》第十一条第三款“只有可以减轻处罚情形的，原则上在裁量总分阶次低两阶次取中间值处罚；裁量总分已在一般或从轻处罚阶次的，减轻处罚。适用本款减轻处罚的，裁量总分为0分的，裁量可在最低罚款数额的 10%以下酌情处罚，最低罚款数额为零的，不予罚款”的规定，我局拟对</w:t>
      </w:r>
      <w:r>
        <w:rPr>
          <w:rFonts w:hint="eastAsia" w:ascii="方正仿宋_GBK" w:eastAsia="方正仿宋_GBK"/>
          <w:spacing w:val="80"/>
          <w:w w:val="150"/>
          <w:sz w:val="32"/>
          <w:szCs w:val="32"/>
        </w:rPr>
        <w:t xml:space="preserve"> </w:t>
      </w:r>
      <w:r>
        <w:rPr>
          <w:rFonts w:hint="eastAsia" w:ascii="方正仿宋_GBK" w:eastAsia="方正仿宋_GBK"/>
          <w:spacing w:val="-2"/>
          <w:sz w:val="32"/>
          <w:szCs w:val="32"/>
        </w:rPr>
        <w:t>当事人违法行为予以警告，没收涉案过期食品，没收违法所得1.2元，罚款 3000元</w:t>
      </w:r>
      <w:r>
        <w:rPr>
          <w:rFonts w:hint="eastAsia" w:ascii="方正仿宋_GBK" w:eastAsia="方正仿宋_GBK"/>
          <w:sz w:val="32"/>
          <w:szCs w:val="32"/>
        </w:rPr>
        <w:t>。</w:t>
      </w:r>
    </w:p>
    <w:p>
      <w:pPr>
        <w:pStyle w:val="2"/>
        <w:spacing w:before="2" w:line="580" w:lineRule="exact"/>
        <w:ind w:left="618" w:right="624" w:firstLine="632" w:firstLineChars="200"/>
        <w:jc w:val="both"/>
        <w:rPr>
          <w:rFonts w:ascii="方正仿宋_GBK" w:eastAsia="方正仿宋_GBK"/>
          <w:sz w:val="32"/>
          <w:szCs w:val="32"/>
        </w:rPr>
      </w:pPr>
      <w:r>
        <w:rPr>
          <w:rFonts w:hint="eastAsia" w:ascii="方正仿宋_GBK" w:eastAsia="方正仿宋_GBK"/>
          <w:spacing w:val="-2"/>
          <w:sz w:val="32"/>
          <w:szCs w:val="32"/>
        </w:rPr>
        <w:t>2024年5月20日，本局向当事人送达了《石柱土家族自治县市场监督管理管理局行政处罚告知书》（渝石柱市监罚告〔2024〕49号），依法告知其拟作出行政处罚的事实、理由、依据、处罚内容及享有的陈述、申辩的权利。当事人未向本局提出陈述和申辩意见。</w:t>
      </w:r>
    </w:p>
    <w:p>
      <w:pPr>
        <w:pStyle w:val="2"/>
        <w:spacing w:before="47" w:line="580" w:lineRule="exact"/>
        <w:ind w:left="618" w:right="624" w:firstLine="632" w:firstLineChars="200"/>
        <w:jc w:val="both"/>
        <w:rPr>
          <w:rFonts w:ascii="方正仿宋_GBK" w:eastAsia="方正仿宋_GBK"/>
          <w:sz w:val="32"/>
          <w:szCs w:val="32"/>
        </w:rPr>
      </w:pPr>
      <w:r>
        <w:rPr>
          <w:rFonts w:hint="eastAsia" w:ascii="方正仿宋_GBK" w:eastAsia="方正仿宋_GBK"/>
          <w:spacing w:val="-2"/>
          <w:sz w:val="32"/>
          <w:szCs w:val="32"/>
        </w:rPr>
        <w:t>根据《石柱土家族自治县市场监督管理局关于开展市场监管领域涉案主体合规评估的办法（试行）》第六条、第七条、第八条规定，2024年5月20日，本局向当事人送达了《石柱土家族自治县市场监督管理局涉案主体合规评估权利告知书》（石柱市监合告字〔2024〕4号），并告知当事人本案属于合规评估适用范围的案件，当事人可以向我局申请合规评估；次日，当事人向我局提交合规评估申请。2024年5月21日，经审查当事人符合《石柱土家族自治县市场监督管理局市场监管领域涉案主体合规评估办法（试行）》第十三条第二款规定的情形，我局决定受理当事人的申请，并向当事</w:t>
      </w:r>
      <w:r>
        <w:rPr>
          <w:rFonts w:hint="eastAsia" w:ascii="方正仿宋_GBK" w:eastAsia="方正仿宋_GBK"/>
          <w:spacing w:val="-1"/>
          <w:sz w:val="32"/>
          <w:szCs w:val="32"/>
        </w:rPr>
        <w:t>人送达了《石柱土家族自治县市场监督管理涉案主体合规评估受理通知书》</w:t>
      </w:r>
      <w:r>
        <w:rPr>
          <w:rFonts w:hint="eastAsia" w:ascii="方正仿宋_GBK" w:eastAsia="方正仿宋_GBK"/>
          <w:spacing w:val="-2"/>
          <w:sz w:val="32"/>
          <w:szCs w:val="32"/>
        </w:rPr>
        <w:t>（石柱市监受理字〔2024〕4号）。2024年5月23日我局组建本案合规评估工作小组，对当事人开展合规评估，2024年5月24日完成评估，经评估</w:t>
      </w:r>
      <w:r>
        <w:rPr>
          <w:rFonts w:hint="eastAsia" w:ascii="方正仿宋_GBK" w:eastAsia="方正仿宋_GBK"/>
          <w:w w:val="95"/>
          <w:sz w:val="32"/>
          <w:szCs w:val="32"/>
        </w:rPr>
        <w:t>小组出具报告，当事人的整改到位。2024年5月27日我局向当事人送达</w:t>
      </w:r>
      <w:r>
        <w:rPr>
          <w:rFonts w:hint="eastAsia" w:ascii="方正仿宋_GBK" w:eastAsia="方正仿宋_GBK"/>
          <w:spacing w:val="-10"/>
          <w:w w:val="95"/>
          <w:sz w:val="32"/>
          <w:szCs w:val="32"/>
        </w:rPr>
        <w:t>了</w:t>
      </w:r>
      <w:r>
        <w:rPr>
          <w:rFonts w:hint="eastAsia" w:ascii="方正仿宋_GBK" w:eastAsia="方正仿宋_GBK"/>
          <w:spacing w:val="-2"/>
          <w:sz w:val="32"/>
          <w:szCs w:val="32"/>
        </w:rPr>
        <w:t>《石柱土家族自治县市场监督管理涉案主体合规审查评估结果告知书》（石柱市监结告字〔2024〕4号）。</w:t>
      </w:r>
    </w:p>
    <w:p>
      <w:pPr>
        <w:pStyle w:val="2"/>
        <w:spacing w:before="2" w:line="580" w:lineRule="exact"/>
        <w:ind w:left="618" w:right="622" w:firstLine="632" w:firstLineChars="200"/>
        <w:jc w:val="both"/>
        <w:rPr>
          <w:rFonts w:ascii="方正仿宋_GBK" w:eastAsia="方正仿宋_GBK"/>
          <w:sz w:val="32"/>
          <w:szCs w:val="32"/>
        </w:rPr>
      </w:pPr>
      <w:r>
        <w:rPr>
          <w:rFonts w:hint="eastAsia" w:ascii="方正仿宋_GBK" w:eastAsia="方正仿宋_GBK"/>
          <w:spacing w:val="-2"/>
          <w:sz w:val="32"/>
          <w:szCs w:val="32"/>
        </w:rPr>
        <w:t>根据《石柱土家族自治县市场监督管理局关于开展市场监管领域涉案主体合规评估的办法（试行）》第二十三条第一款“经评估认定违法行为整改到位的，本局按照以下规则依法作出处罚决定：（一）对拟减轻处罚的，可以在减轻幅度内降低处罚金额或决定免予处罚”的规定，本局决定对当事人的违法行为予以警告，没收涉案过期食品，没收违法所得1.2元，罚款1000元。</w:t>
      </w:r>
    </w:p>
    <w:p>
      <w:pPr>
        <w:pStyle w:val="2"/>
        <w:snapToGrid w:val="0"/>
        <w:spacing w:before="62" w:line="580" w:lineRule="exact"/>
        <w:ind w:left="618" w:firstLine="608" w:firstLineChars="200"/>
        <w:contextualSpacing/>
        <w:jc w:val="both"/>
        <w:rPr>
          <w:rFonts w:ascii="方正仿宋_GBK" w:eastAsia="方正仿宋_GBK"/>
          <w:spacing w:val="-10"/>
          <w:w w:val="95"/>
          <w:sz w:val="32"/>
          <w:szCs w:val="32"/>
        </w:rPr>
      </w:pPr>
      <w:r>
        <w:rPr>
          <w:rFonts w:hint="eastAsia" w:ascii="方正仿宋_GBK" w:eastAsia="方正仿宋_GBK"/>
          <w:w w:val="95"/>
          <w:sz w:val="32"/>
          <w:szCs w:val="32"/>
        </w:rPr>
        <w:t>警告，没收涉案过期食品，没收违法所得1.2元，罚款1000</w:t>
      </w:r>
      <w:r>
        <w:rPr>
          <w:rFonts w:hint="eastAsia" w:ascii="方正仿宋_GBK" w:eastAsia="方正仿宋_GBK"/>
          <w:spacing w:val="-10"/>
          <w:w w:val="95"/>
          <w:sz w:val="32"/>
          <w:szCs w:val="32"/>
        </w:rPr>
        <w:t>元。</w:t>
      </w:r>
    </w:p>
    <w:p>
      <w:pPr>
        <w:pStyle w:val="2"/>
        <w:snapToGrid w:val="0"/>
        <w:spacing w:before="276" w:line="580" w:lineRule="exact"/>
        <w:ind w:left="618" w:right="783" w:firstLine="556" w:firstLineChars="176"/>
        <w:contextualSpacing/>
        <w:rPr>
          <w:rFonts w:ascii="方正仿宋_GBK" w:eastAsia="方正仿宋_GBK"/>
          <w:sz w:val="32"/>
          <w:szCs w:val="32"/>
        </w:rPr>
      </w:pPr>
      <w:r>
        <w:rPr>
          <w:rFonts w:hint="eastAsia" w:ascii="方正仿宋_GBK" w:eastAsia="方正仿宋_GBK"/>
          <w:spacing w:val="-2"/>
          <w:sz w:val="32"/>
          <w:szCs w:val="32"/>
        </w:rPr>
        <w:t>当事人自收到本处罚决定书之日起15日内到重庆农村商业银行股份有限公司石柱支行（户名：石柱土家族自治县财政局，账号4501010120*****）缴纳罚款，逾期不缴纳的，每日可以按罚款数额的3%加处罚款。</w:t>
      </w:r>
    </w:p>
    <w:p>
      <w:pPr>
        <w:pStyle w:val="2"/>
        <w:spacing w:before="37" w:line="580" w:lineRule="exact"/>
        <w:ind w:left="618" w:firstLine="632" w:firstLineChars="200"/>
        <w:rPr>
          <w:rFonts w:ascii="方正仿宋_GBK" w:eastAsia="方正仿宋_GBK"/>
          <w:sz w:val="32"/>
          <w:szCs w:val="32"/>
        </w:rPr>
      </w:pPr>
      <w:r>
        <w:rPr>
          <w:rFonts w:hint="eastAsia" w:ascii="方正仿宋_GBK" w:eastAsia="方正仿宋_GBK"/>
          <w:spacing w:val="-2"/>
          <w:sz w:val="32"/>
          <w:szCs w:val="32"/>
        </w:rPr>
        <w:t>当事人若对本处罚决定不服，可在接到处罚决定书之日起60日内，向石柱土家族自治县人民政府申请复议，也可以在6个月内直接向石柱土家族自治</w:t>
      </w:r>
      <w:r>
        <w:rPr>
          <w:rFonts w:hint="eastAsia" w:ascii="方正仿宋_GBK" w:eastAsia="方正仿宋_GBK"/>
          <w:spacing w:val="-1"/>
          <w:sz w:val="32"/>
          <w:szCs w:val="32"/>
        </w:rPr>
        <w:t>县人民法院提起诉讼。</w:t>
      </w:r>
    </w:p>
    <w:p>
      <w:pPr>
        <w:pStyle w:val="2"/>
        <w:spacing w:before="37" w:line="580" w:lineRule="exact"/>
        <w:ind w:left="618" w:firstLine="640" w:firstLineChars="200"/>
        <w:rPr>
          <w:rFonts w:ascii="方正仿宋_GBK" w:eastAsia="方正仿宋_GBK"/>
          <w:sz w:val="32"/>
          <w:szCs w:val="32"/>
        </w:rPr>
      </w:pPr>
    </w:p>
    <w:p>
      <w:pPr>
        <w:pStyle w:val="2"/>
        <w:spacing w:before="37" w:line="580" w:lineRule="exact"/>
        <w:ind w:left="618" w:firstLine="640" w:firstLineChars="200"/>
        <w:rPr>
          <w:rFonts w:ascii="方正仿宋_GBK" w:eastAsia="方正仿宋_GBK"/>
          <w:sz w:val="32"/>
          <w:szCs w:val="32"/>
        </w:rPr>
      </w:pPr>
    </w:p>
    <w:p>
      <w:pPr>
        <w:pStyle w:val="2"/>
        <w:spacing w:before="37" w:line="580" w:lineRule="exact"/>
        <w:ind w:left="618" w:firstLine="640" w:firstLineChars="200"/>
        <w:rPr>
          <w:rFonts w:ascii="方正仿宋_GBK" w:eastAsia="方正仿宋_GBK"/>
          <w:sz w:val="32"/>
          <w:szCs w:val="32"/>
        </w:rPr>
      </w:pPr>
    </w:p>
    <w:p>
      <w:pPr>
        <w:pStyle w:val="2"/>
        <w:spacing w:before="37" w:line="580" w:lineRule="exact"/>
        <w:ind w:left="618" w:firstLine="640" w:firstLineChars="200"/>
        <w:rPr>
          <w:rFonts w:ascii="方正仿宋_GBK" w:eastAsia="方正仿宋_GBK"/>
          <w:sz w:val="32"/>
          <w:szCs w:val="32"/>
        </w:rPr>
      </w:pPr>
    </w:p>
    <w:p>
      <w:pPr>
        <w:pStyle w:val="2"/>
        <w:spacing w:before="37" w:line="580" w:lineRule="exact"/>
        <w:ind w:left="618" w:firstLine="640" w:firstLineChars="200"/>
        <w:rPr>
          <w:rFonts w:ascii="方正仿宋_GBK" w:eastAsia="方正仿宋_GBK"/>
          <w:sz w:val="32"/>
          <w:szCs w:val="32"/>
        </w:rPr>
      </w:pPr>
    </w:p>
    <w:p>
      <w:pPr>
        <w:pStyle w:val="2"/>
        <w:spacing w:before="37" w:line="580" w:lineRule="exact"/>
        <w:ind w:left="618" w:firstLine="640" w:firstLineChars="200"/>
        <w:rPr>
          <w:rFonts w:ascii="方正仿宋_GBK" w:eastAsia="方正仿宋_GBK"/>
          <w:sz w:val="32"/>
          <w:szCs w:val="32"/>
        </w:rPr>
      </w:pPr>
    </w:p>
    <w:p>
      <w:pPr>
        <w:pStyle w:val="2"/>
        <w:spacing w:before="37" w:line="580" w:lineRule="exact"/>
        <w:ind w:left="618" w:firstLine="640" w:firstLineChars="200"/>
        <w:rPr>
          <w:rFonts w:ascii="方正仿宋_GBK" w:eastAsia="方正仿宋_GBK"/>
          <w:sz w:val="32"/>
          <w:szCs w:val="32"/>
        </w:rPr>
      </w:pPr>
    </w:p>
    <w:p>
      <w:pPr>
        <w:pStyle w:val="2"/>
        <w:spacing w:before="37" w:line="580" w:lineRule="exact"/>
        <w:ind w:left="618" w:firstLine="640" w:firstLineChars="200"/>
        <w:rPr>
          <w:rFonts w:ascii="方正仿宋_GBK" w:eastAsia="方正仿宋_GBK"/>
          <w:sz w:val="32"/>
          <w:szCs w:val="32"/>
        </w:rPr>
      </w:pPr>
    </w:p>
    <w:p>
      <w:pPr>
        <w:pStyle w:val="2"/>
        <w:spacing w:before="37" w:line="580" w:lineRule="exact"/>
        <w:ind w:left="0"/>
        <w:rPr>
          <w:rFonts w:ascii="方正仿宋_GBK" w:eastAsia="方正仿宋_GBK"/>
          <w:sz w:val="32"/>
          <w:szCs w:val="32"/>
        </w:rPr>
      </w:pPr>
    </w:p>
    <w:p>
      <w:pPr>
        <w:pStyle w:val="2"/>
        <w:spacing w:before="37" w:line="580" w:lineRule="exact"/>
        <w:ind w:left="0"/>
        <w:rPr>
          <w:rFonts w:ascii="方正仿宋_GBK" w:eastAsia="方正仿宋_GBK"/>
          <w:sz w:val="32"/>
          <w:szCs w:val="32"/>
        </w:rPr>
      </w:pPr>
    </w:p>
    <w:p>
      <w:pPr>
        <w:pStyle w:val="2"/>
        <w:spacing w:before="37" w:line="580" w:lineRule="exact"/>
        <w:ind w:left="618" w:firstLine="640" w:firstLineChars="200"/>
        <w:rPr>
          <w:rFonts w:ascii="方正仿宋_GBK" w:eastAsia="方正仿宋_GBK"/>
          <w:sz w:val="32"/>
          <w:szCs w:val="32"/>
        </w:rPr>
      </w:pPr>
    </w:p>
    <w:p>
      <w:pPr>
        <w:pStyle w:val="2"/>
        <w:spacing w:before="246"/>
        <w:ind w:left="5419"/>
        <w:rPr>
          <w:rFonts w:ascii="方正仿宋_GBK" w:eastAsia="方正仿宋_GBK"/>
          <w:sz w:val="32"/>
          <w:szCs w:val="32"/>
        </w:rPr>
      </w:pPr>
      <w:r>
        <w:rPr>
          <w:rFonts w:hint="eastAsia" w:ascii="方正仿宋_GBK" w:eastAsia="方正仿宋_GBK"/>
          <w:spacing w:val="-1"/>
          <w:sz w:val="32"/>
          <w:szCs w:val="32"/>
        </w:rPr>
        <w:t>石柱土家族自治县市场监督管理局</w:t>
      </w:r>
    </w:p>
    <w:p>
      <w:pPr>
        <w:pStyle w:val="2"/>
        <w:spacing w:before="37" w:line="580" w:lineRule="exact"/>
        <w:ind w:left="618" w:right="636" w:firstLine="632" w:firstLineChars="200"/>
        <w:jc w:val="center"/>
        <w:rPr>
          <w:rFonts w:ascii="方正仿宋_GBK" w:eastAsia="方正仿宋_GBK"/>
          <w:spacing w:val="-2"/>
          <w:sz w:val="32"/>
          <w:szCs w:val="32"/>
        </w:rPr>
      </w:pPr>
      <w:r>
        <w:rPr>
          <w:rFonts w:hint="eastAsia" w:ascii="方正仿宋_GBK" w:eastAsia="方正仿宋_GBK"/>
          <w:spacing w:val="-2"/>
          <w:sz w:val="32"/>
          <w:szCs w:val="32"/>
        </w:rPr>
        <w:t xml:space="preserve">                                            2024年6月11日</w:t>
      </w:r>
    </w:p>
    <w:p>
      <w:pPr>
        <w:pStyle w:val="2"/>
        <w:spacing w:before="37" w:line="580" w:lineRule="exact"/>
        <w:ind w:left="618" w:right="636" w:firstLine="632" w:firstLineChars="200"/>
        <w:jc w:val="center"/>
        <w:rPr>
          <w:rFonts w:ascii="方正仿宋_GBK" w:eastAsia="方正仿宋_GBK"/>
          <w:spacing w:val="-2"/>
          <w:sz w:val="32"/>
          <w:szCs w:val="32"/>
        </w:rPr>
      </w:pPr>
    </w:p>
    <w:p>
      <w:pPr>
        <w:pStyle w:val="2"/>
        <w:spacing w:before="37" w:line="580" w:lineRule="exact"/>
        <w:ind w:left="618" w:right="636" w:firstLine="632" w:firstLineChars="200"/>
        <w:jc w:val="center"/>
        <w:rPr>
          <w:rFonts w:ascii="方正仿宋_GBK" w:eastAsia="方正仿宋_GBK"/>
          <w:spacing w:val="-2"/>
          <w:sz w:val="32"/>
          <w:szCs w:val="32"/>
        </w:rPr>
      </w:pPr>
    </w:p>
    <w:p>
      <w:pPr>
        <w:pStyle w:val="2"/>
        <w:spacing w:before="61" w:line="374" w:lineRule="auto"/>
        <w:ind w:left="0" w:right="664"/>
        <w:jc w:val="center"/>
        <w:rPr>
          <w:rFonts w:ascii="方正小标宋_GBK" w:eastAsia="方正小标宋_GBK"/>
          <w:sz w:val="42"/>
        </w:rPr>
      </w:pPr>
      <w:r>
        <w:rPr>
          <w:rFonts w:hint="eastAsia" w:ascii="方正小标宋_GBK" w:eastAsia="方正小标宋_GBK"/>
          <w:color w:val="2E2E2E"/>
          <w:sz w:val="36"/>
          <w:szCs w:val="36"/>
        </w:rPr>
        <w:t xml:space="preserve">  （市场监督管理部门将依法向社会公开行政处罚决定信息）</w:t>
      </w:r>
    </w:p>
    <w:sectPr>
      <w:pgSz w:w="11910" w:h="16840"/>
      <w:pgMar w:top="780" w:right="380" w:bottom="280" w:left="3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PMingLiU">
    <w:altName w:val="Droid Sans Fallback"/>
    <w:panose1 w:val="02020500000000000000"/>
    <w:charset w:val="88"/>
    <w:family w:val="roman"/>
    <w:pitch w:val="default"/>
    <w:sig w:usb0="00000000" w:usb1="00000000" w:usb2="00000016" w:usb3="00000000" w:csb0="0010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FE6732"/>
    <w:rsid w:val="00032501"/>
    <w:rsid w:val="000B0E03"/>
    <w:rsid w:val="000B1BB2"/>
    <w:rsid w:val="00147F62"/>
    <w:rsid w:val="00162D8F"/>
    <w:rsid w:val="002F338B"/>
    <w:rsid w:val="00335557"/>
    <w:rsid w:val="003409D2"/>
    <w:rsid w:val="0035242C"/>
    <w:rsid w:val="003F568D"/>
    <w:rsid w:val="004547D3"/>
    <w:rsid w:val="004D1F10"/>
    <w:rsid w:val="005C586C"/>
    <w:rsid w:val="005D2D82"/>
    <w:rsid w:val="0071058C"/>
    <w:rsid w:val="00724B99"/>
    <w:rsid w:val="00793E8B"/>
    <w:rsid w:val="008123BA"/>
    <w:rsid w:val="008B17D4"/>
    <w:rsid w:val="00A813D6"/>
    <w:rsid w:val="00AD7235"/>
    <w:rsid w:val="00B87EE1"/>
    <w:rsid w:val="00B9427A"/>
    <w:rsid w:val="00C576C2"/>
    <w:rsid w:val="00CD7258"/>
    <w:rsid w:val="00DE4D61"/>
    <w:rsid w:val="00E835BC"/>
    <w:rsid w:val="00EB151D"/>
    <w:rsid w:val="00EB5678"/>
    <w:rsid w:val="00FD76BE"/>
    <w:rsid w:val="00FE6732"/>
    <w:rsid w:val="F7670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1"/>
      <w:ind w:left="619"/>
    </w:pPr>
    <w:rPr>
      <w:sz w:val="30"/>
      <w:szCs w:val="30"/>
    </w:rPr>
  </w:style>
  <w:style w:type="paragraph" w:styleId="3">
    <w:name w:val="footer"/>
    <w:basedOn w:val="1"/>
    <w:link w:val="12"/>
    <w:semiHidden/>
    <w:unhideWhenUsed/>
    <w:qFormat/>
    <w:uiPriority w:val="99"/>
    <w:pPr>
      <w:tabs>
        <w:tab w:val="center" w:pos="4153"/>
        <w:tab w:val="right" w:pos="8306"/>
      </w:tabs>
      <w:snapToGrid w:val="0"/>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qFormat/>
    <w:uiPriority w:val="1"/>
    <w:pPr>
      <w:spacing w:before="87"/>
      <w:ind w:left="3897" w:right="1965" w:hanging="1920"/>
    </w:pPr>
    <w:rPr>
      <w:rFonts w:ascii="PMingLiU" w:hAnsi="PMingLiU" w:eastAsia="PMingLiU" w:cs="PMingLiU"/>
      <w:sz w:val="48"/>
      <w:szCs w:val="4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Char"/>
    <w:basedOn w:val="7"/>
    <w:link w:val="4"/>
    <w:semiHidden/>
    <w:uiPriority w:val="99"/>
    <w:rPr>
      <w:rFonts w:ascii="宋体" w:hAnsi="宋体" w:eastAsia="宋体" w:cs="宋体"/>
      <w:sz w:val="18"/>
      <w:szCs w:val="18"/>
      <w:lang w:eastAsia="zh-CN"/>
    </w:rPr>
  </w:style>
  <w:style w:type="character" w:customStyle="1" w:styleId="12">
    <w:name w:val="页脚 Char"/>
    <w:basedOn w:val="7"/>
    <w:link w:val="3"/>
    <w:semiHidden/>
    <w:qFormat/>
    <w:uiPriority w:val="99"/>
    <w:rPr>
      <w:rFonts w:ascii="宋体" w:hAnsi="宋体" w:eastAsia="宋体" w:cs="宋体"/>
      <w:sz w:val="18"/>
      <w:szCs w:val="18"/>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452</Words>
  <Characters>2581</Characters>
  <Lines>21</Lines>
  <Paragraphs>6</Paragraphs>
  <TotalTime>121</TotalTime>
  <ScaleCrop>false</ScaleCrop>
  <LinksUpToDate>false</LinksUpToDate>
  <CharactersWithSpaces>3027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2024-07-02T11:48:00Z</dcterms:created>
  <dc:creator>user</dc:creator>
  <cp:lastModifiedBy>user</cp:lastModifiedBy>
  <dcterms:modified xsi:type="dcterms:W3CDTF">2024-07-03T15:35:56Z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2024-06-11T00:00:00Z</vt:filetime>
  </property>
  <property fmtid="{D5CDD505-2E9C-101B-9397-08002B2CF9AE}" pid="3" name="Creator">
    <vt:lpwstr>suwell-pdf2ofd</vt:lpwstr>
  </property>
  <property fmtid="{D5CDD505-2E9C-101B-9397-08002B2CF9AE}" pid="4" name="LastSaved">
    <vt:filetime>2024-07-02T00:00:00Z</vt:filetime>
  </property>
  <property fmtid="{D5CDD505-2E9C-101B-9397-08002B2CF9AE}" pid="5" name="Producer">
    <vt:lpwstr>suwell pdf creator</vt:lpwstr>
  </property>
  <property fmtid="{D5CDD505-2E9C-101B-9397-08002B2CF9AE}" pid="6" name="KSOProductBuildVer">
    <vt:lpwstr>2052-11.8.2.10125</vt:lpwstr>
  </property>
</Properties>
</file>