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957A">
      <w:pPr>
        <w:pStyle w:val="2"/>
        <w:spacing w:before="9"/>
        <w:ind w:left="0"/>
        <w:rPr>
          <w:rFonts w:ascii="Times New Roman"/>
          <w:sz w:val="20"/>
        </w:rPr>
      </w:pPr>
      <w:bookmarkStart w:id="0" w:name="_GoBack"/>
      <w:bookmarkEnd w:id="0"/>
    </w:p>
    <w:p w14:paraId="46B19EEF">
      <w:pPr>
        <w:pStyle w:val="5"/>
        <w:spacing w:before="0" w:beforeAutospacing="0" w:after="0" w:afterAutospacing="0" w:line="440" w:lineRule="atLeast"/>
        <w:jc w:val="center"/>
        <w:textAlignment w:val="baseline"/>
        <w:rPr>
          <w:rFonts w:ascii="微软雅黑" w:hAnsi="微软雅黑" w:eastAsia="微软雅黑"/>
          <w:color w:val="000000"/>
          <w:sz w:val="23"/>
          <w:szCs w:val="23"/>
        </w:rPr>
      </w:pPr>
      <w:r>
        <w:rPr>
          <w:rFonts w:hint="eastAsia" w:ascii="方正小标宋_GBK" w:hAnsi="微软雅黑" w:eastAsia="方正小标宋_GBK"/>
          <w:b/>
          <w:bCs/>
          <w:color w:val="000000"/>
          <w:sz w:val="44"/>
          <w:szCs w:val="44"/>
        </w:rPr>
        <w:t>石柱土家族自治县市场监督管理局</w:t>
      </w:r>
    </w:p>
    <w:p w14:paraId="5D5945E5">
      <w:pPr>
        <w:pStyle w:val="5"/>
        <w:spacing w:before="0" w:beforeAutospacing="0" w:after="0" w:afterAutospacing="0" w:line="440" w:lineRule="atLeast"/>
        <w:jc w:val="center"/>
        <w:textAlignment w:val="baseline"/>
        <w:rPr>
          <w:rFonts w:hint="eastAsia" w:ascii="微软雅黑" w:hAnsi="微软雅黑" w:eastAsia="微软雅黑"/>
          <w:color w:val="000000"/>
          <w:sz w:val="23"/>
          <w:szCs w:val="23"/>
        </w:rPr>
      </w:pPr>
      <w:r>
        <w:rPr>
          <w:rFonts w:hint="eastAsia" w:ascii="方正小标宋_GBK" w:hAnsi="微软雅黑" w:eastAsia="方正小标宋_GBK"/>
          <w:b/>
          <w:bCs/>
          <w:color w:val="000000"/>
          <w:sz w:val="44"/>
          <w:szCs w:val="44"/>
        </w:rPr>
        <w:t>行政处罚决定书</w:t>
      </w:r>
    </w:p>
    <w:p w14:paraId="1688A355">
      <w:pPr>
        <w:pStyle w:val="2"/>
        <w:spacing w:before="168" w:line="384" w:lineRule="auto"/>
        <w:ind w:left="972" w:right="3751" w:firstLine="2478"/>
      </w:pPr>
      <w:r>
        <w:t>渝石柱市监处罚〔2024〕16号</w:t>
      </w:r>
      <w:r>
        <w:rPr>
          <w:spacing w:val="-2"/>
        </w:rPr>
        <w:t>当事人：石柱土家族自治县</w:t>
      </w:r>
      <w:r>
        <w:rPr>
          <w:rFonts w:hint="eastAsia"/>
          <w:color w:val="000000"/>
          <w:spacing w:val="-2"/>
        </w:rPr>
        <w:t>**</w:t>
      </w:r>
      <w:r>
        <w:rPr>
          <w:color w:val="000000"/>
          <w:spacing w:val="-2"/>
        </w:rPr>
        <w:t>副食经营部</w:t>
      </w:r>
    </w:p>
    <w:p w14:paraId="15AFEE65">
      <w:pPr>
        <w:pStyle w:val="2"/>
        <w:spacing w:before="0" w:line="369" w:lineRule="exact"/>
        <w:ind w:left="972"/>
      </w:pPr>
      <w:r>
        <w:rPr>
          <w:spacing w:val="-1"/>
        </w:rPr>
        <w:t>主体资格证照名称：营业执照</w:t>
      </w:r>
    </w:p>
    <w:p w14:paraId="467231E4">
      <w:pPr>
        <w:pStyle w:val="2"/>
        <w:spacing w:before="215"/>
        <w:ind w:left="972"/>
      </w:pPr>
      <w:r>
        <w:rPr>
          <w:w w:val="95"/>
        </w:rPr>
        <w:t>统一社会信用代码</w:t>
      </w:r>
      <w:r>
        <w:rPr>
          <w:spacing w:val="-2"/>
          <w:w w:val="95"/>
        </w:rPr>
        <w:t>：92500240MA</w:t>
      </w:r>
      <w:r>
        <w:rPr>
          <w:rFonts w:hint="eastAsia"/>
          <w:color w:val="000000"/>
          <w:spacing w:val="-2"/>
        </w:rPr>
        <w:t>****</w:t>
      </w:r>
    </w:p>
    <w:p w14:paraId="25BC795B">
      <w:pPr>
        <w:pStyle w:val="2"/>
        <w:spacing w:before="216" w:line="374" w:lineRule="auto"/>
        <w:ind w:left="972" w:right="1802"/>
      </w:pPr>
      <w:r>
        <w:rPr>
          <w:spacing w:val="-12"/>
        </w:rPr>
        <w:t>住 所</w:t>
      </w:r>
      <w:r>
        <w:t>（</w:t>
      </w:r>
      <w:r>
        <w:rPr>
          <w:spacing w:val="-11"/>
        </w:rPr>
        <w:t>住 址</w:t>
      </w:r>
      <w:r>
        <w:t>）：重庆市石柱土家族自治县中益乡</w:t>
      </w:r>
      <w:r>
        <w:rPr>
          <w:rFonts w:hint="eastAsia"/>
          <w:color w:val="000000"/>
          <w:spacing w:val="-2"/>
        </w:rPr>
        <w:t>***********</w:t>
      </w:r>
      <w:r>
        <w:rPr>
          <w:color w:val="000000"/>
          <w:spacing w:val="-2"/>
        </w:rPr>
        <w:t>法定代表人（负责人、经营者）：陈</w:t>
      </w:r>
      <w:r>
        <w:rPr>
          <w:rFonts w:hint="eastAsia"/>
          <w:color w:val="000000"/>
          <w:spacing w:val="-2"/>
        </w:rPr>
        <w:t>**</w:t>
      </w:r>
    </w:p>
    <w:p w14:paraId="31098369">
      <w:pPr>
        <w:pStyle w:val="2"/>
        <w:ind w:left="972"/>
      </w:pPr>
      <w:r>
        <w:rPr>
          <w:spacing w:val="-1"/>
        </w:rPr>
        <w:t>身份证件号码：未填写</w:t>
      </w:r>
    </w:p>
    <w:p w14:paraId="73CB6644">
      <w:pPr>
        <w:pStyle w:val="2"/>
        <w:spacing w:before="245" w:line="360" w:lineRule="auto"/>
        <w:ind w:left="618" w:right="771" w:firstLine="594" w:firstLineChars="200"/>
        <w:jc w:val="both"/>
      </w:pPr>
      <w:r>
        <w:rPr>
          <w:w w:val="99"/>
        </w:rPr>
        <w:t>本案来源于监督抽检。2</w:t>
      </w:r>
      <w:r>
        <w:rPr>
          <w:spacing w:val="-1"/>
          <w:w w:val="97"/>
        </w:rPr>
        <w:t>0</w:t>
      </w:r>
      <w:r>
        <w:rPr>
          <w:w w:val="97"/>
        </w:rPr>
        <w:t>2</w:t>
      </w:r>
      <w:r>
        <w:rPr>
          <w:spacing w:val="-1"/>
        </w:rPr>
        <w:t>3</w:t>
      </w:r>
      <w:r>
        <w:rPr>
          <w:w w:val="109"/>
        </w:rPr>
        <w:t>年1</w:t>
      </w:r>
      <w:r>
        <w:rPr>
          <w:spacing w:val="-1"/>
          <w:w w:val="106"/>
        </w:rPr>
        <w:t>0月</w:t>
      </w:r>
      <w:r>
        <w:rPr>
          <w:w w:val="106"/>
        </w:rPr>
        <w:t>1</w:t>
      </w:r>
      <w:r>
        <w:rPr>
          <w:w w:val="128"/>
        </w:rPr>
        <w:t>1</w:t>
      </w:r>
      <w:r>
        <w:t>日，重庆市市场监督管理局在食品安</w:t>
      </w:r>
      <w:r>
        <w:rPr>
          <w:w w:val="99"/>
        </w:rPr>
        <w:t>全抽检中对当事人经营的番茄开展监督抽检。2</w:t>
      </w:r>
      <w:r>
        <w:rPr>
          <w:w w:val="96"/>
        </w:rPr>
        <w:t>0</w:t>
      </w:r>
      <w:r>
        <w:rPr>
          <w:w w:val="98"/>
        </w:rPr>
        <w:t>2</w:t>
      </w:r>
      <w:r>
        <w:t>3</w:t>
      </w:r>
      <w:r>
        <w:rPr>
          <w:w w:val="109"/>
        </w:rPr>
        <w:t>年1</w:t>
      </w:r>
      <w:r>
        <w:rPr>
          <w:w w:val="128"/>
        </w:rPr>
        <w:t>1</w:t>
      </w:r>
      <w:r>
        <w:rPr>
          <w:w w:val="99"/>
        </w:rPr>
        <w:t>月2</w:t>
      </w:r>
      <w:r>
        <w:t>日，检验机构 “重庆市涪陵食品药品检验所”完成检验并出具《检验报告》（</w:t>
      </w:r>
      <w:r>
        <w:rPr>
          <w:w w:val="102"/>
        </w:rPr>
        <w:t>N</w:t>
      </w:r>
      <w:r>
        <w:rPr>
          <w:w w:val="96"/>
        </w:rPr>
        <w:t xml:space="preserve">o </w:t>
      </w:r>
      <w:r>
        <w:rPr>
          <w:spacing w:val="-1"/>
        </w:rPr>
        <w:t>D2</w:t>
      </w:r>
      <w:r>
        <w:t>3</w:t>
      </w:r>
      <w:r>
        <w:rPr>
          <w:w w:val="98"/>
        </w:rPr>
        <w:t>SC0</w:t>
      </w:r>
      <w:r>
        <w:rPr>
          <w:spacing w:val="-1"/>
          <w:w w:val="96"/>
        </w:rPr>
        <w:t>9</w:t>
      </w:r>
      <w:r>
        <w:rPr>
          <w:w w:val="96"/>
        </w:rPr>
        <w:t>2</w:t>
      </w:r>
      <w:r>
        <w:rPr>
          <w:spacing w:val="-1"/>
        </w:rPr>
        <w:t>58），检验结论为：经抽样检验，镉（以C</w:t>
      </w:r>
      <w:r>
        <w:t xml:space="preserve">d计）项目不符合GB </w:t>
      </w:r>
      <w:r>
        <w:rPr>
          <w:spacing w:val="-1"/>
        </w:rPr>
        <w:t>2</w:t>
      </w:r>
      <w:r>
        <w:t>7</w:t>
      </w:r>
      <w:r>
        <w:rPr>
          <w:w w:val="96"/>
        </w:rPr>
        <w:t>6</w:t>
      </w:r>
      <w:r>
        <w:rPr>
          <w:w w:val="98"/>
        </w:rPr>
        <w:t>2</w:t>
      </w:r>
      <w:r>
        <w:rPr>
          <w:spacing w:val="-1"/>
          <w:w w:val="113"/>
        </w:rPr>
        <w:t>-</w:t>
      </w:r>
      <w:r>
        <w:rPr>
          <w:w w:val="113"/>
        </w:rPr>
        <w:t>2</w:t>
      </w:r>
      <w:r>
        <w:rPr>
          <w:w w:val="96"/>
        </w:rPr>
        <w:t>0</w:t>
      </w:r>
      <w:r>
        <w:rPr>
          <w:w w:val="98"/>
        </w:rPr>
        <w:t>22</w:t>
      </w:r>
      <w:r>
        <w:rPr>
          <w:spacing w:val="-3"/>
        </w:rPr>
        <w:t>《食品国家安全标准 食品中污染物 限量》要求，检验结论为不</w:t>
      </w:r>
      <w:r>
        <w:rPr>
          <w:spacing w:val="-3"/>
          <w:w w:val="99"/>
        </w:rPr>
        <w:t>合格。2</w:t>
      </w:r>
      <w:r>
        <w:rPr>
          <w:spacing w:val="-1"/>
          <w:w w:val="107"/>
        </w:rPr>
        <w:t>023年1</w:t>
      </w:r>
      <w:r>
        <w:rPr>
          <w:w w:val="107"/>
        </w:rPr>
        <w:t>1</w:t>
      </w:r>
      <w:r>
        <w:rPr>
          <w:w w:val="101"/>
        </w:rPr>
        <w:t>月8</w:t>
      </w:r>
      <w:r>
        <w:t>日我局前往当事人经营的“石柱土家族自治县</w:t>
      </w:r>
      <w:r>
        <w:rPr>
          <w:rFonts w:hint="eastAsia"/>
          <w:color w:val="000000"/>
          <w:spacing w:val="-2"/>
        </w:rPr>
        <w:t>**</w:t>
      </w:r>
      <w:r>
        <w:rPr>
          <w:color w:val="000000"/>
        </w:rPr>
        <w:t>副食经营部”送达检验报告和抽样检验结果通知书，告知其可在</w:t>
      </w:r>
      <w:r>
        <w:rPr>
          <w:color w:val="000000"/>
          <w:w w:val="101"/>
        </w:rPr>
        <w:t>7</w:t>
      </w:r>
      <w:r>
        <w:rPr>
          <w:color w:val="000000"/>
          <w:spacing w:val="-4"/>
        </w:rPr>
        <w:t>个工作日内</w:t>
      </w:r>
      <w:r>
        <w:rPr>
          <w:color w:val="000000"/>
        </w:rPr>
        <w:t>申请复检和复检途径，当事人对检验结果未提出异议，未申请复检。</w:t>
      </w:r>
    </w:p>
    <w:p w14:paraId="1B03008F">
      <w:pPr>
        <w:pStyle w:val="2"/>
        <w:spacing w:before="63" w:line="360" w:lineRule="auto"/>
        <w:ind w:right="689" w:firstLine="534"/>
        <w:jc w:val="both"/>
      </w:pPr>
      <w:r>
        <w:rPr>
          <w:spacing w:val="-1"/>
        </w:rPr>
        <w:t>经查，经查：当事人系副食经营部经营者，取得了《营业执照》及《食</w:t>
      </w:r>
      <w:r>
        <w:rPr>
          <w:w w:val="101"/>
        </w:rPr>
        <w:t>品经营许可证》，有从业人员1</w:t>
      </w:r>
      <w:r>
        <w:t>名，经营面积约3</w:t>
      </w:r>
      <w:r>
        <w:rPr>
          <w:w w:val="96"/>
        </w:rPr>
        <w:t>0</w:t>
      </w:r>
      <w:r>
        <w:rPr>
          <w:w w:val="99"/>
        </w:rPr>
        <w:t>平方米，年营业额2</w:t>
      </w:r>
      <w:r>
        <w:t>万元左右。</w:t>
      </w:r>
    </w:p>
    <w:p w14:paraId="73F07C4E">
      <w:pPr>
        <w:pStyle w:val="2"/>
        <w:spacing w:line="360" w:lineRule="auto"/>
        <w:ind w:right="1041" w:firstLine="592" w:firstLineChars="200"/>
        <w:jc w:val="both"/>
      </w:pPr>
      <w:r>
        <w:rPr>
          <w:spacing w:val="-2"/>
        </w:rPr>
        <w:t>当事人于2023年10月7日从石柱土家族自治县中坝农贸市场徐兴平的“兴</w:t>
      </w:r>
      <w:r>
        <w:rPr>
          <w:w w:val="95"/>
        </w:rPr>
        <w:t>平鲜菜批发零售部”处（另案处理）购进番茄</w:t>
      </w:r>
      <w:r>
        <w:rPr>
          <w:w w:val="97"/>
        </w:rPr>
        <w:t>2</w:t>
      </w:r>
      <w:r>
        <w:rPr>
          <w:w w:val="126"/>
        </w:rPr>
        <w:t>1</w:t>
      </w:r>
      <w:r>
        <w:rPr>
          <w:w w:val="57"/>
        </w:rPr>
        <w:t>.</w:t>
      </w:r>
      <w:r>
        <w:rPr>
          <w:w w:val="101"/>
        </w:rPr>
        <w:t>8</w:t>
      </w:r>
      <w:r>
        <w:rPr>
          <w:spacing w:val="-1"/>
          <w:w w:val="92"/>
        </w:rPr>
        <w:t>k</w:t>
      </w:r>
      <w:r>
        <w:rPr>
          <w:w w:val="92"/>
        </w:rPr>
        <w:t>g</w:t>
      </w:r>
      <w:r>
        <w:t>，</w:t>
      </w:r>
      <w:r>
        <w:rPr>
          <w:w w:val="95"/>
        </w:rPr>
        <w:t>购进单价为1.6</w:t>
      </w:r>
      <w:r>
        <w:rPr>
          <w:spacing w:val="-5"/>
          <w:w w:val="95"/>
        </w:rPr>
        <w:t>元/</w:t>
      </w:r>
    </w:p>
    <w:p w14:paraId="3B1401BD">
      <w:pPr>
        <w:spacing w:line="360" w:lineRule="auto"/>
        <w:ind w:firstLine="440" w:firstLineChars="200"/>
        <w:jc w:val="both"/>
        <w:sectPr>
          <w:type w:val="continuous"/>
          <w:pgSz w:w="11910" w:h="16840"/>
          <w:pgMar w:top="1940" w:right="380" w:bottom="280" w:left="380" w:header="720" w:footer="720" w:gutter="0"/>
          <w:cols w:space="720" w:num="1"/>
        </w:sectPr>
      </w:pPr>
    </w:p>
    <w:p w14:paraId="6ADBA3F0">
      <w:pPr>
        <w:pStyle w:val="2"/>
        <w:spacing w:before="52" w:line="360" w:lineRule="auto"/>
        <w:ind w:right="1005"/>
        <w:jc w:val="both"/>
      </w:pPr>
      <w:r>
        <w:t>斤，进货单显示涉案番茄购进总价为</w:t>
      </w:r>
      <w:r>
        <w:rPr>
          <w:spacing w:val="-1"/>
          <w:w w:val="99"/>
        </w:rPr>
        <w:t>70</w:t>
      </w:r>
      <w:r>
        <w:t>元。随后，当事人以</w:t>
      </w:r>
      <w:r>
        <w:rPr>
          <w:w w:val="101"/>
        </w:rPr>
        <w:t>7</w:t>
      </w:r>
      <w:r>
        <w:rPr>
          <w:w w:val="86"/>
        </w:rPr>
        <w:t>元/k</w:t>
      </w:r>
      <w:r>
        <w:rPr>
          <w:w w:val="101"/>
        </w:rPr>
        <w:t>g</w:t>
      </w:r>
      <w:r>
        <w:rPr>
          <w:spacing w:val="-6"/>
        </w:rPr>
        <w:t>的价格</w:t>
      </w:r>
      <w:r>
        <w:t>对该批番茄进行销售。</w:t>
      </w:r>
    </w:p>
    <w:p w14:paraId="4C48A413">
      <w:pPr>
        <w:pStyle w:val="2"/>
        <w:spacing w:line="360" w:lineRule="auto"/>
        <w:ind w:left="618" w:firstLine="600" w:firstLineChars="200"/>
        <w:jc w:val="both"/>
      </w:pPr>
      <w:r>
        <w:t>2023年10月11</w:t>
      </w:r>
      <w:r>
        <w:rPr>
          <w:spacing w:val="-1"/>
        </w:rPr>
        <w:t>日，重庆市市场监督管理局对当事人监督抽样，抽样基数</w:t>
      </w:r>
    </w:p>
    <w:p w14:paraId="4FD97289">
      <w:pPr>
        <w:pStyle w:val="2"/>
        <w:spacing w:before="216" w:line="360" w:lineRule="auto"/>
        <w:ind w:left="618" w:right="624"/>
        <w:jc w:val="both"/>
      </w:pPr>
      <w:r>
        <w:rPr>
          <w:spacing w:val="-2"/>
        </w:rPr>
        <w:t>5kg，抽样数量3kg，抽样费用21元。2023年11月2日，检验机构“重庆市</w:t>
      </w:r>
      <w:r>
        <w:rPr>
          <w:spacing w:val="80"/>
          <w:w w:val="150"/>
        </w:rPr>
        <w:t xml:space="preserve"> </w:t>
      </w:r>
      <w:r>
        <w:rPr>
          <w:spacing w:val="-2"/>
        </w:rPr>
        <w:t>涪陵食品药品检验所”完成检验并出具《检验报告》（No</w:t>
      </w:r>
      <w:r>
        <w:rPr>
          <w:spacing w:val="80"/>
        </w:rPr>
        <w:t xml:space="preserve">  </w:t>
      </w:r>
      <w:r>
        <w:rPr>
          <w:spacing w:val="-2"/>
        </w:rPr>
        <w:t xml:space="preserve">D23SC09258），检验结论为：经抽样检验，镉（以Cd计）项目不符合GB </w:t>
      </w:r>
      <w:r>
        <w:t>2762-2022《食品国家安全标准 食品中污染物 限量》要求，检验结论为不</w:t>
      </w:r>
      <w:r>
        <w:rPr>
          <w:spacing w:val="-2"/>
        </w:rPr>
        <w:t>合格。2023年11月8日我局前往当事人经营的“石柱土家族自治县</w:t>
      </w:r>
      <w:r>
        <w:rPr>
          <w:rFonts w:hint="eastAsia"/>
          <w:color w:val="000000"/>
          <w:spacing w:val="-2"/>
        </w:rPr>
        <w:t>**</w:t>
      </w:r>
      <w:r>
        <w:rPr>
          <w:color w:val="000000"/>
          <w:spacing w:val="-2"/>
        </w:rPr>
        <w:t>副食经营部”送达检验报告和抽样检验结果通知书并开展现场检查，现场检查时涉案同批次番茄已全部销售或处理完毕。</w:t>
      </w:r>
    </w:p>
    <w:p w14:paraId="3648E672">
      <w:pPr>
        <w:pStyle w:val="2"/>
        <w:spacing w:before="2" w:line="360" w:lineRule="auto"/>
        <w:ind w:left="618" w:right="624" w:firstLine="592" w:firstLineChars="200"/>
        <w:jc w:val="both"/>
      </w:pPr>
      <w:r>
        <w:rPr>
          <w:spacing w:val="-2"/>
        </w:rPr>
        <w:t>当事人购进涉案番茄，未查验供货者的相关资质和产品合格证明文件，未建立食品进货查验记录制度，未尽到进货查验义务。</w:t>
      </w:r>
    </w:p>
    <w:p w14:paraId="18906D82">
      <w:pPr>
        <w:pStyle w:val="2"/>
        <w:spacing w:line="360" w:lineRule="auto"/>
        <w:ind w:left="618" w:right="794" w:firstLine="592" w:firstLineChars="200"/>
        <w:jc w:val="both"/>
      </w:pPr>
      <w:r>
        <w:rPr>
          <w:spacing w:val="-2"/>
        </w:rPr>
        <w:t>现已查明：该批番茄购进单价为3.2元/kg，购进数量</w:t>
      </w:r>
      <w:r>
        <w:rPr>
          <w:spacing w:val="-2"/>
          <w:w w:val="102"/>
        </w:rPr>
        <w:t>2</w:t>
      </w:r>
      <w:r>
        <w:rPr>
          <w:spacing w:val="-2"/>
          <w:w w:val="131"/>
        </w:rPr>
        <w:t>1</w:t>
      </w:r>
      <w:r>
        <w:rPr>
          <w:spacing w:val="-2"/>
          <w:w w:val="62"/>
        </w:rPr>
        <w:t>.</w:t>
      </w:r>
      <w:r>
        <w:rPr>
          <w:spacing w:val="-2"/>
          <w:w w:val="106"/>
        </w:rPr>
        <w:t>8</w:t>
      </w:r>
      <w:r>
        <w:rPr>
          <w:spacing w:val="-3"/>
          <w:w w:val="97"/>
        </w:rPr>
        <w:t>k</w:t>
      </w:r>
      <w:r>
        <w:rPr>
          <w:spacing w:val="-2"/>
          <w:w w:val="97"/>
        </w:rPr>
        <w:t>g</w:t>
      </w:r>
      <w:r>
        <w:rPr>
          <w:spacing w:val="-2"/>
          <w:w w:val="103"/>
        </w:rPr>
        <w:t>，</w:t>
      </w:r>
      <w:r>
        <w:rPr>
          <w:spacing w:val="-2"/>
        </w:rPr>
        <w:t>购进金额共 计70元（以进货单据为准）。该批番茄当事人在监督抽检中卖样3kg，售卖给其他顾客17kg，损耗1.8kg，销售价格为7元/kg。故本案当事人销售的 不符合食品安全标准的番茄为20kg，其货值金额为140元，利润为70元[计算方式：7元/kg×（3kg+17kg）-70元]，故违法所得为70元。</w:t>
      </w:r>
    </w:p>
    <w:p w14:paraId="5AD2C337">
      <w:pPr>
        <w:pStyle w:val="2"/>
        <w:spacing w:before="62" w:line="360" w:lineRule="auto"/>
        <w:ind w:right="5790" w:firstLine="534"/>
        <w:jc w:val="both"/>
      </w:pPr>
      <w:r>
        <w:rPr>
          <w:spacing w:val="-2"/>
        </w:rPr>
        <w:t>上述事实，主要有以下证据证明</w:t>
      </w:r>
    </w:p>
    <w:p w14:paraId="4AAE02AF">
      <w:pPr>
        <w:pStyle w:val="2"/>
        <w:spacing w:before="0" w:line="360" w:lineRule="auto"/>
        <w:ind w:left="618" w:firstLine="600" w:firstLineChars="200"/>
        <w:jc w:val="both"/>
      </w:pPr>
      <w:r>
        <w:t>第一组：当事人营业执照复印件1份、食品经营许可证1</w:t>
      </w:r>
      <w:r>
        <w:rPr>
          <w:spacing w:val="-2"/>
        </w:rPr>
        <w:t>份、经营者身份证</w:t>
      </w:r>
    </w:p>
    <w:p w14:paraId="361828EE">
      <w:pPr>
        <w:pStyle w:val="2"/>
        <w:spacing w:before="215" w:line="360" w:lineRule="auto"/>
        <w:jc w:val="both"/>
      </w:pPr>
      <w:r>
        <w:t>复印件1份</w:t>
      </w:r>
      <w:r>
        <w:rPr>
          <w:spacing w:val="-1"/>
        </w:rPr>
        <w:t>，证明当事人主体资格和身份。</w:t>
      </w:r>
    </w:p>
    <w:p w14:paraId="3E64B8C7">
      <w:pPr>
        <w:pStyle w:val="2"/>
        <w:snapToGrid w:val="0"/>
        <w:spacing w:before="216" w:line="360" w:lineRule="auto"/>
        <w:ind w:left="618" w:right="731" w:firstLine="592" w:firstLineChars="200"/>
        <w:contextualSpacing/>
        <w:jc w:val="both"/>
      </w:pPr>
      <w:r>
        <w:rPr>
          <w:spacing w:val="-2"/>
        </w:rPr>
        <w:t>第二组：现场笔录1份，《重庆市食品安全抽样检验结果通知书》、检验报告（No：D23SC09258）及食品安全抽样检验抽样单复印件（抽样编号 SBJ23500240653200185）各1份，证明当事人经营的番茄不符合食品安全标准的事实。</w:t>
      </w:r>
    </w:p>
    <w:p w14:paraId="394AFB9C">
      <w:pPr>
        <w:pStyle w:val="2"/>
        <w:snapToGrid w:val="0"/>
        <w:spacing w:before="216" w:line="360" w:lineRule="auto"/>
        <w:contextualSpacing/>
        <w:jc w:val="both"/>
      </w:pPr>
      <w:r>
        <w:t>第三组：食品安全抽样检验抽样单复印件1份（</w:t>
      </w:r>
      <w:r>
        <w:rPr>
          <w:spacing w:val="-3"/>
        </w:rPr>
        <w:t>抽样编号</w:t>
      </w:r>
      <w:r>
        <w:rPr>
          <w:spacing w:val="-1"/>
          <w:w w:val="98"/>
        </w:rPr>
        <w:t>S</w:t>
      </w:r>
      <w:r>
        <w:t>B</w:t>
      </w:r>
      <w:r>
        <w:rPr>
          <w:w w:val="92"/>
        </w:rPr>
        <w:t>J</w:t>
      </w:r>
      <w:r>
        <w:rPr>
          <w:spacing w:val="-1"/>
          <w:w w:val="98"/>
        </w:rPr>
        <w:t>23</w:t>
      </w:r>
      <w:r>
        <w:rPr>
          <w:w w:val="98"/>
        </w:rPr>
        <w:t>5</w:t>
      </w:r>
      <w:r>
        <w:rPr>
          <w:w w:val="96"/>
        </w:rPr>
        <w:t>00</w:t>
      </w:r>
      <w:r>
        <w:rPr>
          <w:spacing w:val="-1"/>
          <w:w w:val="101"/>
        </w:rPr>
        <w:t>24</w:t>
      </w:r>
      <w:r>
        <w:rPr>
          <w:w w:val="101"/>
        </w:rPr>
        <w:t>0</w:t>
      </w:r>
      <w:r>
        <w:rPr>
          <w:spacing w:val="-1"/>
          <w:w w:val="96"/>
        </w:rPr>
        <w:t>6</w:t>
      </w:r>
      <w:r>
        <w:rPr>
          <w:w w:val="96"/>
        </w:rPr>
        <w:t>5</w:t>
      </w:r>
      <w:r>
        <w:rPr>
          <w:spacing w:val="-1"/>
        </w:rPr>
        <w:t>3</w:t>
      </w:r>
      <w:r>
        <w:rPr>
          <w:spacing w:val="-1"/>
          <w:w w:val="97"/>
        </w:rPr>
        <w:t>2</w:t>
      </w:r>
      <w:r>
        <w:rPr>
          <w:w w:val="97"/>
        </w:rPr>
        <w:t>0</w:t>
      </w:r>
      <w:r>
        <w:rPr>
          <w:w w:val="96"/>
        </w:rPr>
        <w:t>0</w:t>
      </w:r>
      <w:r>
        <w:rPr>
          <w:w w:val="128"/>
        </w:rPr>
        <w:t>1</w:t>
      </w:r>
      <w:r>
        <w:rPr>
          <w:w w:val="103"/>
        </w:rPr>
        <w:t>8</w:t>
      </w:r>
      <w:r>
        <w:rPr>
          <w:spacing w:val="-1"/>
          <w:w w:val="106"/>
        </w:rPr>
        <w:t>5）</w:t>
      </w:r>
    </w:p>
    <w:p w14:paraId="7034C762">
      <w:pPr>
        <w:spacing w:line="360" w:lineRule="auto"/>
        <w:jc w:val="both"/>
        <w:sectPr>
          <w:pgSz w:w="11910" w:h="16840"/>
          <w:pgMar w:top="580" w:right="380" w:bottom="280" w:left="380" w:header="720" w:footer="720" w:gutter="0"/>
          <w:cols w:space="720" w:num="1"/>
        </w:sectPr>
      </w:pPr>
    </w:p>
    <w:p w14:paraId="67B6ECD9">
      <w:pPr>
        <w:pStyle w:val="2"/>
        <w:spacing w:before="42" w:line="360" w:lineRule="auto"/>
        <w:ind w:left="475" w:leftChars="216" w:right="1026"/>
        <w:jc w:val="both"/>
      </w:pPr>
      <w:r>
        <w:rPr>
          <w:w w:val="106"/>
        </w:rPr>
        <w:t>1</w:t>
      </w:r>
      <w:r>
        <w:t>份，询问调查</w:t>
      </w:r>
      <w:r>
        <w:rPr>
          <w:w w:val="99"/>
        </w:rPr>
        <w:t>笔录2</w:t>
      </w:r>
      <w:r>
        <w:rPr>
          <w:w w:val="101"/>
        </w:rPr>
        <w:t>份、微信聊天记录截图1</w:t>
      </w:r>
      <w:r>
        <w:t>份，证明当事人经营的番茄货值金额为1</w:t>
      </w:r>
      <w:r>
        <w:rPr>
          <w:spacing w:val="-1"/>
          <w:w w:val="102"/>
        </w:rPr>
        <w:t>4</w:t>
      </w:r>
      <w:r>
        <w:rPr>
          <w:w w:val="102"/>
        </w:rPr>
        <w:t>0</w:t>
      </w:r>
      <w:r>
        <w:t>元，违法所得为</w:t>
      </w:r>
      <w:r>
        <w:rPr>
          <w:w w:val="101"/>
        </w:rPr>
        <w:t>7</w:t>
      </w:r>
      <w:r>
        <w:rPr>
          <w:w w:val="96"/>
        </w:rPr>
        <w:t>0</w:t>
      </w:r>
      <w:r>
        <w:rPr>
          <w:spacing w:val="-4"/>
        </w:rPr>
        <w:t>元的事实。</w:t>
      </w:r>
    </w:p>
    <w:p w14:paraId="43C95C9A">
      <w:pPr>
        <w:pStyle w:val="2"/>
        <w:spacing w:line="360" w:lineRule="auto"/>
        <w:ind w:right="837"/>
        <w:jc w:val="both"/>
      </w:pPr>
      <w:r>
        <w:rPr>
          <w:spacing w:val="-2"/>
        </w:rPr>
        <w:t>第四组：现场笔录1份、询问调查笔录1份，证明当事人未履行进货查验义务的事实。</w:t>
      </w:r>
    </w:p>
    <w:p w14:paraId="5ECF41CD">
      <w:pPr>
        <w:pStyle w:val="2"/>
        <w:spacing w:line="360" w:lineRule="auto"/>
        <w:ind w:right="624"/>
      </w:pPr>
      <w:r>
        <w:rPr>
          <w:spacing w:val="-2"/>
        </w:rPr>
        <w:t>上述证据，符合法律、法规、规章等关于证据的要求，并经查证属实，由当事人、证人签名盖章认可。</w:t>
      </w:r>
    </w:p>
    <w:p w14:paraId="1CA2FBF0">
      <w:pPr>
        <w:pStyle w:val="2"/>
        <w:spacing w:before="61" w:line="360" w:lineRule="auto"/>
        <w:ind w:right="624"/>
      </w:pPr>
      <w:r>
        <w:rPr>
          <w:spacing w:val="-2"/>
        </w:rPr>
        <w:t>2024年1月25日，本局向当事人送达了《石柱土家族自治县市场监督管理</w:t>
      </w:r>
      <w:r>
        <w:rPr>
          <w:spacing w:val="80"/>
          <w:w w:val="150"/>
        </w:rPr>
        <w:t xml:space="preserve"> </w:t>
      </w:r>
      <w:r>
        <w:rPr>
          <w:spacing w:val="-2"/>
        </w:rPr>
        <w:t>局行政处罚告知书》（渝石柱市监罚告〔2024〕8号），依法告知其拟作出行政处罚的事实、理由、依据、处罚内容及享有的陈述、申辩的权利。在法定期限内，当事人未提出陈述和申辩意见。</w:t>
      </w:r>
    </w:p>
    <w:p w14:paraId="2F36FEAA">
      <w:pPr>
        <w:pStyle w:val="2"/>
        <w:spacing w:before="61" w:line="360" w:lineRule="auto"/>
        <w:ind w:right="624" w:firstLine="534"/>
      </w:pPr>
      <w:r>
        <w:rPr>
          <w:spacing w:val="-2"/>
        </w:rPr>
        <w:t>本局认为，食品经营者对其经营食品负有法定的责任和义务。本案当事人未查验供货者的许可证和合格证明文件，未建立食品进货查验记录制度的行为违反了《食用农产品市场销售质量安全监督管理办法》第二十六条第一款“销售者采购食用农产品，应当按照规定查验相关证明材料，不符合要求的，不得采购和销售”和第二款“销售者应当建立食用农产品进货查验记录制度，如实记录食用农产品名称、数量、进货日期以及供货者名称、地址、联系方式等内容，并保存相关凭证。记录和凭证保存期限不得少于6个月”的规定，构成未履行进货查验等义务的行为。同时，当事人经营不符合食品安全标准的食用农产品的行为违反了《食用农产品市场销售质量安全监督管理办法》第二十五条“禁止销售下列食用农产品”中第（二）项“致病性微生物、农药残留、兽药残留、生物毒素、重金属等污染物质以及其他危害人体健康的物质含量超过食品安全标准限量的”的规定，构成了该项所指的销售重金属超过食品安全标准限量的食用农产品的行为。</w:t>
      </w:r>
    </w:p>
    <w:p w14:paraId="73B45047">
      <w:pPr>
        <w:pStyle w:val="2"/>
        <w:spacing w:before="65" w:line="360" w:lineRule="auto"/>
        <w:ind w:left="618" w:firstLine="596" w:firstLineChars="200"/>
      </w:pPr>
      <w:r>
        <w:rPr>
          <w:spacing w:val="-1"/>
        </w:rPr>
        <w:t>根据案件情况本局对行使自由裁量权论述如下</w:t>
      </w:r>
    </w:p>
    <w:p w14:paraId="4DBB66A6">
      <w:pPr>
        <w:pStyle w:val="2"/>
        <w:spacing w:before="215" w:line="360" w:lineRule="auto"/>
        <w:ind w:firstLine="596" w:firstLineChars="200"/>
      </w:pPr>
      <w:r>
        <w:rPr>
          <w:spacing w:val="-1"/>
        </w:rPr>
        <w:t>一、本案具有法律、法规、地方政府规章、规范性文件规定的可以从轻或者</w:t>
      </w:r>
    </w:p>
    <w:p w14:paraId="225EF027">
      <w:pPr>
        <w:spacing w:line="360" w:lineRule="auto"/>
        <w:ind w:firstLine="440" w:firstLineChars="200"/>
        <w:sectPr>
          <w:pgSz w:w="11910" w:h="16840"/>
          <w:pgMar w:top="680" w:right="380" w:bottom="280" w:left="380" w:header="720" w:footer="720" w:gutter="0"/>
          <w:cols w:space="720" w:num="1"/>
        </w:sectPr>
      </w:pPr>
    </w:p>
    <w:p w14:paraId="0F5E4DE3">
      <w:pPr>
        <w:pStyle w:val="2"/>
        <w:spacing w:before="52" w:line="360" w:lineRule="auto"/>
      </w:pPr>
      <w:r>
        <w:rPr>
          <w:spacing w:val="-2"/>
        </w:rPr>
        <w:t>减轻情节有</w:t>
      </w:r>
    </w:p>
    <w:p w14:paraId="7CACD669">
      <w:pPr>
        <w:pStyle w:val="2"/>
        <w:spacing w:before="216" w:line="360" w:lineRule="auto"/>
        <w:ind w:left="618" w:right="624" w:firstLine="592" w:firstLineChars="200"/>
        <w:jc w:val="both"/>
      </w:pPr>
      <w:r>
        <w:rPr>
          <w:spacing w:val="-2"/>
        </w:rPr>
        <w:t>（一）本案中当事人及其父亲患有糖尿病，需长期服药，同时当事人家中还有2个孩子上学读书，家庭收入开支主要依靠当事人经营的副食店维持，以上情形导致当事人家庭经济困难。此情节符合《重庆市规范行政处罚裁量权办法》第十四条第（二）项“当事人有下列情形之一的，可以从轻或者减轻行政处罚：当事人因残疾或者重大疾病等原因生活确有困难的”的规定。</w:t>
      </w:r>
    </w:p>
    <w:p w14:paraId="0C2DB12A">
      <w:pPr>
        <w:pStyle w:val="2"/>
        <w:spacing w:before="2" w:line="360" w:lineRule="auto"/>
        <w:ind w:left="618" w:right="625" w:firstLine="592" w:firstLineChars="200"/>
        <w:jc w:val="both"/>
      </w:pPr>
      <w:r>
        <w:rPr>
          <w:spacing w:val="-2"/>
        </w:rPr>
        <w:t>（二）涉案财物或者违法所得较少。本案货值金额140元，违法所得70元</w:t>
      </w:r>
      <w:r>
        <w:rPr>
          <w:spacing w:val="80"/>
          <w:w w:val="150"/>
        </w:rPr>
        <w:t xml:space="preserve"> </w:t>
      </w:r>
      <w:r>
        <w:rPr>
          <w:spacing w:val="-2"/>
        </w:rPr>
        <w:t>属于涉案财物或者违法所得较少的情形。此情节符合《重庆市规范行政处罚裁量办法</w:t>
      </w:r>
      <w:r>
        <w:t>》（2023年版）第十四条“当事人有下列情形之一的，可以从轻</w:t>
      </w:r>
      <w:r>
        <w:rPr>
          <w:spacing w:val="-2"/>
        </w:rPr>
        <w:t>或者减轻行政处罚第（三）项：涉案财物或者违法所得较少”的规定。</w:t>
      </w:r>
    </w:p>
    <w:p w14:paraId="0FF97BDE">
      <w:pPr>
        <w:pStyle w:val="2"/>
        <w:spacing w:line="360" w:lineRule="auto"/>
        <w:ind w:right="624"/>
        <w:jc w:val="both"/>
      </w:pPr>
      <w:r>
        <w:rPr>
          <w:spacing w:val="-2"/>
        </w:rPr>
        <w:t>本案结合《重庆市市场监督管理行政处罚裁量基准》关于《中华人民共和国食品安全法》第一百二十四条第一款、第二款的裁量规定，还应考虑以下因</w:t>
      </w:r>
      <w:r>
        <w:rPr>
          <w:spacing w:val="-10"/>
        </w:rPr>
        <w:t>素</w:t>
      </w:r>
      <w:r>
        <w:rPr>
          <w:rFonts w:hint="eastAsia"/>
          <w:spacing w:val="-10"/>
        </w:rPr>
        <w:t>：</w:t>
      </w:r>
    </w:p>
    <w:p w14:paraId="7771B0A2">
      <w:pPr>
        <w:pStyle w:val="2"/>
        <w:spacing w:line="360" w:lineRule="auto"/>
        <w:rPr>
          <w:rFonts w:hint="eastAsia"/>
        </w:rPr>
      </w:pPr>
      <w:r>
        <w:rPr>
          <w:spacing w:val="-1"/>
        </w:rPr>
        <w:t>当事人涉案食品货值金额小且违法所得较少，其违法行为危害程度小</w:t>
      </w:r>
      <w:r>
        <w:rPr>
          <w:rFonts w:hint="eastAsia"/>
          <w:spacing w:val="-1"/>
        </w:rPr>
        <w:t>；</w:t>
      </w:r>
    </w:p>
    <w:p w14:paraId="2C4EE38C">
      <w:pPr>
        <w:pStyle w:val="2"/>
        <w:spacing w:before="216" w:line="360" w:lineRule="auto"/>
        <w:ind w:right="624"/>
      </w:pPr>
      <w:r>
        <w:rPr>
          <w:spacing w:val="-2"/>
        </w:rPr>
        <w:t>截至目前我局未发现食用涉案食品造成人体健康或人身、财产受到损失的情</w:t>
      </w:r>
      <w:r>
        <w:rPr>
          <w:spacing w:val="-10"/>
        </w:rPr>
        <w:t>形</w:t>
      </w:r>
      <w:r>
        <w:rPr>
          <w:rFonts w:hint="eastAsia"/>
          <w:spacing w:val="-10"/>
        </w:rPr>
        <w:t>；</w:t>
      </w:r>
    </w:p>
    <w:p w14:paraId="1DD340C5">
      <w:pPr>
        <w:pStyle w:val="2"/>
        <w:spacing w:line="360" w:lineRule="auto"/>
        <w:ind w:right="624"/>
      </w:pPr>
      <w:r>
        <w:rPr>
          <w:rFonts w:hint="eastAsia"/>
          <w:spacing w:val="-2"/>
          <w:lang w:eastAsia="zh-CN"/>
        </w:rPr>
        <w:t>截至目前</w:t>
      </w:r>
      <w:r>
        <w:rPr>
          <w:spacing w:val="-2"/>
        </w:rPr>
        <w:t>，我局未收到因当事人销售不符合食品安全标准的食用农产品产生的投诉举报，违法行为无社会影响</w:t>
      </w:r>
      <w:r>
        <w:rPr>
          <w:rFonts w:hint="eastAsia"/>
          <w:spacing w:val="-2"/>
        </w:rPr>
        <w:t>；</w:t>
      </w:r>
    </w:p>
    <w:p w14:paraId="6C73BB81">
      <w:pPr>
        <w:pStyle w:val="2"/>
        <w:spacing w:before="0" w:line="360" w:lineRule="auto"/>
      </w:pPr>
      <w:r>
        <w:rPr>
          <w:w w:val="95"/>
        </w:rPr>
        <w:t>当事人的违法行为持续时间5天，违法行为持续情况不足10日</w:t>
      </w:r>
      <w:r>
        <w:rPr>
          <w:spacing w:val="-10"/>
          <w:w w:val="95"/>
        </w:rPr>
        <w:t>。</w:t>
      </w:r>
    </w:p>
    <w:p w14:paraId="49356A1D">
      <w:pPr>
        <w:pStyle w:val="2"/>
        <w:spacing w:before="216" w:line="360" w:lineRule="auto"/>
        <w:ind w:right="624"/>
      </w:pPr>
      <w:r>
        <w:rPr>
          <w:spacing w:val="-2"/>
        </w:rPr>
        <w:t>同时，因本案当事人系个体工商户经营规模小。经营地址位于石柱县中益 乡，属于农村偏远乡镇经济发展落后。其场镇人口少人流量小，且多为留守老人和儿童，消费能力不高，经营较为困难。</w:t>
      </w:r>
    </w:p>
    <w:p w14:paraId="593FA81D">
      <w:pPr>
        <w:pStyle w:val="2"/>
        <w:spacing w:line="360" w:lineRule="auto"/>
        <w:ind w:left="618" w:right="624" w:firstLine="592" w:firstLineChars="200"/>
        <w:jc w:val="both"/>
      </w:pPr>
      <w:r>
        <w:rPr>
          <w:spacing w:val="-2"/>
        </w:rPr>
        <w:t>综上：本案经综合裁量，本局本着处罚与教育相结合的原则以及过罚相当原则，兼顾我县经济社会发展水平，从教育、扶持个体经济的目的出发，决定对当事人减轻处罚幅度罚款4000元。</w:t>
      </w:r>
    </w:p>
    <w:p w14:paraId="345AD084">
      <w:pPr>
        <w:pStyle w:val="2"/>
        <w:spacing w:before="61" w:line="360" w:lineRule="auto"/>
        <w:ind w:left="1152"/>
      </w:pPr>
      <w:r>
        <w:rPr>
          <w:spacing w:val="-1"/>
        </w:rPr>
        <w:t>综上，当事人上述行为违反了生产经营致病性微生物，农药残留、兽药</w:t>
      </w:r>
    </w:p>
    <w:p w14:paraId="0B8004FC">
      <w:pPr>
        <w:spacing w:line="360" w:lineRule="auto"/>
        <w:sectPr>
          <w:pgSz w:w="11910" w:h="16840"/>
          <w:pgMar w:top="580" w:right="380" w:bottom="280" w:left="380" w:header="720" w:footer="720" w:gutter="0"/>
          <w:cols w:space="720" w:num="1"/>
        </w:sectPr>
      </w:pPr>
    </w:p>
    <w:p w14:paraId="41762C2D">
      <w:pPr>
        <w:pStyle w:val="2"/>
        <w:spacing w:before="42" w:line="360" w:lineRule="auto"/>
        <w:ind w:right="624"/>
        <w:jc w:val="both"/>
      </w:pPr>
      <w:r>
        <w:rPr>
          <w:spacing w:val="-2"/>
        </w:rPr>
        <w:t>残留、生物毒素、重金属等污染物质以及其他危害人体健康的物质含量超过食品安全标准限量的食品、食品添加剂、食品相关产品的行为，依据《中华</w:t>
      </w:r>
      <w:r>
        <w:t>人民共和国食品安全法》第三十四条第二项 ，现责令当事人改正上述违法</w:t>
      </w:r>
      <w:r>
        <w:rPr>
          <w:spacing w:val="-2"/>
        </w:rPr>
        <w:t>行为，并决定处罚如下</w:t>
      </w:r>
    </w:p>
    <w:p w14:paraId="6B9B6CCA">
      <w:pPr>
        <w:pStyle w:val="10"/>
        <w:numPr>
          <w:ilvl w:val="0"/>
          <w:numId w:val="1"/>
        </w:numPr>
        <w:tabs>
          <w:tab w:val="left" w:pos="901"/>
        </w:tabs>
        <w:spacing w:line="360" w:lineRule="auto"/>
        <w:rPr>
          <w:sz w:val="30"/>
        </w:rPr>
      </w:pPr>
      <w:r>
        <w:rPr>
          <w:w w:val="95"/>
          <w:sz w:val="30"/>
        </w:rPr>
        <w:t>没收违法所得70</w:t>
      </w:r>
      <w:r>
        <w:rPr>
          <w:spacing w:val="-10"/>
          <w:w w:val="95"/>
          <w:sz w:val="30"/>
        </w:rPr>
        <w:t>元</w:t>
      </w:r>
    </w:p>
    <w:p w14:paraId="4A5114C6">
      <w:pPr>
        <w:pStyle w:val="10"/>
        <w:numPr>
          <w:ilvl w:val="0"/>
          <w:numId w:val="1"/>
        </w:numPr>
        <w:tabs>
          <w:tab w:val="left" w:pos="856"/>
        </w:tabs>
        <w:spacing w:before="215" w:line="360" w:lineRule="auto"/>
        <w:ind w:left="855" w:hanging="239"/>
        <w:rPr>
          <w:sz w:val="30"/>
        </w:rPr>
      </w:pPr>
      <w:r>
        <w:rPr>
          <w:w w:val="95"/>
          <w:sz w:val="30"/>
        </w:rPr>
        <w:t>罚款4000元</w:t>
      </w:r>
      <w:r>
        <w:rPr>
          <w:spacing w:val="-10"/>
          <w:w w:val="95"/>
          <w:sz w:val="30"/>
        </w:rPr>
        <w:t>。</w:t>
      </w:r>
    </w:p>
    <w:p w14:paraId="7320CC1F">
      <w:pPr>
        <w:pStyle w:val="2"/>
        <w:spacing w:before="276" w:line="360" w:lineRule="auto"/>
        <w:ind w:right="651" w:firstLine="534"/>
      </w:pPr>
      <w:r>
        <w:rPr>
          <w:spacing w:val="-2"/>
        </w:rPr>
        <w:t>当事人自收到本处罚决定书之日起15日内到重庆市农村商业银行股份有限公司石柱支行（户名：石柱土家族自治县财政局，账号 4501010120</w:t>
      </w:r>
      <w:r>
        <w:rPr>
          <w:rFonts w:hint="eastAsia"/>
          <w:color w:val="000000"/>
          <w:spacing w:val="-2"/>
        </w:rPr>
        <w:t>****</w:t>
      </w:r>
      <w:r>
        <w:rPr>
          <w:color w:val="000000"/>
          <w:spacing w:val="-2"/>
        </w:rPr>
        <w:t>）缴纳罚款，逾期不缴纳的每日可以按罚款数额</w:t>
      </w:r>
      <w:r>
        <w:rPr>
          <w:rFonts w:hint="eastAsia"/>
          <w:color w:val="000000"/>
          <w:spacing w:val="-2"/>
        </w:rPr>
        <w:t>的3%加处罚款。</w:t>
      </w:r>
    </w:p>
    <w:p w14:paraId="4F5985D8">
      <w:pPr>
        <w:pStyle w:val="2"/>
        <w:spacing w:before="276" w:line="360" w:lineRule="auto"/>
        <w:ind w:right="699" w:firstLine="534"/>
        <w:jc w:val="both"/>
      </w:pPr>
      <w:r>
        <w:drawing>
          <wp:anchor distT="0" distB="0" distL="0" distR="0" simplePos="0" relativeHeight="251659264" behindDoc="0" locked="0" layoutInCell="1" allowOverlap="1">
            <wp:simplePos x="0" y="0"/>
            <wp:positionH relativeFrom="page">
              <wp:posOffset>5416550</wp:posOffset>
            </wp:positionH>
            <wp:positionV relativeFrom="paragraph">
              <wp:posOffset>1098550</wp:posOffset>
            </wp:positionV>
            <wp:extent cx="1511935" cy="15119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1511998" cy="1512011"/>
                    </a:xfrm>
                    <a:prstGeom prst="rect">
                      <a:avLst/>
                    </a:prstGeom>
                  </pic:spPr>
                </pic:pic>
              </a:graphicData>
            </a:graphic>
          </wp:anchor>
        </w:drawing>
      </w:r>
      <w:r>
        <w:rPr>
          <w:spacing w:val="-2"/>
        </w:rPr>
        <w:t>当事人若对本处罚决定不服，可在接到处罚决定书之日起60日内向石柱土家族自治县人民政府申请复议，也可在6个月内直接向石柱土家族自治县人民法院提起诉讼。</w:t>
      </w:r>
    </w:p>
    <w:p w14:paraId="416F25D1">
      <w:pPr>
        <w:pStyle w:val="2"/>
        <w:spacing w:before="31"/>
        <w:ind w:left="5417"/>
      </w:pPr>
      <w:r>
        <w:rPr>
          <w:spacing w:val="-1"/>
        </w:rPr>
        <w:t>石柱土家族自治县市场监督管理局</w:t>
      </w:r>
    </w:p>
    <w:p w14:paraId="272ED3F1">
      <w:pPr>
        <w:pStyle w:val="2"/>
        <w:spacing w:before="215" w:line="374" w:lineRule="auto"/>
        <w:ind w:left="7995" w:right="1303" w:firstLine="455"/>
      </w:pPr>
      <w:r>
        <w:t xml:space="preserve">（ 印 章 </w:t>
      </w:r>
      <w:r>
        <w:rPr>
          <w:spacing w:val="-2"/>
        </w:rPr>
        <w:t>2024年2月1日</w:t>
      </w:r>
    </w:p>
    <w:p w14:paraId="2EF161D7">
      <w:pPr>
        <w:pStyle w:val="2"/>
        <w:spacing w:before="0"/>
        <w:ind w:left="0"/>
        <w:rPr>
          <w:sz w:val="34"/>
        </w:rPr>
      </w:pPr>
    </w:p>
    <w:p w14:paraId="7749D066">
      <w:pPr>
        <w:pStyle w:val="2"/>
        <w:spacing w:before="7"/>
        <w:ind w:left="0"/>
        <w:rPr>
          <w:sz w:val="38"/>
        </w:rPr>
      </w:pPr>
    </w:p>
    <w:p w14:paraId="712243DF">
      <w:pPr>
        <w:ind w:left="107"/>
        <w:rPr>
          <w:rFonts w:asciiTheme="minorEastAsia" w:hAnsiTheme="minorEastAsia" w:eastAsiaTheme="minorEastAsia"/>
          <w:sz w:val="42"/>
        </w:rPr>
      </w:pPr>
      <w:r>
        <w:rPr>
          <w:rFonts w:hint="eastAsia" w:asciiTheme="minorEastAsia" w:hAnsiTheme="minorEastAsia" w:eastAsiaTheme="minorEastAsia"/>
          <w:color w:val="2E2E2E"/>
          <w:sz w:val="42"/>
        </w:rPr>
        <w:t>（市场监督管理部门将依法向社会公开行政处罚决定信息</w:t>
      </w:r>
      <w:r>
        <w:rPr>
          <w:rFonts w:hint="eastAsia" w:asciiTheme="minorEastAsia" w:hAnsiTheme="minorEastAsia" w:eastAsiaTheme="minorEastAsia"/>
          <w:color w:val="2E2E2E"/>
          <w:spacing w:val="-10"/>
          <w:sz w:val="42"/>
        </w:rPr>
        <w:t>）</w:t>
      </w:r>
    </w:p>
    <w:sectPr>
      <w:pgSz w:w="11910" w:h="16840"/>
      <w:pgMar w:top="620" w:right="380" w:bottom="280" w:left="3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B2DD9"/>
    <w:multiLevelType w:val="multilevel"/>
    <w:tmpl w:val="1D7B2DD9"/>
    <w:lvl w:ilvl="0" w:tentative="0">
      <w:start w:val="1"/>
      <w:numFmt w:val="decimal"/>
      <w:lvlText w:val="%1."/>
      <w:lvlJc w:val="left"/>
      <w:pPr>
        <w:ind w:left="900" w:hanging="284"/>
        <w:jc w:val="left"/>
      </w:pPr>
      <w:rPr>
        <w:rFonts w:hint="default" w:ascii="宋体" w:hAnsi="宋体" w:eastAsia="宋体" w:cs="宋体"/>
        <w:b w:val="0"/>
        <w:bCs w:val="0"/>
        <w:i w:val="0"/>
        <w:iCs w:val="0"/>
        <w:spacing w:val="-1"/>
        <w:w w:val="85"/>
        <w:sz w:val="28"/>
        <w:szCs w:val="28"/>
        <w:lang w:val="en-US" w:eastAsia="zh-CN" w:bidi="ar-SA"/>
      </w:rPr>
    </w:lvl>
    <w:lvl w:ilvl="1" w:tentative="0">
      <w:start w:val="0"/>
      <w:numFmt w:val="bullet"/>
      <w:lvlText w:val="•"/>
      <w:lvlJc w:val="left"/>
      <w:pPr>
        <w:ind w:left="1924" w:hanging="284"/>
      </w:pPr>
      <w:rPr>
        <w:rFonts w:hint="default"/>
        <w:lang w:val="en-US" w:eastAsia="zh-CN" w:bidi="ar-SA"/>
      </w:rPr>
    </w:lvl>
    <w:lvl w:ilvl="2" w:tentative="0">
      <w:start w:val="0"/>
      <w:numFmt w:val="bullet"/>
      <w:lvlText w:val="•"/>
      <w:lvlJc w:val="left"/>
      <w:pPr>
        <w:ind w:left="2949" w:hanging="284"/>
      </w:pPr>
      <w:rPr>
        <w:rFonts w:hint="default"/>
        <w:lang w:val="en-US" w:eastAsia="zh-CN" w:bidi="ar-SA"/>
      </w:rPr>
    </w:lvl>
    <w:lvl w:ilvl="3" w:tentative="0">
      <w:start w:val="0"/>
      <w:numFmt w:val="bullet"/>
      <w:lvlText w:val="•"/>
      <w:lvlJc w:val="left"/>
      <w:pPr>
        <w:ind w:left="3973" w:hanging="284"/>
      </w:pPr>
      <w:rPr>
        <w:rFonts w:hint="default"/>
        <w:lang w:val="en-US" w:eastAsia="zh-CN" w:bidi="ar-SA"/>
      </w:rPr>
    </w:lvl>
    <w:lvl w:ilvl="4" w:tentative="0">
      <w:start w:val="0"/>
      <w:numFmt w:val="bullet"/>
      <w:lvlText w:val="•"/>
      <w:lvlJc w:val="left"/>
      <w:pPr>
        <w:ind w:left="4998" w:hanging="284"/>
      </w:pPr>
      <w:rPr>
        <w:rFonts w:hint="default"/>
        <w:lang w:val="en-US" w:eastAsia="zh-CN" w:bidi="ar-SA"/>
      </w:rPr>
    </w:lvl>
    <w:lvl w:ilvl="5" w:tentative="0">
      <w:start w:val="0"/>
      <w:numFmt w:val="bullet"/>
      <w:lvlText w:val="•"/>
      <w:lvlJc w:val="left"/>
      <w:pPr>
        <w:ind w:left="6022" w:hanging="284"/>
      </w:pPr>
      <w:rPr>
        <w:rFonts w:hint="default"/>
        <w:lang w:val="en-US" w:eastAsia="zh-CN" w:bidi="ar-SA"/>
      </w:rPr>
    </w:lvl>
    <w:lvl w:ilvl="6" w:tentative="0">
      <w:start w:val="0"/>
      <w:numFmt w:val="bullet"/>
      <w:lvlText w:val="•"/>
      <w:lvlJc w:val="left"/>
      <w:pPr>
        <w:ind w:left="7047" w:hanging="284"/>
      </w:pPr>
      <w:rPr>
        <w:rFonts w:hint="default"/>
        <w:lang w:val="en-US" w:eastAsia="zh-CN" w:bidi="ar-SA"/>
      </w:rPr>
    </w:lvl>
    <w:lvl w:ilvl="7" w:tentative="0">
      <w:start w:val="0"/>
      <w:numFmt w:val="bullet"/>
      <w:lvlText w:val="•"/>
      <w:lvlJc w:val="left"/>
      <w:pPr>
        <w:ind w:left="8071" w:hanging="284"/>
      </w:pPr>
      <w:rPr>
        <w:rFonts w:hint="default"/>
        <w:lang w:val="en-US" w:eastAsia="zh-CN" w:bidi="ar-SA"/>
      </w:rPr>
    </w:lvl>
    <w:lvl w:ilvl="8" w:tentative="0">
      <w:start w:val="0"/>
      <w:numFmt w:val="bullet"/>
      <w:lvlText w:val="•"/>
      <w:lvlJc w:val="left"/>
      <w:pPr>
        <w:ind w:left="9096" w:hanging="284"/>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927F3"/>
    <w:rsid w:val="00175F16"/>
    <w:rsid w:val="0019001D"/>
    <w:rsid w:val="00430F29"/>
    <w:rsid w:val="00461CF4"/>
    <w:rsid w:val="00606E1F"/>
    <w:rsid w:val="007678F8"/>
    <w:rsid w:val="00B95690"/>
    <w:rsid w:val="00E137F0"/>
    <w:rsid w:val="00F927F3"/>
    <w:rsid w:val="5D78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
      <w:ind w:left="617"/>
    </w:pPr>
    <w:rPr>
      <w:sz w:val="30"/>
      <w:szCs w:val="30"/>
    </w:rPr>
  </w:style>
  <w:style w:type="paragraph" w:styleId="3">
    <w:name w:val="footer"/>
    <w:basedOn w:val="1"/>
    <w:link w:val="13"/>
    <w:semiHidden/>
    <w:unhideWhenUsed/>
    <w:qFormat/>
    <w:uiPriority w:val="99"/>
    <w:pPr>
      <w:tabs>
        <w:tab w:val="center" w:pos="4153"/>
        <w:tab w:val="right" w:pos="8306"/>
      </w:tabs>
      <w:snapToGrid w:val="0"/>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autoSpaceDE/>
      <w:autoSpaceDN/>
      <w:spacing w:before="100" w:beforeAutospacing="1" w:after="100" w:afterAutospacing="1"/>
    </w:pPr>
    <w:rPr>
      <w:sz w:val="24"/>
      <w:szCs w:val="24"/>
    </w:rPr>
  </w:style>
  <w:style w:type="paragraph" w:styleId="6">
    <w:name w:val="Title"/>
    <w:basedOn w:val="1"/>
    <w:qFormat/>
    <w:uiPriority w:val="1"/>
    <w:pPr>
      <w:spacing w:before="87"/>
      <w:ind w:left="3887" w:right="1975" w:hanging="1920"/>
    </w:pPr>
    <w:rPr>
      <w:rFonts w:ascii="PMingLiU" w:hAnsi="PMingLiU" w:eastAsia="PMingLiU" w:cs="PMingLiU"/>
      <w:sz w:val="48"/>
      <w:szCs w:val="4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62"/>
      <w:ind w:left="855" w:hanging="284"/>
    </w:pPr>
  </w:style>
  <w:style w:type="paragraph" w:customStyle="1" w:styleId="11">
    <w:name w:val="Table Paragraph"/>
    <w:basedOn w:val="1"/>
    <w:qFormat/>
    <w:uiPriority w:val="1"/>
  </w:style>
  <w:style w:type="character" w:customStyle="1" w:styleId="12">
    <w:name w:val="页眉 Char"/>
    <w:basedOn w:val="8"/>
    <w:link w:val="4"/>
    <w:semiHidden/>
    <w:qFormat/>
    <w:uiPriority w:val="99"/>
    <w:rPr>
      <w:rFonts w:ascii="宋体" w:hAnsi="宋体" w:eastAsia="宋体" w:cs="宋体"/>
      <w:sz w:val="18"/>
      <w:szCs w:val="18"/>
      <w:lang w:eastAsia="zh-CN"/>
    </w:rPr>
  </w:style>
  <w:style w:type="character" w:customStyle="1" w:styleId="13">
    <w:name w:val="页脚 Char"/>
    <w:basedOn w:val="8"/>
    <w:link w:val="3"/>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2889</Words>
  <Characters>3136</Characters>
  <Lines>22</Lines>
  <Paragraphs>6</Paragraphs>
  <TotalTime>15</TotalTime>
  <ScaleCrop>false</ScaleCrop>
  <LinksUpToDate>false</LinksUpToDate>
  <CharactersWithSpaces>3160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2024-03-06T03:05:00Z</dcterms:created>
  <dc:creator>Administrator</dc:creator>
  <cp:lastModifiedBy>安然弱水</cp:lastModifiedBy>
  <dcterms:modified xsi:type="dcterms:W3CDTF">2024-12-05T09:04:25Z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suwell-pdf2ofd</vt:lpwstr>
  </property>
  <property fmtid="{D5CDD505-2E9C-101B-9397-08002B2CF9AE}" pid="4" name="LastSaved">
    <vt:filetime>2024-03-06T00:00:00Z</vt:filetime>
  </property>
  <property fmtid="{D5CDD505-2E9C-101B-9397-08002B2CF9AE}" pid="5" name="Producer">
    <vt:lpwstr>suwell pdf creator</vt:lpwstr>
  </property>
  <property fmtid="{D5CDD505-2E9C-101B-9397-08002B2CF9AE}" pid="6" name="KSOProductBuildVer">
    <vt:lpwstr>2052-12.1.0.18912</vt:lpwstr>
  </property>
  <property fmtid="{D5CDD505-2E9C-101B-9397-08002B2CF9AE}" pid="7" name="ICV">
    <vt:lpwstr>C37EF9446D8B479F9D711655135D255C_12</vt:lpwstr>
  </property>
</Properties>
</file>