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58D4">
      <w:pPr>
        <w:snapToGrid w:val="0"/>
        <w:spacing w:line="560" w:lineRule="exact"/>
        <w:rPr>
          <w:rFonts w:eastAsia="方正魏碑_GBK"/>
          <w:sz w:val="56"/>
        </w:rPr>
      </w:pPr>
      <w:bookmarkStart w:id="0" w:name="_GoBack"/>
      <w:bookmarkEnd w:id="0"/>
      <w:r>
        <w:pict>
          <v:shape id="_x0000_s1052" o:spid="_x0000_s1052" o:spt="136" type="#_x0000_t136" style="position:absolute;left:0pt;margin-left:-0.4pt;margin-top:6.05pt;height:63.4pt;width:444pt;z-index:251660288;mso-width-relative:page;mso-height-relative:page;" fillcolor="#FF0000" filled="t" stroked="t" coordsize="21600,21600">
            <v:path/>
            <v:fill on="t" focussize="0,0"/>
            <v:stroke color="#FF0000"/>
            <v:imagedata o:title=""/>
            <o:lock v:ext="edit"/>
            <v:textpath on="t" fitshape="t" fitpath="t" trim="t" xscale="f" string="石柱土家族自治县人民政府办公室电子公文" style="font-family:华文中宋;font-size:28pt;v-text-align:center;"/>
          </v:shape>
        </w:pict>
      </w:r>
      <w:r>
        <w:pict>
          <v:line id="_x0000_s1053" o:spid="_x0000_s1053" o:spt="20" style="position:absolute;left:0pt;margin-left:-0.4pt;margin-top:80.2pt;height:0pt;width:444pt;z-index:251661312;mso-width-relative:page;mso-height-relative:page;" stroked="t" coordsize="21600,21600">
            <v:path arrowok="t"/>
            <v:fill focussize="0,0"/>
            <v:stroke weight="2.25pt" color="#FF0000"/>
            <v:imagedata o:title=""/>
            <o:lock v:ext="edit"/>
          </v:line>
        </w:pict>
      </w:r>
    </w:p>
    <w:p w14:paraId="595DD818">
      <w:pPr>
        <w:snapToGrid w:val="0"/>
        <w:spacing w:line="560" w:lineRule="exact"/>
        <w:rPr>
          <w:rFonts w:eastAsia="方正魏碑_GBK"/>
          <w:sz w:val="56"/>
        </w:rPr>
      </w:pPr>
    </w:p>
    <w:p w14:paraId="38B56F7A">
      <w:pPr>
        <w:snapToGrid w:val="0"/>
        <w:spacing w:line="560" w:lineRule="exact"/>
        <w:rPr>
          <w:rFonts w:eastAsia="方正魏碑_GBK"/>
        </w:rPr>
      </w:pPr>
    </w:p>
    <w:p w14:paraId="4CA74BE6">
      <w:pPr>
        <w:snapToGrid w:val="0"/>
        <w:spacing w:line="560" w:lineRule="exact"/>
        <w:jc w:val="right"/>
        <w:rPr>
          <w:rFonts w:ascii="方正仿宋_GBK"/>
          <w:snapToGrid w:val="0"/>
          <w:szCs w:val="32"/>
        </w:rPr>
      </w:pPr>
      <w:r>
        <w:rPr>
          <w:rFonts w:hint="eastAsia" w:ascii="方正仿宋_GBK"/>
          <w:snapToGrid w:val="0"/>
          <w:szCs w:val="32"/>
        </w:rPr>
        <w:t>年　　月　　日　核收：</w:t>
      </w:r>
    </w:p>
    <w:p w14:paraId="0CEE35B3">
      <w:pPr>
        <w:snapToGrid w:val="0"/>
        <w:spacing w:line="560" w:lineRule="exact"/>
        <w:jc w:val="center"/>
        <w:rPr>
          <w:rFonts w:ascii="方正仿宋_GBK" w:hAnsi="黑体" w:cs="黑体"/>
          <w:snapToGrid w:val="0"/>
          <w:szCs w:val="32"/>
        </w:rPr>
      </w:pPr>
    </w:p>
    <w:p w14:paraId="0A263430">
      <w:pPr>
        <w:snapToGrid w:val="0"/>
        <w:spacing w:line="560" w:lineRule="exact"/>
        <w:jc w:val="center"/>
        <w:rPr>
          <w:rFonts w:ascii="方正仿宋_GBK" w:hAnsi="黑体" w:cs="黑体"/>
          <w:snapToGrid w:val="0"/>
          <w:szCs w:val="32"/>
        </w:rPr>
      </w:pPr>
    </w:p>
    <w:p w14:paraId="53866BB8">
      <w:pPr>
        <w:snapToGrid w:val="0"/>
        <w:spacing w:line="560" w:lineRule="exact"/>
        <w:jc w:val="center"/>
        <w:rPr>
          <w:rFonts w:ascii="方正仿宋_GBK" w:hAnsi="黑体" w:cs="黑体"/>
          <w:snapToGrid w:val="0"/>
          <w:szCs w:val="32"/>
        </w:rPr>
      </w:pPr>
    </w:p>
    <w:p w14:paraId="0E0AD73E">
      <w:pPr>
        <w:snapToGrid w:val="0"/>
        <w:spacing w:line="560" w:lineRule="exact"/>
        <w:jc w:val="center"/>
        <w:rPr>
          <w:rFonts w:ascii="方正仿宋_GBK" w:hAnsi="黑体" w:cs="黑体"/>
          <w:snapToGrid w:val="0"/>
          <w:szCs w:val="32"/>
        </w:rPr>
      </w:pPr>
      <w:r>
        <w:rPr>
          <w:rFonts w:hint="eastAsia" w:ascii="方正仿宋_GBK" w:hAnsi="黑体" w:cs="黑体"/>
          <w:snapToGrid w:val="0"/>
          <w:szCs w:val="32"/>
        </w:rPr>
        <w:t>石柱府办发〔</w:t>
      </w:r>
      <w:r>
        <w:rPr>
          <w:rFonts w:ascii="方正仿宋_GBK" w:hAnsi="黑体" w:cs="黑体"/>
          <w:snapToGrid w:val="0"/>
          <w:szCs w:val="32"/>
        </w:rPr>
        <w:t>2017</w:t>
      </w:r>
      <w:r>
        <w:rPr>
          <w:rFonts w:hint="eastAsia" w:ascii="方正仿宋_GBK" w:hAnsi="黑体" w:cs="黑体"/>
          <w:snapToGrid w:val="0"/>
          <w:szCs w:val="32"/>
        </w:rPr>
        <w:t>〕</w:t>
      </w:r>
      <w:r>
        <w:rPr>
          <w:rFonts w:ascii="方正仿宋_GBK" w:hAnsi="黑体" w:cs="黑体"/>
          <w:snapToGrid w:val="0"/>
          <w:szCs w:val="32"/>
        </w:rPr>
        <w:t>106</w:t>
      </w:r>
      <w:r>
        <w:rPr>
          <w:rFonts w:hint="eastAsia" w:ascii="方正仿宋_GBK" w:hAnsi="黑体" w:cs="黑体"/>
          <w:snapToGrid w:val="0"/>
          <w:szCs w:val="32"/>
        </w:rPr>
        <w:t>号</w:t>
      </w:r>
    </w:p>
    <w:p w14:paraId="53CDADDC">
      <w:pPr>
        <w:snapToGrid w:val="0"/>
        <w:spacing w:line="560" w:lineRule="exact"/>
        <w:jc w:val="center"/>
        <w:rPr>
          <w:rFonts w:ascii="方正仿宋_GBK" w:hAnsi="黑体" w:cs="黑体"/>
          <w:snapToGrid w:val="0"/>
          <w:szCs w:val="32"/>
        </w:rPr>
      </w:pPr>
    </w:p>
    <w:p w14:paraId="60F74BA5">
      <w:pPr>
        <w:snapToGrid w:val="0"/>
        <w:spacing w:line="560" w:lineRule="exact"/>
        <w:jc w:val="center"/>
        <w:rPr>
          <w:rFonts w:ascii="方正仿宋_GBK" w:hAnsi="黑体" w:cs="黑体"/>
          <w:snapToGrid w:val="0"/>
          <w:szCs w:val="32"/>
        </w:rPr>
      </w:pPr>
    </w:p>
    <w:p w14:paraId="7600D9B2">
      <w:pPr>
        <w:widowControl/>
        <w:snapToGrid w:val="0"/>
        <w:spacing w:line="560" w:lineRule="exact"/>
        <w:ind w:right="300"/>
        <w:jc w:val="center"/>
        <w:rPr>
          <w:rFonts w:ascii="方正小标宋_GBK" w:hAnsi="宋体" w:eastAsia="方正小标宋_GBK" w:cs="黑体"/>
          <w:color w:val="000000"/>
          <w:kern w:val="0"/>
          <w:sz w:val="44"/>
          <w:szCs w:val="44"/>
        </w:rPr>
      </w:pPr>
      <w:r>
        <w:rPr>
          <w:rFonts w:hint="eastAsia" w:ascii="方正小标宋_GBK" w:hAnsi="宋体" w:eastAsia="方正小标宋_GBK" w:cs="黑体"/>
          <w:color w:val="000000"/>
          <w:kern w:val="0"/>
          <w:sz w:val="44"/>
          <w:szCs w:val="44"/>
        </w:rPr>
        <w:t>石柱土家族自治县人民政府办公室</w:t>
      </w:r>
    </w:p>
    <w:p w14:paraId="3D08F1B6">
      <w:pPr>
        <w:widowControl/>
        <w:snapToGrid w:val="0"/>
        <w:spacing w:line="560" w:lineRule="exact"/>
        <w:ind w:right="300"/>
        <w:jc w:val="center"/>
        <w:rPr>
          <w:rFonts w:ascii="方正小标宋_GBK" w:hAnsi="宋体" w:eastAsia="方正小标宋_GBK" w:cs="黑体"/>
          <w:color w:val="000000"/>
          <w:kern w:val="0"/>
          <w:sz w:val="44"/>
          <w:szCs w:val="44"/>
        </w:rPr>
      </w:pPr>
      <w:r>
        <w:rPr>
          <w:rFonts w:hint="eastAsia" w:ascii="方正小标宋_GBK" w:hAnsi="宋体" w:eastAsia="方正小标宋_GBK" w:cs="黑体"/>
          <w:color w:val="000000"/>
          <w:kern w:val="0"/>
          <w:sz w:val="44"/>
          <w:szCs w:val="44"/>
        </w:rPr>
        <w:t>关于印发石柱县食品安全突发</w:t>
      </w:r>
    </w:p>
    <w:p w14:paraId="44761D51">
      <w:pPr>
        <w:widowControl/>
        <w:snapToGrid w:val="0"/>
        <w:spacing w:line="560" w:lineRule="exact"/>
        <w:ind w:right="300"/>
        <w:jc w:val="center"/>
        <w:rPr>
          <w:rFonts w:ascii="方正小标宋_GBK" w:hAnsi="宋体" w:eastAsia="方正小标宋_GBK" w:cs="黑体"/>
          <w:color w:val="000000"/>
          <w:kern w:val="0"/>
          <w:sz w:val="44"/>
          <w:szCs w:val="44"/>
        </w:rPr>
      </w:pPr>
      <w:r>
        <w:rPr>
          <w:rFonts w:hint="eastAsia" w:ascii="方正小标宋_GBK" w:hAnsi="宋体" w:eastAsia="方正小标宋_GBK" w:cs="黑体"/>
          <w:color w:val="000000"/>
          <w:kern w:val="0"/>
          <w:sz w:val="44"/>
          <w:szCs w:val="44"/>
        </w:rPr>
        <w:t>事件应急预案的通知</w:t>
      </w:r>
    </w:p>
    <w:p w14:paraId="3E7CD7D6">
      <w:pPr>
        <w:widowControl/>
        <w:snapToGrid w:val="0"/>
        <w:spacing w:line="560" w:lineRule="exact"/>
        <w:ind w:right="300"/>
        <w:jc w:val="center"/>
        <w:rPr>
          <w:rFonts w:ascii="方正小标宋_GBK" w:hAnsi="宋体" w:eastAsia="方正小标宋_GBK" w:cs="黑体"/>
          <w:color w:val="000000"/>
          <w:kern w:val="0"/>
          <w:sz w:val="44"/>
          <w:szCs w:val="44"/>
        </w:rPr>
      </w:pPr>
    </w:p>
    <w:p w14:paraId="09B68720">
      <w:pPr>
        <w:snapToGrid w:val="0"/>
        <w:spacing w:line="560" w:lineRule="exact"/>
        <w:rPr>
          <w:rFonts w:ascii="方正仿宋_GBK" w:hAnsi="黑体" w:cs="黑体"/>
          <w:snapToGrid w:val="0"/>
          <w:szCs w:val="32"/>
        </w:rPr>
      </w:pPr>
      <w:r>
        <w:rPr>
          <w:rFonts w:hint="eastAsia" w:ascii="方正仿宋_GBK" w:hAnsi="黑体" w:cs="黑体"/>
          <w:snapToGrid w:val="0"/>
          <w:szCs w:val="32"/>
        </w:rPr>
        <w:t>各乡镇（街道）人民政府（办事处），县政府各部门，有关单位：</w:t>
      </w:r>
    </w:p>
    <w:p w14:paraId="11CBA697">
      <w:pPr>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《石柱县食品安全突发事件应急预案》已经县政府同意，现印发给你们，请认真贯彻实施。</w:t>
      </w:r>
    </w:p>
    <w:p w14:paraId="789A59C6">
      <w:pPr>
        <w:snapToGrid w:val="0"/>
        <w:spacing w:line="560" w:lineRule="exact"/>
        <w:rPr>
          <w:rFonts w:ascii="方正仿宋_GBK" w:hAnsi="黑体" w:cs="黑体"/>
          <w:snapToGrid w:val="0"/>
          <w:szCs w:val="32"/>
        </w:rPr>
      </w:pPr>
    </w:p>
    <w:p w14:paraId="7E47B77B">
      <w:pPr>
        <w:snapToGrid w:val="0"/>
        <w:spacing w:line="560" w:lineRule="exact"/>
        <w:rPr>
          <w:rFonts w:ascii="方正仿宋_GBK" w:hAnsi="黑体" w:cs="黑体"/>
          <w:snapToGrid w:val="0"/>
          <w:szCs w:val="32"/>
        </w:rPr>
      </w:pPr>
    </w:p>
    <w:p w14:paraId="4C0F2CF9">
      <w:pPr>
        <w:snapToGrid w:val="0"/>
        <w:spacing w:line="560" w:lineRule="exact"/>
        <w:rPr>
          <w:rFonts w:ascii="方正仿宋_GBK" w:hAnsi="黑体" w:cs="黑体"/>
          <w:snapToGrid w:val="0"/>
          <w:szCs w:val="32"/>
        </w:rPr>
      </w:pPr>
    </w:p>
    <w:p w14:paraId="35F28CE0">
      <w:pPr>
        <w:snapToGrid w:val="0"/>
        <w:spacing w:line="560" w:lineRule="exact"/>
        <w:ind w:firstLine="3786" w:firstLineChars="1198"/>
        <w:jc w:val="right"/>
        <w:rPr>
          <w:rFonts w:ascii="方正仿宋_GBK" w:hAnsi="黑体" w:cs="黑体"/>
          <w:snapToGrid w:val="0"/>
          <w:szCs w:val="32"/>
        </w:rPr>
      </w:pPr>
      <w:r>
        <w:rPr>
          <w:rFonts w:hint="eastAsia" w:ascii="方正仿宋_GBK" w:hAnsi="黑体" w:cs="黑体"/>
          <w:snapToGrid w:val="0"/>
          <w:szCs w:val="32"/>
        </w:rPr>
        <w:t>石柱土家族自治县人民政府办公室</w:t>
      </w:r>
    </w:p>
    <w:p w14:paraId="0D3446D7">
      <w:pPr>
        <w:snapToGrid w:val="0"/>
        <w:spacing w:line="560" w:lineRule="exact"/>
        <w:ind w:firstLine="5056" w:firstLineChars="1600"/>
        <w:rPr>
          <w:rFonts w:ascii="方正仿宋_GBK" w:hAnsi="黑体" w:cs="黑体"/>
          <w:snapToGrid w:val="0"/>
          <w:szCs w:val="32"/>
        </w:rPr>
      </w:pPr>
      <w:r>
        <w:rPr>
          <w:rFonts w:ascii="方正仿宋_GBK" w:hAnsi="黑体" w:cs="黑体"/>
          <w:snapToGrid w:val="0"/>
          <w:szCs w:val="32"/>
        </w:rPr>
        <w:t>2017</w:t>
      </w:r>
      <w:r>
        <w:rPr>
          <w:rFonts w:hint="eastAsia" w:ascii="方正仿宋_GBK" w:hAnsi="黑体" w:cs="黑体"/>
          <w:snapToGrid w:val="0"/>
          <w:szCs w:val="32"/>
        </w:rPr>
        <w:t>年</w:t>
      </w:r>
      <w:r>
        <w:rPr>
          <w:rFonts w:ascii="方正仿宋_GBK" w:hAnsi="黑体" w:cs="黑体"/>
          <w:snapToGrid w:val="0"/>
          <w:szCs w:val="32"/>
        </w:rPr>
        <w:t>8</w:t>
      </w:r>
      <w:r>
        <w:rPr>
          <w:rFonts w:hint="eastAsia" w:ascii="方正仿宋_GBK" w:hAnsi="黑体" w:cs="黑体"/>
          <w:snapToGrid w:val="0"/>
          <w:szCs w:val="32"/>
        </w:rPr>
        <w:t>月</w:t>
      </w:r>
      <w:r>
        <w:rPr>
          <w:rFonts w:ascii="方正仿宋_GBK" w:hAnsi="黑体" w:cs="黑体"/>
          <w:snapToGrid w:val="0"/>
          <w:szCs w:val="32"/>
        </w:rPr>
        <w:t>16</w:t>
      </w:r>
      <w:r>
        <w:rPr>
          <w:rFonts w:hint="eastAsia" w:ascii="方正仿宋_GBK" w:hAnsi="黑体" w:cs="黑体"/>
          <w:snapToGrid w:val="0"/>
          <w:szCs w:val="32"/>
        </w:rPr>
        <w:t>日</w:t>
      </w:r>
      <w:r>
        <w:rPr>
          <w:rFonts w:ascii="方正仿宋_GBK" w:hAnsi="黑体" w:cs="黑体"/>
          <w:snapToGrid w:val="0"/>
          <w:szCs w:val="32"/>
        </w:rPr>
        <w:t xml:space="preserve">        </w:t>
      </w:r>
    </w:p>
    <w:p w14:paraId="075562CA">
      <w:pPr>
        <w:widowControl/>
        <w:snapToGrid w:val="0"/>
        <w:spacing w:line="560" w:lineRule="exact"/>
        <w:ind w:right="300"/>
        <w:jc w:val="center"/>
        <w:rPr>
          <w:rFonts w:ascii="方正黑体_GBK" w:hAnsi="黑体" w:eastAsia="方正黑体_GBK" w:cs="黑体"/>
          <w:snapToGrid w:val="0"/>
          <w:sz w:val="33"/>
          <w:szCs w:val="33"/>
        </w:rPr>
      </w:pPr>
      <w:r>
        <w:rPr>
          <w:rFonts w:hint="eastAsia" w:ascii="方正小标宋_GBK" w:hAnsi="宋体" w:eastAsia="方正小标宋_GBK" w:cs="黑体"/>
          <w:color w:val="000000"/>
          <w:kern w:val="0"/>
          <w:sz w:val="44"/>
          <w:szCs w:val="44"/>
        </w:rPr>
        <w:t>石柱县食品安全突发事件应急预案</w:t>
      </w:r>
    </w:p>
    <w:p w14:paraId="1061EF5A">
      <w:pPr>
        <w:widowControl/>
        <w:snapToGrid w:val="0"/>
        <w:spacing w:line="560" w:lineRule="exact"/>
        <w:ind w:firstLine="652" w:firstLineChars="200"/>
        <w:rPr>
          <w:rFonts w:ascii="方正黑体_GBK" w:hAnsi="黑体" w:eastAsia="方正黑体_GBK" w:cs="黑体"/>
          <w:snapToGrid w:val="0"/>
          <w:sz w:val="33"/>
          <w:szCs w:val="33"/>
        </w:rPr>
      </w:pPr>
    </w:p>
    <w:p w14:paraId="756F0ECE">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1  </w:t>
      </w:r>
      <w:r>
        <w:rPr>
          <w:rFonts w:hint="eastAsia" w:ascii="方正黑体_GBK" w:hAnsi="黑体" w:eastAsia="方正黑体_GBK" w:cs="黑体"/>
          <w:snapToGrid w:val="0"/>
          <w:szCs w:val="32"/>
        </w:rPr>
        <w:t>总则</w:t>
      </w:r>
    </w:p>
    <w:p w14:paraId="7562C674">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1.1  </w:t>
      </w:r>
      <w:r>
        <w:rPr>
          <w:rFonts w:hint="eastAsia" w:ascii="方正楷体_GBK" w:hAnsi="黑体" w:eastAsia="方正楷体_GBK" w:cs="黑体"/>
          <w:snapToGrid w:val="0"/>
          <w:szCs w:val="32"/>
        </w:rPr>
        <w:t>编制目的</w:t>
      </w:r>
    </w:p>
    <w:p w14:paraId="7DB075F1">
      <w:pPr>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为建立健全食品安全事故救助体系和运行机制，有效预防、及时控制和最大限度地减少食品安全事故的危害，保障公众健康和生命安全，切实维护社会和谐稳定。</w:t>
      </w:r>
    </w:p>
    <w:p w14:paraId="17AA6D38">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1.2  </w:t>
      </w:r>
      <w:r>
        <w:rPr>
          <w:rFonts w:hint="eastAsia" w:ascii="方正楷体_GBK" w:hAnsi="黑体" w:eastAsia="方正楷体_GBK" w:cs="黑体"/>
          <w:snapToGrid w:val="0"/>
          <w:szCs w:val="32"/>
        </w:rPr>
        <w:t>编制依据</w:t>
      </w:r>
    </w:p>
    <w:p w14:paraId="6F619E3E">
      <w:pPr>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依据《中华人民共和国食品安全法》《中华人民共和国突发事件应对法》《中华人民共和国食品安全法实施条例》《国家突发事件总体应急预案》《重庆市突发事件应对条例》《重庆市突发事件总体应急预案》《重庆市突发事件预警信息发布管理办法》《重庆市食品安全管理办法》《重庆市食品安全突发事件应急预案》及相关法律法规等，制定本预案。</w:t>
      </w:r>
    </w:p>
    <w:p w14:paraId="359EFE47">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1.3  </w:t>
      </w:r>
      <w:r>
        <w:rPr>
          <w:rFonts w:hint="eastAsia" w:ascii="方正楷体_GBK" w:hAnsi="黑体" w:eastAsia="方正楷体_GBK" w:cs="黑体"/>
          <w:snapToGrid w:val="0"/>
          <w:szCs w:val="32"/>
        </w:rPr>
        <w:t>适用范围</w:t>
      </w:r>
    </w:p>
    <w:p w14:paraId="0B911C4D">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本预案适用于县域内发生的食品安全突发事件应对工作。</w:t>
      </w:r>
    </w:p>
    <w:p w14:paraId="4EB99CC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食品安全突发事件是指食物中毒等源于食品，对人体健康有危害或者可能有危害的突发事件，以及食品安全舆情事件。家宴及家庭自制食品引起的食源性疾病，按照《重庆市突发公共卫生事件专项应急预案》开展应急处置。其他食源性疾病中涉及传染病疫情的，按照《重庆市突发重大传染病疫情应急预案》开展应急处置。</w:t>
      </w:r>
    </w:p>
    <w:p w14:paraId="15E130B5">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1.4  </w:t>
      </w:r>
      <w:r>
        <w:rPr>
          <w:rFonts w:hint="eastAsia" w:ascii="方正楷体_GBK" w:hAnsi="黑体" w:eastAsia="方正楷体_GBK" w:cs="黑体"/>
          <w:snapToGrid w:val="0"/>
          <w:szCs w:val="32"/>
        </w:rPr>
        <w:t>工作原则</w:t>
      </w:r>
    </w:p>
    <w:p w14:paraId="4D23CF7F">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坚持以人为本、减少危害，预防为主、依法处置，统一领导、分级负责的工作原则。</w:t>
      </w:r>
    </w:p>
    <w:p w14:paraId="2C05CA20">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1.5  </w:t>
      </w:r>
      <w:r>
        <w:rPr>
          <w:rFonts w:hint="eastAsia" w:ascii="方正楷体_GBK" w:hAnsi="黑体" w:eastAsia="方正楷体_GBK" w:cs="黑体"/>
          <w:snapToGrid w:val="0"/>
          <w:szCs w:val="32"/>
        </w:rPr>
        <w:t>事件分级</w:t>
      </w:r>
    </w:p>
    <w:p w14:paraId="70ABC077">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按照事件的严重程度，食品安全突发事件分为特别重大（Ⅰ级）、重大（Ⅱ级）、较大（Ⅲ级）和一般（Ⅳ级）四级。</w:t>
      </w:r>
    </w:p>
    <w:p w14:paraId="7E999EF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1</w:t>
      </w:r>
      <w:r>
        <w:rPr>
          <w:rFonts w:hint="eastAsia" w:ascii="方正仿宋_GBK" w:hAnsi="黑体" w:cs="黑体"/>
          <w:snapToGrid w:val="0"/>
          <w:szCs w:val="32"/>
        </w:rPr>
        <w:t>）特别重大食品安全突发事件：受污染食品流入</w:t>
      </w:r>
      <w:r>
        <w:rPr>
          <w:rFonts w:ascii="方正仿宋_GBK" w:hAnsi="黑体" w:cs="黑体"/>
          <w:snapToGrid w:val="0"/>
          <w:szCs w:val="32"/>
        </w:rPr>
        <w:t>2</w:t>
      </w:r>
      <w:r>
        <w:rPr>
          <w:rFonts w:hint="eastAsia" w:ascii="方正仿宋_GBK" w:hAnsi="黑体" w:cs="黑体"/>
          <w:snapToGrid w:val="0"/>
          <w:szCs w:val="32"/>
        </w:rPr>
        <w:t>个以上省份或国（境）外（含港澳台地区），造成特别严重健康损害或事件危害特别严重的；</w:t>
      </w:r>
      <w:r>
        <w:rPr>
          <w:rFonts w:ascii="方正仿宋_GBK" w:hAnsi="黑体" w:cs="黑体"/>
          <w:snapToGrid w:val="0"/>
          <w:szCs w:val="32"/>
        </w:rPr>
        <w:t>1</w:t>
      </w:r>
      <w:r>
        <w:rPr>
          <w:rFonts w:hint="eastAsia" w:ascii="方正仿宋_GBK" w:hAnsi="黑体" w:cs="黑体"/>
          <w:snapToGrid w:val="0"/>
          <w:szCs w:val="32"/>
        </w:rPr>
        <w:t>起食品安全突发事件出现</w:t>
      </w:r>
      <w:r>
        <w:rPr>
          <w:rFonts w:ascii="方正仿宋_GBK" w:hAnsi="黑体" w:cs="黑体"/>
          <w:snapToGrid w:val="0"/>
          <w:szCs w:val="32"/>
        </w:rPr>
        <w:t>30</w:t>
      </w:r>
      <w:r>
        <w:rPr>
          <w:rFonts w:hint="eastAsia" w:ascii="方正仿宋_GBK" w:hAnsi="黑体" w:cs="黑体"/>
          <w:snapToGrid w:val="0"/>
          <w:szCs w:val="32"/>
        </w:rPr>
        <w:t>人（含）以上死亡的；涉及多个省份已经或可能造成严重危害或严重不良影响，经评估认为应当在国家层面采取应急措施应对的食品安全舆情事件；国务院认定的其他特别重大级别食品安全突发事件。</w:t>
      </w:r>
    </w:p>
    <w:p w14:paraId="045A12F5">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2</w:t>
      </w:r>
      <w:r>
        <w:rPr>
          <w:rFonts w:hint="eastAsia" w:ascii="方正仿宋_GBK" w:hAnsi="黑体" w:cs="黑体"/>
          <w:snapToGrid w:val="0"/>
          <w:szCs w:val="32"/>
        </w:rPr>
        <w:t>）重大食品安全突发事件：受污染食品涉及我市</w:t>
      </w:r>
      <w:r>
        <w:rPr>
          <w:rFonts w:ascii="方正仿宋_GBK" w:hAnsi="黑体" w:cs="黑体"/>
          <w:snapToGrid w:val="0"/>
          <w:szCs w:val="32"/>
        </w:rPr>
        <w:t>2</w:t>
      </w:r>
      <w:r>
        <w:rPr>
          <w:rFonts w:hint="eastAsia" w:ascii="方正仿宋_GBK" w:hAnsi="黑体" w:cs="黑体"/>
          <w:snapToGrid w:val="0"/>
          <w:szCs w:val="32"/>
        </w:rPr>
        <w:t>个以上区县（自治县），造成或经评估认为可能造成对社会公众健康产生严重损害；发现在我国首次出现的新的污染物引起的食品安全突发事件，造成严重健康损害后果，并有扩散趋势的；</w:t>
      </w:r>
      <w:r>
        <w:rPr>
          <w:rFonts w:ascii="方正仿宋_GBK" w:hAnsi="黑体" w:cs="黑体"/>
          <w:snapToGrid w:val="0"/>
          <w:szCs w:val="32"/>
        </w:rPr>
        <w:t>1</w:t>
      </w:r>
      <w:r>
        <w:rPr>
          <w:rFonts w:hint="eastAsia" w:ascii="方正仿宋_GBK" w:hAnsi="黑体" w:cs="黑体"/>
          <w:snapToGrid w:val="0"/>
          <w:szCs w:val="32"/>
        </w:rPr>
        <w:t>起食品安全突发事件涉及人数在</w:t>
      </w:r>
      <w:r>
        <w:rPr>
          <w:rFonts w:ascii="方正仿宋_GBK" w:hAnsi="黑体" w:cs="黑体"/>
          <w:snapToGrid w:val="0"/>
          <w:szCs w:val="32"/>
        </w:rPr>
        <w:t>100</w:t>
      </w:r>
      <w:r>
        <w:rPr>
          <w:rFonts w:hint="eastAsia" w:ascii="方正仿宋_GBK" w:hAnsi="黑体" w:cs="黑体"/>
          <w:snapToGrid w:val="0"/>
          <w:szCs w:val="32"/>
        </w:rPr>
        <w:t>人（含）以上并出现死亡病例，或出现</w:t>
      </w:r>
      <w:r>
        <w:rPr>
          <w:rFonts w:ascii="方正仿宋_GBK" w:hAnsi="黑体" w:cs="黑体"/>
          <w:snapToGrid w:val="0"/>
          <w:szCs w:val="32"/>
        </w:rPr>
        <w:t>10</w:t>
      </w:r>
      <w:r>
        <w:rPr>
          <w:rFonts w:hint="eastAsia" w:ascii="方正仿宋_GBK" w:hAnsi="黑体" w:cs="黑体"/>
          <w:snapToGrid w:val="0"/>
          <w:szCs w:val="32"/>
        </w:rPr>
        <w:t>人（含）以上死亡的；已经或可能造成重大危害或重大不良</w:t>
      </w:r>
      <w:r>
        <w:rPr>
          <w:rFonts w:hint="eastAsia" w:ascii="方正仿宋_GBK" w:hAnsi="黑体" w:cs="黑体"/>
          <w:snapToGrid w:val="0"/>
          <w:spacing w:val="-4"/>
          <w:szCs w:val="32"/>
        </w:rPr>
        <w:t>影响，经评估认为应当在市级层面采取应急措施应对的食品安全舆情事件；市政府认定的其他重大级别食品安全突发事件。</w:t>
      </w:r>
    </w:p>
    <w:p w14:paraId="0FA2978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3</w:t>
      </w:r>
      <w:r>
        <w:rPr>
          <w:rFonts w:hint="eastAsia" w:ascii="方正仿宋_GBK" w:hAnsi="黑体" w:cs="黑体"/>
          <w:snapToGrid w:val="0"/>
          <w:szCs w:val="32"/>
        </w:rPr>
        <w:t>）较大食品安全突发事件：受污染食品仅限于我市</w:t>
      </w:r>
      <w:r>
        <w:rPr>
          <w:rFonts w:ascii="方正仿宋_GBK" w:hAnsi="黑体" w:cs="黑体"/>
          <w:snapToGrid w:val="0"/>
          <w:szCs w:val="32"/>
        </w:rPr>
        <w:t>1</w:t>
      </w:r>
      <w:r>
        <w:rPr>
          <w:rFonts w:hint="eastAsia" w:ascii="方正仿宋_GBK" w:hAnsi="黑体" w:cs="黑体"/>
          <w:snapToGrid w:val="0"/>
          <w:szCs w:val="32"/>
        </w:rPr>
        <w:t>个区县（自治县），已造成严重健康损害后果的；</w:t>
      </w:r>
      <w:r>
        <w:rPr>
          <w:rFonts w:ascii="方正仿宋_GBK" w:hAnsi="黑体" w:cs="黑体"/>
          <w:snapToGrid w:val="0"/>
          <w:szCs w:val="32"/>
        </w:rPr>
        <w:t>1</w:t>
      </w:r>
      <w:r>
        <w:rPr>
          <w:rFonts w:hint="eastAsia" w:ascii="方正仿宋_GBK" w:hAnsi="黑体" w:cs="黑体"/>
          <w:snapToGrid w:val="0"/>
          <w:szCs w:val="32"/>
        </w:rPr>
        <w:t>起食品安全突发事件涉及人数在</w:t>
      </w:r>
      <w:r>
        <w:rPr>
          <w:rFonts w:ascii="方正仿宋_GBK" w:hAnsi="黑体" w:cs="黑体"/>
          <w:snapToGrid w:val="0"/>
          <w:szCs w:val="32"/>
        </w:rPr>
        <w:t>100</w:t>
      </w:r>
      <w:r>
        <w:rPr>
          <w:rFonts w:hint="eastAsia" w:ascii="方正仿宋_GBK" w:hAnsi="黑体" w:cs="黑体"/>
          <w:snapToGrid w:val="0"/>
          <w:szCs w:val="32"/>
        </w:rPr>
        <w:t>人（含）以上；或出现死亡病例的；已经或可能造成较大危害或较大不良影响的食品安全舆情事件；其他较大级别食品安全突发事件。</w:t>
      </w:r>
    </w:p>
    <w:p w14:paraId="32C0C2FE">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4</w:t>
      </w:r>
      <w:r>
        <w:rPr>
          <w:rFonts w:hint="eastAsia" w:ascii="方正仿宋_GBK" w:hAnsi="黑体" w:cs="黑体"/>
          <w:snapToGrid w:val="0"/>
          <w:szCs w:val="32"/>
        </w:rPr>
        <w:t>）一般食品安全突发事件：存在健康损害的污染食品，已造成严重健康损害后果的；</w:t>
      </w:r>
      <w:r>
        <w:rPr>
          <w:rFonts w:ascii="方正仿宋_GBK" w:hAnsi="黑体" w:cs="黑体"/>
          <w:snapToGrid w:val="0"/>
          <w:szCs w:val="32"/>
        </w:rPr>
        <w:t>1</w:t>
      </w:r>
      <w:r>
        <w:rPr>
          <w:rFonts w:hint="eastAsia" w:ascii="方正仿宋_GBK" w:hAnsi="黑体" w:cs="黑体"/>
          <w:snapToGrid w:val="0"/>
          <w:szCs w:val="32"/>
        </w:rPr>
        <w:t>起食品安全突发事件涉及人数在</w:t>
      </w:r>
      <w:r>
        <w:rPr>
          <w:rFonts w:ascii="方正仿宋_GBK" w:hAnsi="黑体" w:cs="黑体"/>
          <w:snapToGrid w:val="0"/>
          <w:szCs w:val="32"/>
        </w:rPr>
        <w:t>30</w:t>
      </w:r>
      <w:r>
        <w:rPr>
          <w:rFonts w:hint="eastAsia" w:ascii="方正仿宋_GBK" w:hAnsi="黑体" w:cs="黑体"/>
          <w:snapToGrid w:val="0"/>
          <w:szCs w:val="32"/>
        </w:rPr>
        <w:t>人（含）以上、</w:t>
      </w:r>
      <w:r>
        <w:rPr>
          <w:rFonts w:ascii="方正仿宋_GBK" w:hAnsi="黑体" w:cs="黑体"/>
          <w:snapToGrid w:val="0"/>
          <w:szCs w:val="32"/>
        </w:rPr>
        <w:t>99</w:t>
      </w:r>
      <w:r>
        <w:rPr>
          <w:rFonts w:hint="eastAsia" w:ascii="方正仿宋_GBK" w:hAnsi="黑体" w:cs="黑体"/>
          <w:snapToGrid w:val="0"/>
          <w:szCs w:val="32"/>
        </w:rPr>
        <w:t>人（含）以下，且未出现死亡病例的；已经或可能造成一般危害或一般不良影响的食品安全舆情事件；其他一般级别食品安全突发事件。</w:t>
      </w:r>
    </w:p>
    <w:p w14:paraId="15969807">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2  </w:t>
      </w:r>
      <w:r>
        <w:rPr>
          <w:rFonts w:hint="eastAsia" w:ascii="方正黑体_GBK" w:hAnsi="黑体" w:eastAsia="方正黑体_GBK" w:cs="黑体"/>
          <w:snapToGrid w:val="0"/>
          <w:szCs w:val="32"/>
        </w:rPr>
        <w:t>组织体系与职责</w:t>
      </w:r>
    </w:p>
    <w:p w14:paraId="66346617">
      <w:pPr>
        <w:widowControl/>
        <w:snapToGrid w:val="0"/>
        <w:spacing w:line="560" w:lineRule="exact"/>
        <w:ind w:firstLine="632" w:firstLineChars="200"/>
        <w:jc w:val="left"/>
        <w:rPr>
          <w:rFonts w:ascii="方正仿宋_GBK" w:hAnsi="黑体" w:cs="黑体"/>
          <w:snapToGrid w:val="0"/>
          <w:szCs w:val="32"/>
        </w:rPr>
      </w:pPr>
      <w:r>
        <w:rPr>
          <w:rFonts w:ascii="方正楷体_GBK" w:hAnsi="黑体" w:eastAsia="方正楷体_GBK" w:cs="黑体"/>
          <w:snapToGrid w:val="0"/>
          <w:szCs w:val="32"/>
        </w:rPr>
        <w:t xml:space="preserve">2.1  </w:t>
      </w:r>
      <w:r>
        <w:rPr>
          <w:rFonts w:hint="eastAsia" w:ascii="方正楷体_GBK" w:hAnsi="黑体" w:eastAsia="方正楷体_GBK" w:cs="黑体"/>
          <w:snapToGrid w:val="0"/>
          <w:szCs w:val="32"/>
        </w:rPr>
        <w:t>组织指挥机构</w:t>
      </w:r>
    </w:p>
    <w:p w14:paraId="6288F435">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一般、较大级别食品安全突发事件，由县政府成立组织指挥机构应对。县政府有关部门、有关单位密切配合，共同做好应对处置工作。</w:t>
      </w:r>
    </w:p>
    <w:p w14:paraId="19CDA0F9">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2.2  </w:t>
      </w:r>
      <w:r>
        <w:rPr>
          <w:rFonts w:hint="eastAsia" w:ascii="方正楷体_GBK" w:hAnsi="黑体" w:eastAsia="方正楷体_GBK" w:cs="黑体"/>
          <w:snapToGrid w:val="0"/>
          <w:szCs w:val="32"/>
        </w:rPr>
        <w:t>现场指挥机构</w:t>
      </w:r>
    </w:p>
    <w:p w14:paraId="0F6CC038">
      <w:pPr>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发生一般、较大食品安全突发事件时，由县政府根据需要成立现场应急处置指挥部（以下简称县指挥部），负责制订现场应急处置方案，组织开展医疗救助、人员疏散、现场警戒、交通管制、善后安抚、舆论引导、事件调查等各项工作。县指挥部指挥长由县政府分管副县长或指定的相关行业单位主管部门负责人担任，必要时由县政府主要领导担任。县指挥部根据食品安全事故涉及的食品监管环节，指定县级有关部门领导担任事故现场处置负责人。</w:t>
      </w:r>
    </w:p>
    <w:p w14:paraId="6E67514C">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在重大、特别重大食品安全突发事件发生期间，由县政府牵头组织开展先期应急处置，参与现场应急处置的单位和人员，应当服从现场应急处置指挥部的统一指挥。</w:t>
      </w:r>
    </w:p>
    <w:p w14:paraId="2CC3BD96">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2.3  </w:t>
      </w:r>
      <w:r>
        <w:rPr>
          <w:rFonts w:hint="eastAsia" w:ascii="方正楷体_GBK" w:hAnsi="黑体" w:eastAsia="方正楷体_GBK" w:cs="黑体"/>
          <w:snapToGrid w:val="0"/>
          <w:szCs w:val="32"/>
        </w:rPr>
        <w:t>县指挥部及成员单位职责</w:t>
      </w:r>
    </w:p>
    <w:p w14:paraId="7BB0D897">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 xml:space="preserve">2.3.1  </w:t>
      </w:r>
      <w:r>
        <w:rPr>
          <w:rFonts w:hint="eastAsia" w:ascii="方正仿宋_GBK" w:hAnsi="黑体" w:cs="黑体"/>
          <w:snapToGrid w:val="0"/>
          <w:szCs w:val="32"/>
        </w:rPr>
        <w:t>县指挥部主要职责</w:t>
      </w:r>
    </w:p>
    <w:p w14:paraId="0771C42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组织、协调、指挥时间的应急处置工作；及时向市应急办报告事件情况和应急处置工作进展情况；传达并贯彻落实市政府有关指示和要求；组织有关队伍、专家赶赴现场参加应急处置工作；成立相应小组负责有关应急处置工作。</w:t>
      </w:r>
    </w:p>
    <w:p w14:paraId="79FED2C4">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 xml:space="preserve">2.3.2  </w:t>
      </w:r>
      <w:r>
        <w:rPr>
          <w:rFonts w:hint="eastAsia" w:ascii="方正仿宋_GBK" w:hAnsi="黑体" w:cs="黑体"/>
          <w:snapToGrid w:val="0"/>
          <w:szCs w:val="32"/>
        </w:rPr>
        <w:t>县指挥部成员单位职责</w:t>
      </w:r>
    </w:p>
    <w:p w14:paraId="778F1905">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县政府应急办：发挥运转枢纽职责，负责统筹协调重大、特别重大食品安全突发事件应急处置，传达县指挥部指令；按照权限发布相关预警信息，向市应急办报告事件相关信息。</w:t>
      </w:r>
    </w:p>
    <w:p w14:paraId="31379B3B">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县食品药品监管局（县食安办）：负责应急指挥部办公室日常工作，组织开展食品生产经营环节发生的食品安全突发事件的调查处理和技术鉴定等工作。</w:t>
      </w:r>
    </w:p>
    <w:p w14:paraId="0D5D671D">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县卫生计生委：负责会同县食品药品监管部门提出应急响应建议、开展风险评估、做好信息发布；组织医疗机构开展救治，组织疾控和医疗</w:t>
      </w:r>
      <w:r>
        <w:rPr>
          <w:rFonts w:hint="eastAsia" w:ascii="方正仿宋_GBK" w:hAnsi="黑体" w:cs="黑体"/>
          <w:snapToGrid w:val="0"/>
          <w:spacing w:val="-4"/>
          <w:szCs w:val="32"/>
        </w:rPr>
        <w:t>相关机构对事发现场进行卫生处理并开展流行病学调查；提供相关标准解释；负责所需储备救治药品的保障供给。</w:t>
      </w:r>
    </w:p>
    <w:p w14:paraId="0DAB99EB">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县政府新闻办、县</w:t>
      </w:r>
      <w:r>
        <w:rPr>
          <w:rFonts w:hint="eastAsia" w:ascii="方正仿宋_GBK" w:hAnsi="黑体" w:cs="黑体"/>
          <w:snapToGrid w:val="0"/>
          <w:szCs w:val="32"/>
          <w:lang w:eastAsia="zh-CN"/>
        </w:rPr>
        <w:t>委</w:t>
      </w:r>
      <w:r>
        <w:rPr>
          <w:rFonts w:hint="eastAsia" w:ascii="方正仿宋_GBK" w:hAnsi="黑体" w:cs="黑体"/>
          <w:snapToGrid w:val="0"/>
          <w:szCs w:val="32"/>
        </w:rPr>
        <w:t>网信办：负责食品安全突发事件信息发布及舆论引导、舆情监控工作。</w:t>
      </w:r>
    </w:p>
    <w:p w14:paraId="7FAEC13C">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县发改委：负责食品安全突发事件处置中的物价稳定等工作，参与事件后的有关恢复工作。</w:t>
      </w:r>
    </w:p>
    <w:p w14:paraId="1C54424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县财政局：负责协调落实食品安全突发事件应急处置所需经费。</w:t>
      </w:r>
    </w:p>
    <w:p w14:paraId="7A6266B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县经信委：负责食品安全突发事件应急处置所需储备物资的保障供给。</w:t>
      </w:r>
    </w:p>
    <w:p w14:paraId="08B47E6C">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县教委：负责协助食品药品监管部门对学校及幼儿园食堂、食品超市（食品小卖部）发生的食品安全突发事件进行调查，组织开展相关应急处置。</w:t>
      </w:r>
    </w:p>
    <w:p w14:paraId="56E3E46D">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城乡建委：负责协助食品药品监管部门对建筑工地食堂发生的食品安全突发事件进行调查，组织开展相关应急处置。负责协助食品药品监管部门对占道经营食品摊贩发生的食品安全突发事件进行调查，组织开展相关应急处置。</w:t>
      </w:r>
    </w:p>
    <w:p w14:paraId="427573B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县交委：负责协助食品药品监管部门对船舶、长途汽车站、高速公路服务区等发生的食品安全突发事件开展调查，组织开展相关应急处置；协调提供食品安全突发事件应急处置过程中的公路、水路交通运力保障。</w:t>
      </w:r>
    </w:p>
    <w:p w14:paraId="7ACBF0B7">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县农委：负责组织对食用农产品种植养殖环节造成的质量安全事件开展调查处理和技术鉴定等。</w:t>
      </w:r>
    </w:p>
    <w:p w14:paraId="27FC51DC">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县畜牧产业发展中心：负责组织对畜禽屠宰环节和生鲜乳收</w:t>
      </w:r>
    </w:p>
    <w:p w14:paraId="43A4B3AE">
      <w:pPr>
        <w:widowControl/>
        <w:snapToGrid w:val="0"/>
        <w:spacing w:line="560" w:lineRule="exact"/>
        <w:jc w:val="left"/>
        <w:rPr>
          <w:rFonts w:ascii="方正仿宋_GBK" w:hAnsi="黑体" w:cs="黑体"/>
          <w:snapToGrid w:val="0"/>
          <w:szCs w:val="32"/>
        </w:rPr>
      </w:pPr>
      <w:r>
        <w:rPr>
          <w:rFonts w:hint="eastAsia" w:ascii="方正仿宋_GBK" w:hAnsi="黑体" w:cs="黑体"/>
          <w:snapToGrid w:val="0"/>
          <w:szCs w:val="32"/>
        </w:rPr>
        <w:t>购环节造成的质量安全事件开展调查处理和技术鉴定等。</w:t>
      </w:r>
    </w:p>
    <w:p w14:paraId="6BB35750">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县旅游局：负责协助食品药品监管部门对涉及旅游景区发生的食品安全突发事件进行调查，组织开展相关应急处置。</w:t>
      </w:r>
    </w:p>
    <w:p w14:paraId="5961931D">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县商务局：负责组织协调食品安全突发事件应急救援所需生活必需品的供应，维护好生活必需品市场稳定，协助食品药品监管部门做好流通领域食品安全突发事件的调查处理。</w:t>
      </w:r>
    </w:p>
    <w:p w14:paraId="4BE1F39A">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县公安局：负责食品安全突发事件中涉嫌犯罪行为的侦查，加强对食品安全突发事件现场的治安管理，维护社会治安秩序。</w:t>
      </w:r>
    </w:p>
    <w:p w14:paraId="0334F4FC">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县司法局：负责做好食品安全突发事件应急处置过程中的法律宣传、法律援助等工作。</w:t>
      </w:r>
    </w:p>
    <w:p w14:paraId="1D982B09">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县监察局：负责参与食品安全责任事故的调查处理，对乡镇（街道）、职能部门及其相关责任人的失职、渎职等行为进行责任追究。</w:t>
      </w:r>
    </w:p>
    <w:p w14:paraId="34A3A0A0">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县环保局：负责协助食品药品监管部门对因环境污染造成的食品安全突发事件的调查处理和环境监测工作，并督促相关肇事单位或个人处置污染物。</w:t>
      </w:r>
    </w:p>
    <w:p w14:paraId="4C8C050C">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县工商局：负责协助食品药品监管部门对食品安全突发事件发生单位法定代表人主体资格进行调查处理。</w:t>
      </w:r>
    </w:p>
    <w:p w14:paraId="3760450D">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县质监局：负责对涉及食品安全突发事件的相关食品包装材料、容器、食品生产经营工具等的生产加工行为开展调查处理和技术鉴定。</w:t>
      </w:r>
    </w:p>
    <w:p w14:paraId="2ABA3BAD">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县林业局：负责对林产品种植养殖环节发生的质量安全事件</w:t>
      </w:r>
    </w:p>
    <w:p w14:paraId="27ECF33A">
      <w:pPr>
        <w:widowControl/>
        <w:snapToGrid w:val="0"/>
        <w:spacing w:line="560" w:lineRule="exact"/>
        <w:jc w:val="left"/>
        <w:rPr>
          <w:rFonts w:ascii="方正仿宋_GBK" w:hAnsi="黑体" w:cs="黑体"/>
          <w:snapToGrid w:val="0"/>
          <w:szCs w:val="32"/>
        </w:rPr>
      </w:pPr>
      <w:r>
        <w:rPr>
          <w:rFonts w:hint="eastAsia" w:ascii="方正仿宋_GBK" w:hAnsi="黑体" w:cs="黑体"/>
          <w:snapToGrid w:val="0"/>
          <w:szCs w:val="32"/>
        </w:rPr>
        <w:t>开展调查处理和技术鉴定。</w:t>
      </w:r>
    </w:p>
    <w:p w14:paraId="055CF47C">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县政府法制办：负责监督指导各有关部门依法处置食品安全突发事件。</w:t>
      </w:r>
    </w:p>
    <w:p w14:paraId="7F2970A9">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县委县政府督查室：负责对食品安全突发事件应对处置工作进行督查督办。</w:t>
      </w:r>
    </w:p>
    <w:p w14:paraId="2EF4C7D6">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事发地乡镇（街道）人民政府（办事处）：负责组织开展一般、较大食品安全突发事件的应急处置和重大、特别重大事件的先期处置；做好重大、特别重大食品安全突发事件应急处置的后勤保障；组织做好善后工作。</w:t>
      </w:r>
    </w:p>
    <w:p w14:paraId="6165302B">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2.4  </w:t>
      </w:r>
      <w:r>
        <w:rPr>
          <w:rFonts w:hint="eastAsia" w:ascii="方正楷体_GBK" w:hAnsi="黑体" w:eastAsia="方正楷体_GBK" w:cs="黑体"/>
          <w:snapToGrid w:val="0"/>
          <w:szCs w:val="32"/>
        </w:rPr>
        <w:t>专家组</w:t>
      </w:r>
      <w:r>
        <w:rPr>
          <w:rFonts w:ascii="方正楷体_GBK" w:hAnsi="黑体" w:eastAsia="方正楷体_GBK" w:cs="黑体"/>
          <w:snapToGrid w:val="0"/>
          <w:szCs w:val="32"/>
        </w:rPr>
        <w:t> </w:t>
      </w:r>
    </w:p>
    <w:p w14:paraId="59841BAA">
      <w:pPr>
        <w:snapToGrid w:val="0"/>
        <w:spacing w:line="560" w:lineRule="exact"/>
        <w:ind w:firstLine="630"/>
        <w:rPr>
          <w:rFonts w:ascii="方正仿宋_GBK"/>
          <w:snapToGrid w:val="0"/>
          <w:szCs w:val="32"/>
        </w:rPr>
      </w:pPr>
      <w:r>
        <w:rPr>
          <w:rFonts w:hint="eastAsia" w:ascii="方正仿宋_GBK"/>
          <w:snapToGrid w:val="0"/>
          <w:szCs w:val="32"/>
        </w:rPr>
        <w:t>根据工作需要，组建县食品安全突发事件应急处置专家组（成员名单附后）。专家组受县指挥部的委派，负责对食品安全突发事件医疗、救助提供咨询意见，对事件性质进行调查论证，对应急处置工作重大决策提供政策咨询和技术建议，及时完成专家组报告。</w:t>
      </w:r>
    </w:p>
    <w:p w14:paraId="1EA04413">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3  </w:t>
      </w:r>
      <w:r>
        <w:rPr>
          <w:rFonts w:hint="eastAsia" w:ascii="方正黑体_GBK" w:hAnsi="黑体" w:eastAsia="方正黑体_GBK" w:cs="黑体"/>
          <w:snapToGrid w:val="0"/>
          <w:szCs w:val="32"/>
        </w:rPr>
        <w:t>监测预警</w:t>
      </w:r>
    </w:p>
    <w:p w14:paraId="0F7D6ACD">
      <w:pPr>
        <w:widowControl/>
        <w:snapToGrid w:val="0"/>
        <w:spacing w:line="560" w:lineRule="exact"/>
        <w:ind w:firstLine="632" w:firstLineChars="200"/>
        <w:jc w:val="left"/>
        <w:rPr>
          <w:rFonts w:ascii="方正仿宋_GBK" w:hAnsi="黑体" w:cs="黑体"/>
          <w:snapToGrid w:val="0"/>
          <w:szCs w:val="32"/>
        </w:rPr>
      </w:pPr>
      <w:r>
        <w:rPr>
          <w:rFonts w:ascii="方正楷体_GBK" w:hAnsi="黑体" w:eastAsia="方正楷体_GBK" w:cs="黑体"/>
          <w:snapToGrid w:val="0"/>
          <w:szCs w:val="32"/>
        </w:rPr>
        <w:t xml:space="preserve">3.1  </w:t>
      </w:r>
      <w:r>
        <w:rPr>
          <w:rFonts w:hint="eastAsia" w:ascii="方正楷体_GBK" w:hAnsi="黑体" w:eastAsia="方正楷体_GBK" w:cs="黑体"/>
          <w:snapToGrid w:val="0"/>
          <w:szCs w:val="32"/>
        </w:rPr>
        <w:t>监测</w:t>
      </w:r>
    </w:p>
    <w:p w14:paraId="76A4007E">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食品安全委员会办公室要建立完善我县行政区域内食品安全突发事件监测防控体系。县食品药品监督管理局、县卫生计生委、县农委及其他有关部门按照职责分工开展日常食品安全监督检查、抽样检验、不良反应、风险监测、舆情监测等工作，加强对媒体有关食品安全舆情热点、敏感信息的跟踪监测。对可能导致食品安全突发事件的风险隐患信息加强收集、分析和研判，必要时，向有关部门通报。监测信息的主要内容包括：（</w:t>
      </w:r>
      <w:r>
        <w:rPr>
          <w:rFonts w:ascii="方正仿宋_GBK" w:hAnsi="黑体" w:cs="黑体"/>
          <w:snapToGrid w:val="0"/>
          <w:szCs w:val="32"/>
        </w:rPr>
        <w:t>1</w:t>
      </w:r>
      <w:r>
        <w:rPr>
          <w:rFonts w:hint="eastAsia" w:ascii="方正仿宋_GBK" w:hAnsi="黑体" w:cs="黑体"/>
          <w:snapToGrid w:val="0"/>
          <w:szCs w:val="32"/>
        </w:rPr>
        <w:t>）来自广播、电视、报刊、互联网及移动网络等媒体上的食品安全相关舆情信息；（</w:t>
      </w:r>
      <w:r>
        <w:rPr>
          <w:rFonts w:ascii="方正仿宋_GBK" w:hAnsi="黑体" w:cs="黑体"/>
          <w:snapToGrid w:val="0"/>
          <w:szCs w:val="32"/>
        </w:rPr>
        <w:t>2</w:t>
      </w:r>
      <w:r>
        <w:rPr>
          <w:rFonts w:hint="eastAsia" w:ascii="方正仿宋_GBK" w:hAnsi="黑体" w:cs="黑体"/>
          <w:snapToGrid w:val="0"/>
          <w:szCs w:val="32"/>
        </w:rPr>
        <w:t>）食品安全突发事件发生单位与引发食品安全突发事件生产经营单位报告的信息；（</w:t>
      </w:r>
      <w:r>
        <w:rPr>
          <w:rFonts w:ascii="方正仿宋_GBK" w:hAnsi="黑体" w:cs="黑体"/>
          <w:snapToGrid w:val="0"/>
          <w:szCs w:val="32"/>
        </w:rPr>
        <w:t>3</w:t>
      </w:r>
      <w:r>
        <w:rPr>
          <w:rFonts w:hint="eastAsia" w:ascii="方正仿宋_GBK" w:hAnsi="黑体" w:cs="黑体"/>
          <w:snapToGrid w:val="0"/>
          <w:szCs w:val="32"/>
        </w:rPr>
        <w:t>）医疗机构报告的信息；（</w:t>
      </w:r>
      <w:r>
        <w:rPr>
          <w:rFonts w:ascii="方正仿宋_GBK" w:hAnsi="黑体" w:cs="黑体"/>
          <w:snapToGrid w:val="0"/>
          <w:szCs w:val="32"/>
        </w:rPr>
        <w:t>4</w:t>
      </w:r>
      <w:r>
        <w:rPr>
          <w:rFonts w:hint="eastAsia" w:ascii="方正仿宋_GBK" w:hAnsi="黑体" w:cs="黑体"/>
          <w:snapToGrid w:val="0"/>
          <w:szCs w:val="32"/>
        </w:rPr>
        <w:t>）食品安全相关技术机构监测和分析结果；（</w:t>
      </w:r>
      <w:r>
        <w:rPr>
          <w:rFonts w:ascii="方正仿宋_GBK" w:hAnsi="黑体" w:cs="黑体"/>
          <w:snapToGrid w:val="0"/>
          <w:szCs w:val="32"/>
        </w:rPr>
        <w:t>5</w:t>
      </w:r>
      <w:r>
        <w:rPr>
          <w:rFonts w:hint="eastAsia" w:ascii="方正仿宋_GBK" w:hAnsi="黑体" w:cs="黑体"/>
          <w:snapToGrid w:val="0"/>
          <w:szCs w:val="32"/>
        </w:rPr>
        <w:t>）经核实的公众举报信息；（</w:t>
      </w:r>
      <w:r>
        <w:rPr>
          <w:rFonts w:ascii="方正仿宋_GBK" w:hAnsi="黑体" w:cs="黑体"/>
          <w:snapToGrid w:val="0"/>
          <w:szCs w:val="32"/>
        </w:rPr>
        <w:t>6</w:t>
      </w:r>
      <w:r>
        <w:rPr>
          <w:rFonts w:hint="eastAsia" w:ascii="方正仿宋_GBK" w:hAnsi="黑体" w:cs="黑体"/>
          <w:snapToGrid w:val="0"/>
          <w:szCs w:val="32"/>
        </w:rPr>
        <w:t>）有关部门通报的食品安全突发事件信息；（</w:t>
      </w:r>
      <w:r>
        <w:rPr>
          <w:rFonts w:ascii="方正仿宋_GBK" w:hAnsi="黑体" w:cs="黑体"/>
          <w:snapToGrid w:val="0"/>
          <w:szCs w:val="32"/>
        </w:rPr>
        <w:t>7</w:t>
      </w:r>
      <w:r>
        <w:rPr>
          <w:rFonts w:hint="eastAsia" w:ascii="方正仿宋_GBK" w:hAnsi="黑体" w:cs="黑体"/>
          <w:snapToGrid w:val="0"/>
          <w:szCs w:val="32"/>
        </w:rPr>
        <w:t>）日常监督检查和抽检监测中发现的食品安全信息；（</w:t>
      </w:r>
      <w:r>
        <w:rPr>
          <w:rFonts w:ascii="方正仿宋_GBK" w:hAnsi="黑体" w:cs="黑体"/>
          <w:snapToGrid w:val="0"/>
          <w:szCs w:val="32"/>
        </w:rPr>
        <w:t>8</w:t>
      </w:r>
      <w:r>
        <w:rPr>
          <w:rFonts w:hint="eastAsia" w:ascii="方正仿宋_GBK" w:hAnsi="黑体" w:cs="黑体"/>
          <w:snapToGrid w:val="0"/>
          <w:szCs w:val="32"/>
        </w:rPr>
        <w:t>）国务院有关部门和重庆市通报我县的信息；（</w:t>
      </w:r>
      <w:r>
        <w:rPr>
          <w:rFonts w:ascii="方正仿宋_GBK" w:hAnsi="黑体" w:cs="黑体"/>
          <w:snapToGrid w:val="0"/>
          <w:szCs w:val="32"/>
        </w:rPr>
        <w:t>9</w:t>
      </w:r>
      <w:r>
        <w:rPr>
          <w:rFonts w:hint="eastAsia" w:ascii="方正仿宋_GBK" w:hAnsi="黑体" w:cs="黑体"/>
          <w:snapToGrid w:val="0"/>
          <w:szCs w:val="32"/>
        </w:rPr>
        <w:t>）其他渠道获取的食品安全突发事件信息。</w:t>
      </w:r>
    </w:p>
    <w:p w14:paraId="75131A06">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食品生产经营者应当依法落实食品安全主体责任，建立健全风险防控措施，定期开展自查，排查和消除食品安全风险隐患。当出现可能导致食品安全突发事件的情况时，要立即报告县食品药品监管局。</w:t>
      </w:r>
    </w:p>
    <w:p w14:paraId="51A204AD">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3.2  </w:t>
      </w:r>
      <w:r>
        <w:rPr>
          <w:rFonts w:hint="eastAsia" w:ascii="方正楷体_GBK" w:hAnsi="黑体" w:eastAsia="方正楷体_GBK" w:cs="黑体"/>
          <w:snapToGrid w:val="0"/>
          <w:szCs w:val="32"/>
        </w:rPr>
        <w:t>预警</w:t>
      </w:r>
    </w:p>
    <w:p w14:paraId="716A97E8">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 xml:space="preserve">3.2.1  </w:t>
      </w:r>
      <w:r>
        <w:rPr>
          <w:rFonts w:hint="eastAsia" w:ascii="方正仿宋_GBK" w:hAnsi="黑体" w:cs="黑体"/>
          <w:snapToGrid w:val="0"/>
          <w:szCs w:val="32"/>
        </w:rPr>
        <w:t>预警分级</w:t>
      </w:r>
    </w:p>
    <w:p w14:paraId="27B1BE0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对可以预警的食品安全突发事件，按照事件发生的紧急程度、发展态势和可能造成的危害程度分为一级、二级、三级和四级预警，分别用红色、橙色、黄色和蓝色表示，一级为最高级别。</w:t>
      </w:r>
    </w:p>
    <w:p w14:paraId="1FF5EAAE">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3.2.2</w:t>
      </w:r>
      <w:r>
        <w:rPr>
          <w:rFonts w:ascii="宋体" w:hAnsi="宋体" w:eastAsia="宋体" w:cs="宋体"/>
          <w:snapToGrid w:val="0"/>
          <w:szCs w:val="32"/>
        </w:rPr>
        <w:t xml:space="preserve">  </w:t>
      </w:r>
      <w:r>
        <w:rPr>
          <w:rFonts w:hint="eastAsia" w:ascii="方正仿宋_GBK" w:hAnsi="黑体" w:cs="黑体"/>
          <w:snapToGrid w:val="0"/>
          <w:szCs w:val="32"/>
        </w:rPr>
        <w:t>预警发布</w:t>
      </w:r>
    </w:p>
    <w:p w14:paraId="36939D52">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1</w:t>
      </w:r>
      <w:r>
        <w:rPr>
          <w:rFonts w:hint="eastAsia" w:ascii="方正仿宋_GBK" w:hAnsi="黑体" w:cs="黑体"/>
          <w:snapToGrid w:val="0"/>
          <w:szCs w:val="32"/>
        </w:rPr>
        <w:t>）发布权限。红色预警信息由国家层面发布；橙色预警信息由市食品药品监管局会同市卫生计生委报经市政府批准后联合发布；黄色、蓝色预警信息由县人民政府或其授权的部门和单位发布。</w:t>
      </w:r>
    </w:p>
    <w:p w14:paraId="50B96360">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2</w:t>
      </w:r>
      <w:r>
        <w:rPr>
          <w:rFonts w:hint="eastAsia" w:ascii="方正仿宋_GBK" w:hAnsi="黑体" w:cs="黑体"/>
          <w:snapToGrid w:val="0"/>
          <w:szCs w:val="32"/>
        </w:rPr>
        <w:t>）预警内容。预警信息内容应当明确具体，包括发布单位、发布时间、可能发生突发事件的类别、起始时间、可能影响范围、预警级别、警示事项、事态发展、相关措施、咨询电话等内容。</w:t>
      </w:r>
    </w:p>
    <w:p w14:paraId="7EB3A34D">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3</w:t>
      </w:r>
      <w:r>
        <w:rPr>
          <w:rFonts w:hint="eastAsia" w:ascii="方正仿宋_GBK" w:hAnsi="黑体" w:cs="黑体"/>
          <w:snapToGrid w:val="0"/>
          <w:szCs w:val="32"/>
        </w:rPr>
        <w:t>）发布途径。预警信息应当通过电视、广播、报纸、网站、微博、微信、手机短信、电子屏幕等各种途径及时向公众发布。</w:t>
      </w:r>
    </w:p>
    <w:p w14:paraId="78F0FF10">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3.2.3</w:t>
      </w:r>
      <w:r>
        <w:rPr>
          <w:rFonts w:ascii="宋体" w:hAnsi="宋体" w:eastAsia="宋体" w:cs="宋体"/>
          <w:snapToGrid w:val="0"/>
          <w:szCs w:val="32"/>
        </w:rPr>
        <w:t xml:space="preserve">  </w:t>
      </w:r>
      <w:r>
        <w:rPr>
          <w:rFonts w:hint="eastAsia" w:ascii="方正仿宋_GBK" w:hAnsi="黑体" w:cs="黑体"/>
          <w:snapToGrid w:val="0"/>
          <w:szCs w:val="32"/>
        </w:rPr>
        <w:t>预警行动</w:t>
      </w:r>
    </w:p>
    <w:p w14:paraId="286A4245">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预警信息发布后，县政府有关部门和有关单位可以视情迅速采取以下措施：</w:t>
      </w:r>
    </w:p>
    <w:p w14:paraId="5212F35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1</w:t>
      </w:r>
      <w:r>
        <w:rPr>
          <w:rFonts w:hint="eastAsia" w:ascii="方正仿宋_GBK" w:hAnsi="黑体" w:cs="黑体"/>
          <w:snapToGrid w:val="0"/>
          <w:szCs w:val="32"/>
        </w:rPr>
        <w:t>）分析研判。组织有关部门和机构、专业技术人员及专家，加强对苗头性、倾向性食品安全信息和热点敏感食品安全舆情的收集、核查、汇总和分析研判，及时组织开展跟踪监测工作，预估事件发展趋势、危害程度、影响范围。经分析评估与调查核实，符合食品安全突发事件分级响应标准的，按本预案处置。</w:t>
      </w:r>
    </w:p>
    <w:p w14:paraId="42E24C72">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2</w:t>
      </w:r>
      <w:r>
        <w:rPr>
          <w:rFonts w:hint="eastAsia" w:ascii="方正仿宋_GBK" w:hAnsi="黑体" w:cs="黑体"/>
          <w:snapToGrid w:val="0"/>
          <w:szCs w:val="32"/>
        </w:rPr>
        <w:t>）防范措施。迅速采取有效防范措施，防止事件进一步蔓延扩大。利用各种渠道增加宣传频次，加强对食品安全应急科普方面的宣传，告知公众停止食用或者使用不安全食品。</w:t>
      </w:r>
    </w:p>
    <w:p w14:paraId="0D468D61">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3</w:t>
      </w:r>
      <w:r>
        <w:rPr>
          <w:rFonts w:hint="eastAsia" w:ascii="方正仿宋_GBK" w:hAnsi="黑体" w:cs="黑体"/>
          <w:snapToGrid w:val="0"/>
          <w:szCs w:val="32"/>
        </w:rPr>
        <w:t>）应急准备。责令应急专业队伍和负有相关职责的人员进入待命状态，调集食品安全突发事件应急所需物资、装备和设备，做好应急保障工作。</w:t>
      </w:r>
    </w:p>
    <w:p w14:paraId="56A0A779">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w:t>
      </w:r>
      <w:r>
        <w:rPr>
          <w:rFonts w:ascii="方正仿宋_GBK" w:hAnsi="黑体" w:cs="黑体"/>
          <w:snapToGrid w:val="0"/>
          <w:szCs w:val="32"/>
        </w:rPr>
        <w:t>4</w:t>
      </w:r>
      <w:r>
        <w:rPr>
          <w:rFonts w:hint="eastAsia" w:ascii="方正仿宋_GBK" w:hAnsi="黑体" w:cs="黑体"/>
          <w:snapToGrid w:val="0"/>
          <w:szCs w:val="32"/>
        </w:rPr>
        <w:t>）舆论引导。及时准确发布事态最新情况，组织专家解读，并对可能产生的危害加以解释、说明，加强相关舆情跟踪监测，主动回应社会公众关注的问题，及时澄清谣言传言。</w:t>
      </w:r>
    </w:p>
    <w:p w14:paraId="5BD43F1C">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3.2.4</w:t>
      </w:r>
      <w:r>
        <w:rPr>
          <w:rFonts w:ascii="宋体" w:hAnsi="宋体" w:eastAsia="宋体" w:cs="宋体"/>
          <w:snapToGrid w:val="0"/>
          <w:szCs w:val="32"/>
        </w:rPr>
        <w:t xml:space="preserve">  </w:t>
      </w:r>
      <w:r>
        <w:rPr>
          <w:rFonts w:hint="eastAsia" w:ascii="方正仿宋_GBK" w:hAnsi="黑体" w:cs="黑体"/>
          <w:snapToGrid w:val="0"/>
          <w:szCs w:val="32"/>
        </w:rPr>
        <w:t>预警调整和解除</w:t>
      </w:r>
    </w:p>
    <w:p w14:paraId="4F9A438A">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发布预警的单位应当根据事态的发展和采取措施的效果等情况，按照有关规定适时调整预警级别并重新发布。当研判可能引发食品安全突发事件的因素已经消除或得到有效控制，应立即宣布解除警报，终止预警期，并解除已经采取的有关措施。</w:t>
      </w:r>
    </w:p>
    <w:p w14:paraId="1123DB5E">
      <w:pPr>
        <w:widowControl/>
        <w:snapToGrid w:val="0"/>
        <w:spacing w:line="560" w:lineRule="exact"/>
        <w:ind w:firstLine="632" w:firstLineChars="200"/>
        <w:jc w:val="left"/>
        <w:rPr>
          <w:rFonts w:ascii="方正仿宋_GBK" w:hAnsi="黑体" w:cs="黑体"/>
          <w:snapToGrid w:val="0"/>
          <w:szCs w:val="32"/>
        </w:rPr>
      </w:pPr>
      <w:r>
        <w:rPr>
          <w:rFonts w:ascii="方正黑体_GBK" w:hAnsi="黑体" w:eastAsia="方正黑体_GBK" w:cs="黑体"/>
          <w:snapToGrid w:val="0"/>
          <w:szCs w:val="32"/>
        </w:rPr>
        <w:t xml:space="preserve">4  </w:t>
      </w:r>
      <w:r>
        <w:rPr>
          <w:rFonts w:hint="eastAsia" w:ascii="方正黑体_GBK" w:hAnsi="黑体" w:eastAsia="方正黑体_GBK" w:cs="黑体"/>
          <w:snapToGrid w:val="0"/>
          <w:szCs w:val="32"/>
        </w:rPr>
        <w:t>信息报告</w:t>
      </w:r>
    </w:p>
    <w:p w14:paraId="61272CC1">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4.1  </w:t>
      </w:r>
      <w:r>
        <w:rPr>
          <w:rFonts w:hint="eastAsia" w:ascii="方正楷体_GBK" w:hAnsi="黑体" w:eastAsia="方正楷体_GBK" w:cs="黑体"/>
          <w:snapToGrid w:val="0"/>
          <w:szCs w:val="32"/>
        </w:rPr>
        <w:t>报送程序</w:t>
      </w:r>
    </w:p>
    <w:p w14:paraId="2C7B5959">
      <w:pPr>
        <w:widowControl/>
        <w:snapToGrid w:val="0"/>
        <w:spacing w:line="560" w:lineRule="exact"/>
        <w:ind w:firstLine="632" w:firstLineChars="200"/>
        <w:jc w:val="left"/>
        <w:rPr>
          <w:rFonts w:ascii="方正楷体_GBK" w:hAnsi="黑体" w:eastAsia="方正楷体_GBK" w:cs="黑体"/>
          <w:snapToGrid w:val="0"/>
          <w:szCs w:val="32"/>
        </w:rPr>
      </w:pPr>
      <w:r>
        <w:rPr>
          <w:rFonts w:hint="eastAsia" w:ascii="方正仿宋_GBK" w:hAnsi="黑体" w:cs="黑体"/>
          <w:snapToGrid w:val="0"/>
          <w:szCs w:val="32"/>
        </w:rPr>
        <w:t>发生食品安全突发事件后，乡镇（街道）应道立即核实有关情况，按照县委、县政府《关于严格突发事件信息报送工作的通知》（石柱委办发〔</w:t>
      </w:r>
      <w:r>
        <w:rPr>
          <w:rFonts w:ascii="方正仿宋_GBK" w:hAnsi="黑体" w:cs="黑体"/>
          <w:snapToGrid w:val="0"/>
          <w:szCs w:val="32"/>
        </w:rPr>
        <w:t>2016</w:t>
      </w:r>
      <w:r>
        <w:rPr>
          <w:rFonts w:hint="eastAsia" w:ascii="方正仿宋_GBK" w:hAnsi="黑体" w:cs="黑体"/>
          <w:snapToGrid w:val="0"/>
          <w:szCs w:val="32"/>
        </w:rPr>
        <w:t>〕</w:t>
      </w:r>
      <w:r>
        <w:rPr>
          <w:rFonts w:ascii="方正仿宋_GBK" w:hAnsi="黑体" w:cs="黑体"/>
          <w:snapToGrid w:val="0"/>
          <w:szCs w:val="32"/>
        </w:rPr>
        <w:t>45</w:t>
      </w:r>
      <w:r>
        <w:rPr>
          <w:rFonts w:hint="eastAsia" w:ascii="方正仿宋_GBK" w:hAnsi="黑体" w:cs="黑体"/>
          <w:snapToGrid w:val="0"/>
          <w:szCs w:val="32"/>
        </w:rPr>
        <w:t>号）要求，</w:t>
      </w:r>
      <w:r>
        <w:rPr>
          <w:rFonts w:ascii="方正仿宋_GBK" w:hAnsi="黑体" w:cs="黑体"/>
          <w:snapToGrid w:val="0"/>
          <w:szCs w:val="32"/>
        </w:rPr>
        <w:t>20</w:t>
      </w:r>
      <w:r>
        <w:rPr>
          <w:rFonts w:hint="eastAsia" w:ascii="方正仿宋_GBK" w:hAnsi="黑体" w:cs="黑体"/>
          <w:snapToGrid w:val="0"/>
          <w:szCs w:val="32"/>
        </w:rPr>
        <w:t>分钟内向县委、县政府和县食品药品监督管理局电话首报，</w:t>
      </w:r>
      <w:r>
        <w:rPr>
          <w:rFonts w:ascii="方正仿宋_GBK" w:hAnsi="黑体" w:cs="黑体"/>
          <w:snapToGrid w:val="0"/>
          <w:szCs w:val="32"/>
        </w:rPr>
        <w:t>40</w:t>
      </w:r>
      <w:r>
        <w:rPr>
          <w:rFonts w:hint="eastAsia" w:ascii="方正仿宋_GBK" w:hAnsi="黑体" w:cs="黑体"/>
          <w:snapToGrid w:val="0"/>
          <w:szCs w:val="32"/>
        </w:rPr>
        <w:t>分钟内报送书面信息。</w:t>
      </w:r>
    </w:p>
    <w:p w14:paraId="7958C7D6">
      <w:pPr>
        <w:widowControl/>
        <w:snapToGrid w:val="0"/>
        <w:spacing w:line="560" w:lineRule="exact"/>
        <w:ind w:firstLine="632" w:firstLineChars="200"/>
        <w:jc w:val="left"/>
        <w:rPr>
          <w:rFonts w:ascii="方正楷体_GBK" w:hAnsi="黑体" w:eastAsia="方正楷体_GBK" w:cs="黑体"/>
          <w:snapToGrid w:val="0"/>
          <w:szCs w:val="32"/>
        </w:rPr>
      </w:pPr>
      <w:r>
        <w:rPr>
          <w:rFonts w:hint="eastAsia" w:ascii="方正仿宋_GBK" w:hAnsi="黑体" w:cs="黑体"/>
          <w:snapToGrid w:val="0"/>
          <w:szCs w:val="32"/>
        </w:rPr>
        <w:t>县食品药品监督管理局应当立即核实有关情况，报告县政府，并与县政府统一口径后报告市食品药品监管局。</w:t>
      </w:r>
    </w:p>
    <w:p w14:paraId="5F5584B0">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4.2  </w:t>
      </w:r>
      <w:r>
        <w:rPr>
          <w:rFonts w:hint="eastAsia" w:ascii="方正楷体_GBK" w:hAnsi="黑体" w:eastAsia="方正楷体_GBK" w:cs="黑体"/>
          <w:snapToGrid w:val="0"/>
          <w:szCs w:val="32"/>
        </w:rPr>
        <w:t>信息内容</w:t>
      </w:r>
    </w:p>
    <w:p w14:paraId="3456D286">
      <w:pPr>
        <w:widowControl/>
        <w:snapToGrid w:val="0"/>
        <w:spacing w:line="560" w:lineRule="exact"/>
        <w:ind w:firstLine="632" w:firstLineChars="200"/>
        <w:jc w:val="left"/>
        <w:rPr>
          <w:rFonts w:ascii="方正楷体_GBK" w:hAnsi="黑体" w:eastAsia="方正楷体_GBK" w:cs="黑体"/>
          <w:snapToGrid w:val="0"/>
          <w:szCs w:val="32"/>
        </w:rPr>
      </w:pPr>
      <w:r>
        <w:rPr>
          <w:rFonts w:hint="eastAsia" w:ascii="方正仿宋_GBK" w:hAnsi="黑体" w:cs="黑体"/>
          <w:snapToGrid w:val="0"/>
          <w:szCs w:val="32"/>
        </w:rPr>
        <w:t>报告主要内容包括：事件发生时间、地点，负责现场指挥人员姓名、职务和联系方式，信息来源、当前状况、危害程度、先期处置、人员伤亡情况、临床症状、救治情况、已采取的处置措施及进展，是否需要增援，报告人姓名、职务、联系方式等内容。</w:t>
      </w:r>
    </w:p>
    <w:p w14:paraId="2158500E">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4.3  </w:t>
      </w:r>
      <w:r>
        <w:rPr>
          <w:rFonts w:hint="eastAsia" w:ascii="方正楷体_GBK" w:hAnsi="黑体" w:eastAsia="方正楷体_GBK" w:cs="黑体"/>
          <w:snapToGrid w:val="0"/>
          <w:szCs w:val="32"/>
        </w:rPr>
        <w:t>信息续报</w:t>
      </w:r>
    </w:p>
    <w:p w14:paraId="155AFF17">
      <w:pPr>
        <w:widowControl/>
        <w:snapToGrid w:val="0"/>
        <w:spacing w:line="560" w:lineRule="exact"/>
        <w:ind w:firstLine="632" w:firstLineChars="200"/>
        <w:jc w:val="left"/>
        <w:rPr>
          <w:rFonts w:ascii="方正楷体_GBK" w:hAnsi="黑体" w:eastAsia="方正楷体_GBK" w:cs="黑体"/>
          <w:snapToGrid w:val="0"/>
          <w:szCs w:val="32"/>
        </w:rPr>
      </w:pPr>
      <w:r>
        <w:rPr>
          <w:rFonts w:hint="eastAsia" w:ascii="方正仿宋_GBK" w:hAnsi="黑体" w:cs="黑体"/>
          <w:snapToGrid w:val="0"/>
          <w:szCs w:val="32"/>
        </w:rPr>
        <w:t>对首报时要素不齐全或事件衍生出新情况、处置工作有新进展的，要及时续报。续报包括事件进展、发展趋势、后续应对措施、调查详情、原因分析等信息。应急处置工作结束后</w:t>
      </w:r>
      <w:r>
        <w:rPr>
          <w:rFonts w:ascii="方正仿宋_GBK" w:hAnsi="黑体" w:cs="黑体"/>
          <w:snapToGrid w:val="0"/>
          <w:szCs w:val="32"/>
        </w:rPr>
        <w:t>1</w:t>
      </w:r>
      <w:r>
        <w:rPr>
          <w:rFonts w:hint="eastAsia" w:ascii="方正仿宋_GBK" w:hAnsi="黑体" w:cs="黑体"/>
          <w:snapToGrid w:val="0"/>
          <w:szCs w:val="32"/>
        </w:rPr>
        <w:t>个工作日内要终报，包括事件概况、调查处理过程、事件性质、事件责任认定、追溯或处置结果、整改措施和效果评价等。</w:t>
      </w:r>
    </w:p>
    <w:p w14:paraId="33FD37B9">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5  </w:t>
      </w:r>
      <w:r>
        <w:rPr>
          <w:rFonts w:hint="eastAsia" w:ascii="方正黑体_GBK" w:hAnsi="黑体" w:eastAsia="方正黑体_GBK" w:cs="黑体"/>
          <w:snapToGrid w:val="0"/>
          <w:szCs w:val="32"/>
        </w:rPr>
        <w:t>应急响应</w:t>
      </w:r>
    </w:p>
    <w:p w14:paraId="47605250">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5.1  </w:t>
      </w:r>
      <w:r>
        <w:rPr>
          <w:rFonts w:hint="eastAsia" w:ascii="方正楷体_GBK" w:hAnsi="黑体" w:eastAsia="方正楷体_GBK" w:cs="黑体"/>
          <w:snapToGrid w:val="0"/>
          <w:szCs w:val="32"/>
        </w:rPr>
        <w:t>响应分级</w:t>
      </w:r>
    </w:p>
    <w:p w14:paraId="5AC7A67D">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根据发生的食品安全突发事件的严重程度和发展态势，将应急响应设定为Ⅰ级、Ⅱ级、Ⅲ级和Ⅳ级四个等级。</w:t>
      </w:r>
    </w:p>
    <w:p w14:paraId="578F7275">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初判发生特别重大食品安全突发事件时，由国务院或国务院委派部门启动Ⅰ级应急响应，统一领导和指挥处置工作。</w:t>
      </w:r>
    </w:p>
    <w:p w14:paraId="0DA045AE">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初判发生重大食品安全突发事件时，由市政府或市政府委派部门启动Ⅱ级应急响应，统一指挥处置工作。</w:t>
      </w:r>
    </w:p>
    <w:p w14:paraId="1EFCF15F">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初判发生较大、一般食品安全突发事件时，由县政府或县政府委派部门启动Ⅲ级、Ⅳ级应急响应，统一指挥处置工作。</w:t>
      </w:r>
    </w:p>
    <w:p w14:paraId="7F620452">
      <w:pPr>
        <w:widowControl/>
        <w:snapToGrid w:val="0"/>
        <w:spacing w:line="560" w:lineRule="exact"/>
        <w:ind w:firstLine="632" w:firstLineChars="200"/>
        <w:jc w:val="left"/>
        <w:rPr>
          <w:rFonts w:ascii="方正楷体_GBK" w:hAnsi="黑体" w:eastAsia="方正楷体_GBK" w:cs="黑体"/>
          <w:snapToGrid w:val="0"/>
          <w:szCs w:val="32"/>
        </w:rPr>
      </w:pPr>
      <w:r>
        <w:rPr>
          <w:rFonts w:ascii="方正楷体_GBK" w:hAnsi="黑体" w:eastAsia="方正楷体_GBK" w:cs="黑体"/>
          <w:snapToGrid w:val="0"/>
          <w:szCs w:val="32"/>
        </w:rPr>
        <w:t xml:space="preserve">5.2  </w:t>
      </w:r>
      <w:r>
        <w:rPr>
          <w:rFonts w:hint="eastAsia" w:ascii="方正楷体_GBK" w:hAnsi="黑体" w:eastAsia="方正楷体_GBK" w:cs="黑体"/>
          <w:snapToGrid w:val="0"/>
          <w:szCs w:val="32"/>
        </w:rPr>
        <w:t>响应措施</w:t>
      </w:r>
    </w:p>
    <w:p w14:paraId="5B8C77C2">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食品安全突发事件发生后，根据事件性质、特点和危害程度，由县指挥部统一牵头，县卫生计生委负责组织开展医学救援、流行病学调查、检验检测等，县食品药品监管局、县公安局、县政府新闻办、事发地乡镇（街道）政府等单位组织开展现场调查、现场处置、事件调查、信息发布和舆论引导等工作。</w:t>
      </w:r>
    </w:p>
    <w:p w14:paraId="4DF8B217">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5.2.1</w:t>
      </w:r>
      <w:r>
        <w:rPr>
          <w:rFonts w:ascii="宋体" w:hAnsi="宋体" w:eastAsia="宋体" w:cs="宋体"/>
          <w:snapToGrid w:val="0"/>
          <w:szCs w:val="32"/>
        </w:rPr>
        <w:t xml:space="preserve">  </w:t>
      </w:r>
      <w:r>
        <w:rPr>
          <w:rFonts w:hint="eastAsia" w:ascii="方正仿宋_GBK" w:hAnsi="黑体" w:cs="黑体"/>
          <w:snapToGrid w:val="0"/>
          <w:szCs w:val="32"/>
        </w:rPr>
        <w:t>医学救援</w:t>
      </w:r>
    </w:p>
    <w:p w14:paraId="1CB93D19">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卫生计生委迅速组织医疗资源和力量，对就诊人员进行筛查，确定发病人数，并对食品安全突发事件患者进行诊断治疗，根据需要及时、安全地将重症患者转运到有条件的医疗机构加强救治。视情增派医疗卫生专家和卫生应急队伍，调配急需医药物资，支持事发地医学救援工作。提出保护公众身体健康的措施建议，做好患者的心理援助。</w:t>
      </w:r>
    </w:p>
    <w:p w14:paraId="6BBA8211">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5.2.2</w:t>
      </w:r>
      <w:r>
        <w:rPr>
          <w:rFonts w:ascii="宋体" w:hAnsi="宋体" w:eastAsia="宋体" w:cs="宋体"/>
          <w:snapToGrid w:val="0"/>
          <w:szCs w:val="32"/>
        </w:rPr>
        <w:t xml:space="preserve">  </w:t>
      </w:r>
      <w:r>
        <w:rPr>
          <w:rFonts w:hint="eastAsia" w:ascii="方正仿宋_GBK" w:hAnsi="黑体" w:cs="黑体"/>
          <w:snapToGrid w:val="0"/>
          <w:szCs w:val="32"/>
        </w:rPr>
        <w:t>现场处置</w:t>
      </w:r>
    </w:p>
    <w:p w14:paraId="73BFD201">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食品药品监管局、县疾控中心等有关部门应当依法先行登记保存或查封、扣押可能导致食品安全突发事件的食品及其原料和食品相关产品；对确认属于被污染的食品及其原料，责令生产经营者按相关法律法规规定停止生产经营和召回；对被污染的食品相关产品，在完成相关调查后，责令生产经营者立即进行清洗消毒等处理；必要时应当标明危害范围，防止危害扩大或证据灭失等。依法封存涉事相关场所以及用于食品生产经营的工具、设备，待现场调查结束后，责令彻底清洗消毒被污染的场所以及用于食品生产经营的工具、设备，消除污染源。</w:t>
      </w:r>
    </w:p>
    <w:p w14:paraId="0ED67AF6">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5.2.3</w:t>
      </w:r>
      <w:r>
        <w:rPr>
          <w:rFonts w:ascii="宋体" w:hAnsi="宋体" w:eastAsia="宋体" w:cs="宋体"/>
          <w:snapToGrid w:val="0"/>
          <w:szCs w:val="32"/>
        </w:rPr>
        <w:t xml:space="preserve">  </w:t>
      </w:r>
      <w:r>
        <w:rPr>
          <w:rFonts w:hint="eastAsia" w:ascii="方正仿宋_GBK" w:hAnsi="黑体" w:cs="黑体"/>
          <w:snapToGrid w:val="0"/>
          <w:szCs w:val="32"/>
        </w:rPr>
        <w:t>流行病学调查</w:t>
      </w:r>
    </w:p>
    <w:p w14:paraId="67C909A8">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疾控中心对现场及时开展卫生处理，并按照《食品安全事故流行病学调查工作规范》《食品安全事故流行病学调查技术指南》相关规定对与事件有关的因素开展流行病学调查，有关部门应当予以协助。疾病预防控制机构在完成流行病学调查后，应当在</w:t>
      </w:r>
      <w:r>
        <w:rPr>
          <w:rFonts w:ascii="方正仿宋_GBK" w:hAnsi="黑体" w:cs="黑体"/>
          <w:snapToGrid w:val="0"/>
          <w:szCs w:val="32"/>
        </w:rPr>
        <w:t>24</w:t>
      </w:r>
      <w:r>
        <w:rPr>
          <w:rFonts w:hint="eastAsia" w:ascii="方正仿宋_GBK" w:hAnsi="黑体" w:cs="黑体"/>
          <w:snapToGrid w:val="0"/>
          <w:szCs w:val="32"/>
        </w:rPr>
        <w:t>小时内提交初步流行病学调查报告，并在</w:t>
      </w:r>
      <w:r>
        <w:rPr>
          <w:rFonts w:ascii="方正仿宋_GBK" w:hAnsi="黑体" w:cs="黑体"/>
          <w:snapToGrid w:val="0"/>
          <w:szCs w:val="32"/>
        </w:rPr>
        <w:t>7</w:t>
      </w:r>
      <w:r>
        <w:rPr>
          <w:rFonts w:hint="eastAsia" w:ascii="方正仿宋_GBK" w:hAnsi="黑体" w:cs="黑体"/>
          <w:snapToGrid w:val="0"/>
          <w:szCs w:val="32"/>
        </w:rPr>
        <w:t>日内提交最终调查报告。县食品药品监管局应当组织专家对流行病学报告进行审查，及时上报。</w:t>
      </w:r>
    </w:p>
    <w:p w14:paraId="11FDA60D">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5.2.4</w:t>
      </w:r>
      <w:r>
        <w:rPr>
          <w:rFonts w:ascii="宋体" w:hAnsi="宋体" w:eastAsia="宋体" w:cs="宋体"/>
          <w:snapToGrid w:val="0"/>
          <w:szCs w:val="32"/>
        </w:rPr>
        <w:t xml:space="preserve">  </w:t>
      </w:r>
      <w:r>
        <w:rPr>
          <w:rFonts w:hint="eastAsia" w:ascii="方正仿宋_GBK" w:hAnsi="黑体" w:cs="黑体"/>
          <w:snapToGrid w:val="0"/>
          <w:szCs w:val="32"/>
        </w:rPr>
        <w:t>应急检验检测</w:t>
      </w:r>
    </w:p>
    <w:p w14:paraId="42B0FA96">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县疾控中心等专业技术机构应当对引发食品安全突发事件的相关检品及时进行应急检验检测，提交科学的检验检测报告，为制定事件调查和应急处置方案等提供技术支撑；检验合格且确定与食品安全突发事件无关的，依法予以解除查封扣押或先行登记保存。</w:t>
      </w:r>
    </w:p>
    <w:p w14:paraId="0EBBF64F">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5.2.5</w:t>
      </w:r>
      <w:r>
        <w:rPr>
          <w:rFonts w:ascii="宋体" w:hAnsi="宋体" w:eastAsia="宋体" w:cs="宋体"/>
          <w:snapToGrid w:val="0"/>
          <w:szCs w:val="32"/>
        </w:rPr>
        <w:t xml:space="preserve">  </w:t>
      </w:r>
      <w:r>
        <w:rPr>
          <w:rFonts w:hint="eastAsia" w:ascii="方正仿宋_GBK" w:hAnsi="黑体" w:cs="黑体"/>
          <w:snapToGrid w:val="0"/>
          <w:szCs w:val="32"/>
        </w:rPr>
        <w:t>事件调查</w:t>
      </w:r>
    </w:p>
    <w:p w14:paraId="4A634B14">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按照依法依规、实事求是、尊重科学的原则，及时开展事件调查工作，任何单位或个人不得阻扰、干涉。事件调查应当准确查清事件性质和原因，分析评估事件风险和发展趋势，认定事件责任，研究提出防范措施和整改意见建议，并提交调查报告。对涉嫌犯罪的，司法机关及时介入，开展相关违法犯罪行为侦破工作。</w:t>
      </w:r>
    </w:p>
    <w:p w14:paraId="50A1E76A">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5.2.6</w:t>
      </w:r>
      <w:r>
        <w:rPr>
          <w:rFonts w:ascii="宋体" w:hAnsi="宋体" w:eastAsia="宋体" w:cs="宋体"/>
          <w:snapToGrid w:val="0"/>
          <w:szCs w:val="32"/>
        </w:rPr>
        <w:t xml:space="preserve">  </w:t>
      </w:r>
      <w:r>
        <w:rPr>
          <w:rFonts w:hint="eastAsia" w:ascii="方正仿宋_GBK" w:hAnsi="黑体" w:cs="黑体"/>
          <w:snapToGrid w:val="0"/>
          <w:szCs w:val="32"/>
        </w:rPr>
        <w:t>信息发布和舆论引导</w:t>
      </w:r>
    </w:p>
    <w:p w14:paraId="049F083A">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按照《重庆市食品安全信息公布管理办法》规定，通过政府授权发布、发新闻稿、接受记者采访、举行新闻发布会、组织专家解读等方式，借助广播、电视、报纸、互联网等多种途径，运用微博、微信、手机客户端（</w:t>
      </w:r>
      <w:r>
        <w:rPr>
          <w:rFonts w:ascii="方正仿宋_GBK" w:hAnsi="黑体" w:cs="黑体"/>
          <w:snapToGrid w:val="0"/>
          <w:szCs w:val="32"/>
        </w:rPr>
        <w:t>APP</w:t>
      </w:r>
      <w:r>
        <w:rPr>
          <w:rFonts w:hint="eastAsia" w:ascii="方正仿宋_GBK" w:hAnsi="黑体" w:cs="黑体"/>
          <w:snapToGrid w:val="0"/>
          <w:szCs w:val="32"/>
        </w:rPr>
        <w:t>）等新媒体平台，主动、及时、准确、客观向社会发布食品安全突发事件应对工作信息，回应社会关切，澄清不实信息，正确引导社会舆论。</w:t>
      </w:r>
    </w:p>
    <w:p w14:paraId="27A08185">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5.2.7</w:t>
      </w:r>
      <w:r>
        <w:rPr>
          <w:rFonts w:ascii="宋体" w:hAnsi="宋体" w:eastAsia="宋体" w:cs="宋体"/>
          <w:snapToGrid w:val="0"/>
          <w:szCs w:val="32"/>
        </w:rPr>
        <w:t xml:space="preserve">  </w:t>
      </w:r>
      <w:r>
        <w:rPr>
          <w:rFonts w:hint="eastAsia" w:ascii="方正仿宋_GBK" w:hAnsi="黑体" w:cs="黑体"/>
          <w:snapToGrid w:val="0"/>
          <w:szCs w:val="32"/>
        </w:rPr>
        <w:t>维护社会稳定</w:t>
      </w:r>
    </w:p>
    <w:p w14:paraId="74E734E4">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加强事发地社会治安管理，严厉打击借机传播谣言制造社会恐慌、哄抢物资等违法犯罪行为；加强救助患者的医疗机构、</w:t>
      </w:r>
      <w:r>
        <w:rPr>
          <w:rFonts w:ascii="方正仿宋_GBK" w:hAnsi="黑体" w:cs="黑体"/>
          <w:snapToGrid w:val="0"/>
          <w:szCs w:val="32"/>
        </w:rPr>
        <w:t xml:space="preserve"> </w:t>
      </w:r>
      <w:r>
        <w:rPr>
          <w:rFonts w:hint="eastAsia" w:ascii="方正仿宋_GBK" w:hAnsi="黑体" w:cs="黑体"/>
          <w:snapToGrid w:val="0"/>
          <w:szCs w:val="32"/>
        </w:rPr>
        <w:t>涉事生产经营单位、应急物资存放点等重点地区的治安管控；做好各类矛盾纠纷化解和法律服务工作，防止出现群体性事件，维护社会稳定。</w:t>
      </w:r>
    </w:p>
    <w:p w14:paraId="4DA97295">
      <w:pPr>
        <w:widowControl/>
        <w:snapToGrid w:val="0"/>
        <w:spacing w:line="560" w:lineRule="exact"/>
        <w:ind w:firstLine="632" w:firstLineChars="200"/>
        <w:jc w:val="left"/>
        <w:rPr>
          <w:rFonts w:ascii="方正仿宋_GBK" w:hAnsi="黑体" w:cs="黑体"/>
          <w:snapToGrid w:val="0"/>
          <w:szCs w:val="32"/>
        </w:rPr>
      </w:pPr>
      <w:r>
        <w:rPr>
          <w:rFonts w:ascii="方正仿宋_GBK" w:hAnsi="黑体" w:cs="黑体"/>
          <w:snapToGrid w:val="0"/>
          <w:szCs w:val="32"/>
        </w:rPr>
        <w:t>5.2.8</w:t>
      </w:r>
      <w:r>
        <w:rPr>
          <w:rFonts w:ascii="宋体" w:hAnsi="宋体" w:eastAsia="宋体" w:cs="宋体"/>
          <w:snapToGrid w:val="0"/>
          <w:szCs w:val="32"/>
        </w:rPr>
        <w:t xml:space="preserve">  </w:t>
      </w:r>
      <w:r>
        <w:rPr>
          <w:rFonts w:hint="eastAsia" w:ascii="方正仿宋_GBK" w:hAnsi="黑体" w:cs="黑体"/>
          <w:snapToGrid w:val="0"/>
          <w:szCs w:val="32"/>
        </w:rPr>
        <w:t>对外通报和援助</w:t>
      </w:r>
    </w:p>
    <w:p w14:paraId="27079619">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如事件</w:t>
      </w:r>
      <w:r>
        <w:rPr>
          <w:rFonts w:hint="eastAsia" w:ascii="方正仿宋_GBK" w:hAnsi="黑体" w:cs="黑体"/>
          <w:snapToGrid w:val="0"/>
          <w:szCs w:val="32"/>
          <w:lang w:eastAsia="zh-CN"/>
        </w:rPr>
        <w:t>波及</w:t>
      </w:r>
      <w:r>
        <w:rPr>
          <w:rFonts w:hint="eastAsia" w:ascii="方正仿宋_GBK" w:hAnsi="黑体" w:cs="黑体"/>
          <w:snapToGrid w:val="0"/>
          <w:szCs w:val="32"/>
        </w:rPr>
        <w:t>县外，且需要向外通报信息或请求援助时，相关部门及时协调做好工作。</w:t>
      </w:r>
    </w:p>
    <w:p w14:paraId="4E88ABAA">
      <w:pPr>
        <w:widowControl/>
        <w:snapToGrid w:val="0"/>
        <w:spacing w:line="560" w:lineRule="exact"/>
        <w:ind w:firstLine="632" w:firstLineChars="200"/>
        <w:jc w:val="left"/>
        <w:rPr>
          <w:rFonts w:ascii="方正仿宋_GBK" w:hAnsi="黑体" w:cs="黑体"/>
          <w:snapToGrid w:val="0"/>
          <w:szCs w:val="32"/>
        </w:rPr>
      </w:pPr>
      <w:r>
        <w:rPr>
          <w:rFonts w:ascii="方正楷体_GBK" w:hAnsi="黑体" w:eastAsia="方正楷体_GBK" w:cs="黑体"/>
          <w:snapToGrid w:val="0"/>
          <w:szCs w:val="32"/>
        </w:rPr>
        <w:t xml:space="preserve">5.3  </w:t>
      </w:r>
      <w:r>
        <w:rPr>
          <w:rFonts w:hint="eastAsia" w:ascii="方正楷体_GBK" w:hAnsi="黑体" w:eastAsia="方正楷体_GBK" w:cs="黑体"/>
          <w:snapToGrid w:val="0"/>
          <w:szCs w:val="32"/>
        </w:rPr>
        <w:t>响应级别调整</w:t>
      </w:r>
    </w:p>
    <w:p w14:paraId="4A1419A9">
      <w:pPr>
        <w:widowControl/>
        <w:snapToGrid w:val="0"/>
        <w:spacing w:line="560" w:lineRule="exact"/>
        <w:ind w:firstLine="632" w:firstLineChars="200"/>
        <w:jc w:val="left"/>
        <w:rPr>
          <w:rFonts w:ascii="方正仿宋_GBK" w:hAnsi="黑体" w:cs="黑体"/>
          <w:snapToGrid w:val="0"/>
          <w:szCs w:val="32"/>
        </w:rPr>
      </w:pPr>
      <w:r>
        <w:rPr>
          <w:rFonts w:hint="eastAsia" w:ascii="方正仿宋_GBK" w:hAnsi="黑体" w:cs="黑体"/>
          <w:snapToGrid w:val="0"/>
          <w:szCs w:val="32"/>
        </w:rPr>
        <w:t>当事件进一步加重，影响或危害扩大并有蔓延趋势，情况复杂难以控制时，应当及时提升响应级别。食品安全突发事件发生容易造成重大影响的，可适当提高响应级别。事件危害或不良影响得到有效控制，且经研判认为事件危害或不良影响已降低到原级别评估标准以下，无进一步蔓延趋势的，可降低应急响应级别。</w:t>
      </w:r>
    </w:p>
    <w:p w14:paraId="444461EB">
      <w:pPr>
        <w:widowControl/>
        <w:snapToGrid w:val="0"/>
        <w:spacing w:line="560" w:lineRule="exact"/>
        <w:ind w:firstLine="632" w:firstLineChars="200"/>
        <w:jc w:val="left"/>
        <w:rPr>
          <w:rFonts w:ascii="方正仿宋_GBK" w:hAnsi="黑体" w:cs="黑体"/>
          <w:snapToGrid w:val="0"/>
          <w:szCs w:val="32"/>
        </w:rPr>
      </w:pPr>
      <w:r>
        <w:rPr>
          <w:rFonts w:ascii="方正楷体_GBK" w:hAnsi="黑体" w:eastAsia="方正楷体_GBK" w:cs="黑体"/>
          <w:snapToGrid w:val="0"/>
          <w:szCs w:val="32"/>
        </w:rPr>
        <w:t xml:space="preserve">5.4  </w:t>
      </w:r>
      <w:r>
        <w:rPr>
          <w:rFonts w:hint="eastAsia" w:ascii="方正楷体_GBK" w:hAnsi="黑体" w:eastAsia="方正楷体_GBK" w:cs="黑体"/>
          <w:snapToGrid w:val="0"/>
          <w:szCs w:val="32"/>
        </w:rPr>
        <w:t>响应终止</w:t>
      </w:r>
    </w:p>
    <w:p w14:paraId="6D6CD447">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当食品安全突发事件得到控制，并符合以下要求，经分析评估认为可解除响应的，应当及时终止响应：（</w:t>
      </w:r>
      <w:r>
        <w:rPr>
          <w:rFonts w:ascii="方正仿宋_GBK" w:hAnsi="黑体" w:cs="黑体"/>
          <w:snapToGrid w:val="0"/>
          <w:szCs w:val="32"/>
        </w:rPr>
        <w:t>1</w:t>
      </w:r>
      <w:r>
        <w:rPr>
          <w:rFonts w:hint="eastAsia" w:ascii="方正仿宋_GBK" w:hAnsi="黑体" w:cs="黑体"/>
          <w:snapToGrid w:val="0"/>
          <w:szCs w:val="32"/>
        </w:rPr>
        <w:t>）食品安全突发事件伤病员全部得到救治，原患者病情稳定</w:t>
      </w:r>
      <w:r>
        <w:rPr>
          <w:rFonts w:ascii="方正仿宋_GBK" w:hAnsi="黑体" w:cs="黑体"/>
          <w:snapToGrid w:val="0"/>
          <w:szCs w:val="32"/>
        </w:rPr>
        <w:t>24</w:t>
      </w:r>
      <w:r>
        <w:rPr>
          <w:rFonts w:hint="eastAsia" w:ascii="方正仿宋_GBK" w:hAnsi="黑体" w:cs="黑体"/>
          <w:snapToGrid w:val="0"/>
          <w:szCs w:val="32"/>
        </w:rPr>
        <w:t>小时以上，且无新的急性病症患者出现；（</w:t>
      </w:r>
      <w:r>
        <w:rPr>
          <w:rFonts w:ascii="方正仿宋_GBK" w:hAnsi="黑体" w:cs="黑体"/>
          <w:snapToGrid w:val="0"/>
          <w:szCs w:val="32"/>
        </w:rPr>
        <w:t>2</w:t>
      </w:r>
      <w:r>
        <w:rPr>
          <w:rFonts w:hint="eastAsia" w:ascii="方正仿宋_GBK" w:hAnsi="黑体" w:cs="黑体"/>
          <w:snapToGrid w:val="0"/>
          <w:szCs w:val="32"/>
        </w:rPr>
        <w:t>）现场、受污染食品得到有效控制，食品与环境污染得到有效清理并符合相关标准，次生、衍生事件隐患消除；（</w:t>
      </w:r>
      <w:r>
        <w:rPr>
          <w:rFonts w:ascii="方正仿宋_GBK" w:hAnsi="黑体" w:cs="黑体"/>
          <w:snapToGrid w:val="0"/>
          <w:szCs w:val="32"/>
        </w:rPr>
        <w:t>3</w:t>
      </w:r>
      <w:r>
        <w:rPr>
          <w:rFonts w:hint="eastAsia" w:ascii="方正仿宋_GBK" w:hAnsi="黑体" w:cs="黑体"/>
          <w:snapToGrid w:val="0"/>
          <w:szCs w:val="32"/>
        </w:rPr>
        <w:t>）事件造成的危害或不良影响已消除或得到了有效控制，不需要继续按预案进行应急处置的。</w:t>
      </w:r>
    </w:p>
    <w:p w14:paraId="34EB7112">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6  </w:t>
      </w:r>
      <w:r>
        <w:rPr>
          <w:rFonts w:hint="eastAsia" w:ascii="方正黑体_GBK" w:hAnsi="黑体" w:eastAsia="方正黑体_GBK" w:cs="黑体"/>
          <w:snapToGrid w:val="0"/>
          <w:szCs w:val="32"/>
        </w:rPr>
        <w:t>后期工作</w:t>
      </w:r>
    </w:p>
    <w:p w14:paraId="1E8C465F">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6.1  </w:t>
      </w:r>
      <w:r>
        <w:rPr>
          <w:rFonts w:hint="eastAsia" w:ascii="方正楷体_GBK" w:hAnsi="黑体" w:eastAsia="方正楷体_GBK" w:cs="黑体"/>
          <w:snapToGrid w:val="0"/>
          <w:szCs w:val="32"/>
        </w:rPr>
        <w:t>善后处置</w:t>
      </w:r>
    </w:p>
    <w:p w14:paraId="57148AB4">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县食品药品监管局及时制定产品抽样及检验、污染物收集、清理与处理等善后工作方案，并组织实施。保险机构及时开展相关理赔工作。</w:t>
      </w:r>
    </w:p>
    <w:p w14:paraId="4C8C5AF8">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造成食品安全突发事件的责任单位和责任人应当按照有关规定对受害人给予赔偿，承担受害人的后续治疗及保障等相关费用。</w:t>
      </w:r>
    </w:p>
    <w:p w14:paraId="622AEA06">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6.2  </w:t>
      </w:r>
      <w:r>
        <w:rPr>
          <w:rFonts w:hint="eastAsia" w:ascii="方正楷体_GBK" w:hAnsi="黑体" w:eastAsia="方正楷体_GBK" w:cs="黑体"/>
          <w:snapToGrid w:val="0"/>
          <w:szCs w:val="32"/>
        </w:rPr>
        <w:t>总结评估</w:t>
      </w:r>
    </w:p>
    <w:p w14:paraId="1BA6C6D0">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食品安全突发事件处置工作结束后，县食品安全委员会办公室应当组织有关单位及时对食品安全突发事件应急处置工作进行评估，总结经验教训，分析事件原因和影响因素，提出对类似事件的防范和处置建议，完成总结评估报告，向县政府报告并采取适当方式向有关部门和社会通报。</w:t>
      </w:r>
    </w:p>
    <w:p w14:paraId="07F3A1EF">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7  </w:t>
      </w:r>
      <w:r>
        <w:rPr>
          <w:rFonts w:hint="eastAsia" w:ascii="方正黑体_GBK" w:hAnsi="黑体" w:eastAsia="方正黑体_GBK" w:cs="黑体"/>
          <w:snapToGrid w:val="0"/>
          <w:szCs w:val="32"/>
        </w:rPr>
        <w:t>应急保障</w:t>
      </w:r>
    </w:p>
    <w:p w14:paraId="78B860F2">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7.1  </w:t>
      </w:r>
      <w:r>
        <w:rPr>
          <w:rFonts w:hint="eastAsia" w:ascii="方正楷体_GBK" w:hAnsi="黑体" w:eastAsia="方正楷体_GBK" w:cs="黑体"/>
          <w:snapToGrid w:val="0"/>
          <w:szCs w:val="32"/>
        </w:rPr>
        <w:t>队伍保障</w:t>
      </w:r>
    </w:p>
    <w:p w14:paraId="7CF8D037">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各乡镇（街道）、县政府有关部门和有关单位要加强食品安全应急处置专业队伍建设，定期组织开展训练和演练。县卫生计生委、县食品药品监督管理局等部门要完善食品安全突发事件应急专家库，发挥应急专家队伍作用，为食品安全突发事件应急处置方案制订、危害评估和调查处理等工作提供咨询建议。</w:t>
      </w:r>
    </w:p>
    <w:p w14:paraId="2E102E01">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7.2  </w:t>
      </w:r>
      <w:r>
        <w:rPr>
          <w:rFonts w:hint="eastAsia" w:ascii="方正楷体_GBK" w:hAnsi="黑体" w:eastAsia="方正楷体_GBK" w:cs="黑体"/>
          <w:snapToGrid w:val="0"/>
          <w:szCs w:val="32"/>
        </w:rPr>
        <w:t>信息保障</w:t>
      </w:r>
    </w:p>
    <w:p w14:paraId="5DE9056E">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县食品安全委员会办公室要对食品安全抽检监测、投诉举报、舆情监测、事件报告与通报等方面的食品安全信息进行采集、监测和分析，建立完善投诉举报奖励机制。充分发挥村（社）食品药品安全协管员的作用，畅通信息报告渠道，确保食品安全突发事件信息的及时报告与相关信息的及时收集。</w:t>
      </w:r>
    </w:p>
    <w:p w14:paraId="1B222171">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7.3  </w:t>
      </w:r>
      <w:r>
        <w:rPr>
          <w:rFonts w:hint="eastAsia" w:ascii="方正楷体_GBK" w:hAnsi="黑体" w:eastAsia="方正楷体_GBK" w:cs="黑体"/>
          <w:snapToGrid w:val="0"/>
          <w:szCs w:val="32"/>
        </w:rPr>
        <w:t>医疗保障</w:t>
      </w:r>
    </w:p>
    <w:p w14:paraId="725BC5A1">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在食品安全突发事件造成人员伤害时，县卫生计生委要及时组织人员赶赴现场开展医疗救治工作，负责救治药品、救护设备的供应和储备。</w:t>
      </w:r>
    </w:p>
    <w:p w14:paraId="72AC7BC8">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7.4  </w:t>
      </w:r>
      <w:r>
        <w:rPr>
          <w:rFonts w:hint="eastAsia" w:ascii="方正楷体_GBK" w:hAnsi="黑体" w:eastAsia="方正楷体_GBK" w:cs="黑体"/>
          <w:snapToGrid w:val="0"/>
          <w:szCs w:val="32"/>
        </w:rPr>
        <w:t>技术保障</w:t>
      </w:r>
    </w:p>
    <w:p w14:paraId="534F3617">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县政府有关部门和有关单位要积极加强食品安全突发事件监测、预警、预防、应急检验检测和应急处置等技术，为食品安全突发事件应急处置提供技术保障。</w:t>
      </w:r>
    </w:p>
    <w:p w14:paraId="4D58A54F">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7.5  </w:t>
      </w:r>
      <w:r>
        <w:rPr>
          <w:rFonts w:hint="eastAsia" w:ascii="方正楷体_GBK" w:hAnsi="黑体" w:eastAsia="方正楷体_GBK" w:cs="黑体"/>
          <w:snapToGrid w:val="0"/>
          <w:szCs w:val="32"/>
        </w:rPr>
        <w:t>物资经费保障</w:t>
      </w:r>
    </w:p>
    <w:p w14:paraId="1E8872A8">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县政府有关部门和有关单位要全力保障食品安全突发事件应急处置所需车辆和通信、救治、办公等设施、设备及物资的储备与调用。食品安全突发事件应急工作经费列入政府年度财政预算，应急资金足额、及时保障到位。</w:t>
      </w:r>
    </w:p>
    <w:p w14:paraId="4FD8E4F3">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7.6  </w:t>
      </w:r>
      <w:r>
        <w:rPr>
          <w:rFonts w:hint="eastAsia" w:ascii="方正楷体_GBK" w:hAnsi="黑体" w:eastAsia="方正楷体_GBK" w:cs="黑体"/>
          <w:snapToGrid w:val="0"/>
          <w:szCs w:val="32"/>
        </w:rPr>
        <w:t>社会动员保障</w:t>
      </w:r>
    </w:p>
    <w:p w14:paraId="5B4032BB">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根据食品安全突发事件应急处置需要，要及时动员和组织社会力量协助参与应急处置，必要时依法调用企业及个人物资；在动用社会力量或企业、个人物资进行应急处置后，应当及时归还或给予补偿。县民政局要做好社会各界向疫区提供的救援物资（资金）的接收、分配和使用。</w:t>
      </w:r>
    </w:p>
    <w:p w14:paraId="3CA480CA">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7.7  </w:t>
      </w:r>
      <w:r>
        <w:rPr>
          <w:rFonts w:hint="eastAsia" w:ascii="方正楷体_GBK" w:hAnsi="黑体" w:eastAsia="方正楷体_GBK" w:cs="黑体"/>
          <w:snapToGrid w:val="0"/>
          <w:szCs w:val="32"/>
        </w:rPr>
        <w:t>宣教培训</w:t>
      </w:r>
    </w:p>
    <w:p w14:paraId="583B0823">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县食品药品监管局要加强对食品安全专业人员、食品生产经营者及广大消费者的食品安全知识宣传、教育与培训，促进专业人员掌握食品安全知识，提高食品生产经营者的责任意识和消费者的风险防范能力。</w:t>
      </w:r>
    </w:p>
    <w:p w14:paraId="62C0D29E">
      <w:pPr>
        <w:widowControl/>
        <w:snapToGrid w:val="0"/>
        <w:spacing w:line="560" w:lineRule="exact"/>
        <w:ind w:firstLine="632" w:firstLineChars="200"/>
        <w:rPr>
          <w:rFonts w:ascii="方正黑体_GBK" w:hAnsi="黑体" w:eastAsia="方正黑体_GBK" w:cs="黑体"/>
          <w:snapToGrid w:val="0"/>
          <w:szCs w:val="32"/>
        </w:rPr>
      </w:pPr>
      <w:r>
        <w:rPr>
          <w:rFonts w:ascii="方正黑体_GBK" w:hAnsi="黑体" w:eastAsia="方正黑体_GBK" w:cs="黑体"/>
          <w:snapToGrid w:val="0"/>
          <w:szCs w:val="32"/>
        </w:rPr>
        <w:t xml:space="preserve">8  </w:t>
      </w:r>
      <w:r>
        <w:rPr>
          <w:rFonts w:hint="eastAsia" w:ascii="方正黑体_GBK" w:hAnsi="黑体" w:eastAsia="方正黑体_GBK" w:cs="黑体"/>
          <w:snapToGrid w:val="0"/>
          <w:szCs w:val="32"/>
        </w:rPr>
        <w:t>附则</w:t>
      </w:r>
    </w:p>
    <w:p w14:paraId="1630B545">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8.1  </w:t>
      </w:r>
      <w:r>
        <w:rPr>
          <w:rFonts w:hint="eastAsia" w:ascii="方正楷体_GBK" w:hAnsi="黑体" w:eastAsia="方正楷体_GBK" w:cs="黑体"/>
          <w:snapToGrid w:val="0"/>
          <w:szCs w:val="32"/>
        </w:rPr>
        <w:t>术语解释</w:t>
      </w:r>
    </w:p>
    <w:p w14:paraId="45EFA674">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食品，指各种供人食用或者饮用的成品和原料以及按照传统既是食品又是中药材的物品，但是不包括以治疗为目的的物品。</w:t>
      </w:r>
    </w:p>
    <w:p w14:paraId="1CDA87FB">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食品安全，指食品无毒、无害，符合应有营养要求，对人体健康不造成任何急性、亚急性或者慢性危害。</w:t>
      </w:r>
    </w:p>
    <w:p w14:paraId="5AD4BAAC">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食源性疾病，指食品的致病因素进入人体引起的感染性、中毒性等疾病，包括食物中毒。</w:t>
      </w:r>
    </w:p>
    <w:p w14:paraId="0D7408B3">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8.2  </w:t>
      </w:r>
      <w:r>
        <w:rPr>
          <w:rFonts w:hint="eastAsia" w:ascii="方正楷体_GBK" w:hAnsi="黑体" w:eastAsia="方正楷体_GBK" w:cs="黑体"/>
          <w:snapToGrid w:val="0"/>
          <w:szCs w:val="32"/>
        </w:rPr>
        <w:t>预案管理</w:t>
      </w:r>
    </w:p>
    <w:p w14:paraId="615C975D">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县食品安全委员会办公室要会同县政府有关部门组织预案宣传、培训和演练，并根据实际情况，及时对本预案进行修订，原则上不超过</w:t>
      </w:r>
      <w:r>
        <w:rPr>
          <w:rFonts w:ascii="方正仿宋_GBK" w:hAnsi="黑体" w:cs="黑体"/>
          <w:snapToGrid w:val="0"/>
          <w:szCs w:val="32"/>
        </w:rPr>
        <w:t>5</w:t>
      </w:r>
      <w:r>
        <w:rPr>
          <w:rFonts w:hint="eastAsia" w:ascii="方正仿宋_GBK" w:hAnsi="黑体" w:cs="黑体"/>
          <w:snapToGrid w:val="0"/>
          <w:szCs w:val="32"/>
        </w:rPr>
        <w:t>年。有关部门和有关单位要参照本预案，结合本单位实际制定或修订食品安全突发事件应急预案或处置方案。</w:t>
      </w:r>
    </w:p>
    <w:p w14:paraId="1B8AEECD">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 xml:space="preserve">8.3  </w:t>
      </w:r>
      <w:r>
        <w:rPr>
          <w:rFonts w:hint="eastAsia" w:ascii="方正楷体_GBK" w:hAnsi="黑体" w:eastAsia="方正楷体_GBK" w:cs="黑体"/>
          <w:snapToGrid w:val="0"/>
          <w:szCs w:val="32"/>
        </w:rPr>
        <w:t>预案解释</w:t>
      </w:r>
    </w:p>
    <w:p w14:paraId="4B079035">
      <w:pPr>
        <w:widowControl/>
        <w:snapToGrid w:val="0"/>
        <w:spacing w:line="560" w:lineRule="exact"/>
        <w:ind w:firstLine="632" w:firstLineChars="200"/>
        <w:rPr>
          <w:rFonts w:ascii="方正黑体_GBK" w:hAnsi="黑体" w:eastAsia="方正黑体_GBK" w:cs="黑体"/>
          <w:snapToGrid w:val="0"/>
          <w:szCs w:val="32"/>
        </w:rPr>
      </w:pPr>
      <w:r>
        <w:rPr>
          <w:rFonts w:hint="eastAsia" w:ascii="方正仿宋_GBK" w:hAnsi="黑体" w:cs="黑体"/>
          <w:snapToGrid w:val="0"/>
          <w:szCs w:val="32"/>
        </w:rPr>
        <w:t>本预案由县食品安全委员会办公室负责解释。</w:t>
      </w:r>
    </w:p>
    <w:p w14:paraId="2E8B4620">
      <w:pPr>
        <w:widowControl/>
        <w:snapToGrid w:val="0"/>
        <w:spacing w:line="560" w:lineRule="exact"/>
        <w:ind w:firstLine="632" w:firstLineChars="200"/>
        <w:rPr>
          <w:rFonts w:ascii="方正黑体_GBK" w:hAnsi="黑体" w:eastAsia="方正黑体_GBK" w:cs="黑体"/>
          <w:snapToGrid w:val="0"/>
          <w:szCs w:val="32"/>
        </w:rPr>
      </w:pPr>
      <w:r>
        <w:rPr>
          <w:rFonts w:ascii="方正楷体_GBK" w:hAnsi="黑体" w:eastAsia="方正楷体_GBK" w:cs="黑体"/>
          <w:snapToGrid w:val="0"/>
          <w:szCs w:val="32"/>
        </w:rPr>
        <w:t>8.4</w:t>
      </w:r>
      <w:r>
        <w:rPr>
          <w:rFonts w:ascii="方正楷体_GBK" w:hAnsi="宋体" w:eastAsia="方正楷体_GBK" w:cs="宋体"/>
          <w:snapToGrid w:val="0"/>
          <w:szCs w:val="32"/>
        </w:rPr>
        <w:t xml:space="preserve">  </w:t>
      </w:r>
      <w:r>
        <w:rPr>
          <w:rFonts w:hint="eastAsia" w:ascii="方正楷体_GBK" w:hAnsi="黑体" w:eastAsia="方正楷体_GBK" w:cs="黑体"/>
          <w:snapToGrid w:val="0"/>
          <w:szCs w:val="32"/>
        </w:rPr>
        <w:t>预案实施</w:t>
      </w:r>
    </w:p>
    <w:p w14:paraId="48D38042">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本预案自印发之日起施行，《石柱县食品安全事故应急预案》（石柱府办发〔</w:t>
      </w:r>
      <w:r>
        <w:rPr>
          <w:rFonts w:ascii="方正仿宋_GBK" w:hAnsi="黑体" w:cs="黑体"/>
          <w:snapToGrid w:val="0"/>
          <w:szCs w:val="32"/>
        </w:rPr>
        <w:t>2012</w:t>
      </w:r>
      <w:r>
        <w:rPr>
          <w:rFonts w:hint="eastAsia" w:ascii="方正仿宋_GBK" w:hAnsi="黑体" w:cs="黑体"/>
          <w:snapToGrid w:val="0"/>
          <w:szCs w:val="32"/>
        </w:rPr>
        <w:t>〕</w:t>
      </w:r>
      <w:r>
        <w:rPr>
          <w:rFonts w:ascii="方正仿宋_GBK" w:hAnsi="黑体" w:cs="黑体"/>
          <w:snapToGrid w:val="0"/>
          <w:szCs w:val="32"/>
        </w:rPr>
        <w:t>208</w:t>
      </w:r>
      <w:r>
        <w:rPr>
          <w:rFonts w:hint="eastAsia" w:ascii="方正仿宋_GBK" w:hAnsi="黑体" w:cs="黑体"/>
          <w:snapToGrid w:val="0"/>
          <w:szCs w:val="32"/>
        </w:rPr>
        <w:t>号）同时废止。</w:t>
      </w:r>
    </w:p>
    <w:p w14:paraId="43ADEC54">
      <w:pPr>
        <w:widowControl/>
        <w:snapToGrid w:val="0"/>
        <w:spacing w:line="560" w:lineRule="exact"/>
        <w:ind w:firstLine="632" w:firstLineChars="200"/>
        <w:rPr>
          <w:rFonts w:ascii="方正仿宋_GBK" w:hAnsi="黑体" w:cs="黑体"/>
          <w:snapToGrid w:val="0"/>
          <w:szCs w:val="32"/>
        </w:rPr>
      </w:pPr>
    </w:p>
    <w:p w14:paraId="77FB5A90">
      <w:pPr>
        <w:widowControl/>
        <w:snapToGrid w:val="0"/>
        <w:spacing w:line="560" w:lineRule="exact"/>
        <w:ind w:firstLine="632" w:firstLineChars="200"/>
        <w:rPr>
          <w:rFonts w:ascii="方正仿宋_GBK" w:hAnsi="黑体" w:cs="黑体"/>
          <w:snapToGrid w:val="0"/>
          <w:szCs w:val="32"/>
        </w:rPr>
      </w:pPr>
      <w:r>
        <w:rPr>
          <w:rFonts w:hint="eastAsia" w:ascii="方正仿宋_GBK" w:hAnsi="黑体" w:cs="黑体"/>
          <w:snapToGrid w:val="0"/>
          <w:szCs w:val="32"/>
        </w:rPr>
        <w:t>附件：</w:t>
      </w:r>
      <w:r>
        <w:rPr>
          <w:rFonts w:ascii="方正仿宋_GBK" w:hAnsi="黑体" w:cs="黑体"/>
          <w:snapToGrid w:val="0"/>
          <w:szCs w:val="32"/>
        </w:rPr>
        <w:t>1</w:t>
      </w:r>
      <w:r>
        <w:rPr>
          <w:rFonts w:hint="eastAsia" w:ascii="方正仿宋_GBK" w:hAnsi="黑体" w:cs="黑体"/>
          <w:snapToGrid w:val="0"/>
          <w:szCs w:val="32"/>
        </w:rPr>
        <w:t>．县食品安全突发事件应急处置专家组成员名单</w:t>
      </w:r>
    </w:p>
    <w:p w14:paraId="48DDDA3B">
      <w:pPr>
        <w:widowControl/>
        <w:snapToGrid w:val="0"/>
        <w:spacing w:line="560" w:lineRule="exact"/>
        <w:ind w:firstLine="632" w:firstLineChars="200"/>
        <w:rPr>
          <w:rFonts w:ascii="方正黑体_GBK" w:hAnsi="黑体" w:eastAsia="方正黑体_GBK" w:cs="黑体"/>
          <w:snapToGrid w:val="0"/>
          <w:szCs w:val="32"/>
        </w:rPr>
      </w:pPr>
      <w:r>
        <w:rPr>
          <w:rFonts w:ascii="方正仿宋_GBK" w:hAnsi="黑体" w:cs="黑体"/>
          <w:snapToGrid w:val="0"/>
          <w:szCs w:val="32"/>
        </w:rPr>
        <w:t xml:space="preserve">      2</w:t>
      </w:r>
      <w:r>
        <w:rPr>
          <w:rFonts w:hint="eastAsia" w:ascii="方正仿宋_GBK" w:hAnsi="黑体" w:cs="黑体"/>
          <w:snapToGrid w:val="0"/>
          <w:szCs w:val="32"/>
        </w:rPr>
        <w:t>．各工作组职责</w:t>
      </w:r>
    </w:p>
    <w:p w14:paraId="467F8A8C">
      <w:pPr>
        <w:widowControl/>
        <w:spacing w:line="594" w:lineRule="exact"/>
        <w:ind w:left="300" w:right="300" w:firstLine="632" w:firstLineChars="200"/>
        <w:jc w:val="left"/>
        <w:rPr>
          <w:rFonts w:ascii="黑体" w:hAnsi="黑体" w:eastAsia="黑体" w:cs="黑体"/>
          <w:snapToGrid w:val="0"/>
          <w:szCs w:val="32"/>
        </w:rPr>
      </w:pPr>
      <w:r>
        <w:rPr>
          <w:rFonts w:ascii="黑体" w:hAnsi="黑体" w:eastAsia="黑体" w:cs="黑体"/>
          <w:snapToGrid w:val="0"/>
          <w:szCs w:val="32"/>
        </w:rPr>
        <w:t xml:space="preserve">  </w:t>
      </w:r>
    </w:p>
    <w:p w14:paraId="1C9C8522">
      <w:pPr>
        <w:widowControl/>
        <w:spacing w:line="552" w:lineRule="exact"/>
        <w:ind w:right="300"/>
        <w:jc w:val="left"/>
        <w:rPr>
          <w:rFonts w:ascii="方正仿宋_GBK" w:cs="方正仿宋_GBK"/>
          <w:color w:val="000000"/>
          <w:kern w:val="0"/>
          <w:szCs w:val="32"/>
          <w:shd w:val="clear" w:color="auto" w:fill="FFFFFF"/>
        </w:rPr>
      </w:pPr>
      <w:r>
        <w:rPr>
          <w:rFonts w:ascii="黑体" w:hAnsi="黑体" w:eastAsia="黑体" w:cs="黑体"/>
          <w:snapToGrid w:val="0"/>
          <w:szCs w:val="32"/>
        </w:rPr>
        <w:t xml:space="preserve"> </w:t>
      </w:r>
    </w:p>
    <w:p w14:paraId="7FCAF979">
      <w:pPr>
        <w:widowControl/>
        <w:spacing w:line="540" w:lineRule="atLeast"/>
        <w:ind w:right="300"/>
        <w:jc w:val="left"/>
        <w:rPr>
          <w:rFonts w:ascii="方正仿宋_GBK" w:cs="方正仿宋_GBK"/>
          <w:color w:val="000000"/>
          <w:kern w:val="0"/>
          <w:szCs w:val="32"/>
          <w:shd w:val="clear" w:color="auto" w:fill="FFFFFF"/>
        </w:rPr>
      </w:pPr>
    </w:p>
    <w:p w14:paraId="79BEBBD8">
      <w:pPr>
        <w:widowControl/>
        <w:spacing w:line="540" w:lineRule="atLeast"/>
        <w:ind w:right="300"/>
        <w:jc w:val="left"/>
        <w:rPr>
          <w:rFonts w:ascii="方正仿宋_GBK" w:cs="方正仿宋_GBK"/>
          <w:color w:val="000000"/>
          <w:kern w:val="0"/>
          <w:szCs w:val="32"/>
          <w:shd w:val="clear" w:color="auto" w:fill="FFFFFF"/>
        </w:rPr>
      </w:pPr>
    </w:p>
    <w:p w14:paraId="60725B31">
      <w:pPr>
        <w:widowControl/>
        <w:spacing w:line="540" w:lineRule="atLeast"/>
        <w:ind w:right="300"/>
        <w:jc w:val="left"/>
        <w:rPr>
          <w:rFonts w:ascii="方正仿宋_GBK" w:cs="方正仿宋_GBK"/>
          <w:color w:val="000000"/>
          <w:kern w:val="0"/>
          <w:szCs w:val="32"/>
          <w:shd w:val="clear" w:color="auto" w:fill="FFFFFF"/>
        </w:rPr>
      </w:pPr>
    </w:p>
    <w:p w14:paraId="4F210A31">
      <w:pPr>
        <w:widowControl/>
        <w:spacing w:line="540" w:lineRule="atLeast"/>
        <w:ind w:right="300"/>
        <w:jc w:val="left"/>
        <w:rPr>
          <w:rFonts w:ascii="方正仿宋_GBK" w:cs="方正仿宋_GBK"/>
          <w:color w:val="000000"/>
          <w:kern w:val="0"/>
          <w:szCs w:val="32"/>
          <w:shd w:val="clear" w:color="auto" w:fill="FFFFFF"/>
        </w:rPr>
      </w:pPr>
    </w:p>
    <w:p w14:paraId="5264E46A">
      <w:pPr>
        <w:widowControl/>
        <w:spacing w:line="540" w:lineRule="atLeast"/>
        <w:ind w:right="300"/>
        <w:jc w:val="left"/>
        <w:rPr>
          <w:rFonts w:ascii="方正仿宋_GBK" w:cs="方正仿宋_GBK"/>
          <w:color w:val="000000"/>
          <w:kern w:val="0"/>
          <w:szCs w:val="32"/>
          <w:shd w:val="clear" w:color="auto" w:fill="FFFFFF"/>
        </w:rPr>
      </w:pPr>
    </w:p>
    <w:p w14:paraId="5BC52329">
      <w:pPr>
        <w:widowControl/>
        <w:spacing w:line="540" w:lineRule="atLeast"/>
        <w:ind w:right="300"/>
        <w:jc w:val="left"/>
        <w:rPr>
          <w:rFonts w:ascii="方正仿宋_GBK" w:cs="方正仿宋_GBK"/>
          <w:color w:val="000000"/>
          <w:kern w:val="0"/>
          <w:szCs w:val="32"/>
          <w:shd w:val="clear" w:color="auto" w:fill="FFFFFF"/>
        </w:rPr>
      </w:pPr>
    </w:p>
    <w:p w14:paraId="1FB2F2A5">
      <w:pPr>
        <w:widowControl/>
        <w:spacing w:line="540" w:lineRule="atLeast"/>
        <w:ind w:right="300"/>
        <w:jc w:val="left"/>
        <w:rPr>
          <w:rFonts w:ascii="方正仿宋_GBK" w:cs="方正仿宋_GBK"/>
          <w:color w:val="000000"/>
          <w:kern w:val="0"/>
          <w:szCs w:val="32"/>
          <w:shd w:val="clear" w:color="auto" w:fill="FFFFFF"/>
        </w:rPr>
      </w:pPr>
    </w:p>
    <w:p w14:paraId="29E8355A">
      <w:pPr>
        <w:widowControl/>
        <w:spacing w:line="540" w:lineRule="atLeast"/>
        <w:ind w:right="300"/>
        <w:jc w:val="left"/>
        <w:rPr>
          <w:rFonts w:ascii="方正仿宋_GBK" w:cs="方正仿宋_GBK"/>
          <w:color w:val="000000"/>
          <w:kern w:val="0"/>
          <w:szCs w:val="32"/>
          <w:shd w:val="clear" w:color="auto" w:fill="FFFFFF"/>
        </w:rPr>
      </w:pPr>
    </w:p>
    <w:p w14:paraId="6D150A14">
      <w:pPr>
        <w:widowControl/>
        <w:spacing w:line="540" w:lineRule="atLeast"/>
        <w:ind w:right="300"/>
        <w:jc w:val="left"/>
        <w:rPr>
          <w:rFonts w:ascii="方正仿宋_GBK" w:cs="方正仿宋_GBK"/>
          <w:color w:val="000000"/>
          <w:kern w:val="0"/>
          <w:szCs w:val="32"/>
          <w:shd w:val="clear" w:color="auto" w:fill="FFFFFF"/>
        </w:rPr>
      </w:pPr>
    </w:p>
    <w:p w14:paraId="62331AE3">
      <w:pPr>
        <w:widowControl/>
        <w:spacing w:line="540" w:lineRule="atLeast"/>
        <w:ind w:right="300"/>
        <w:jc w:val="left"/>
        <w:rPr>
          <w:rFonts w:ascii="方正仿宋_GBK" w:cs="方正仿宋_GBK"/>
          <w:color w:val="000000"/>
          <w:kern w:val="0"/>
          <w:szCs w:val="32"/>
          <w:shd w:val="clear" w:color="auto" w:fill="FFFFFF"/>
        </w:rPr>
      </w:pPr>
    </w:p>
    <w:p w14:paraId="7BCF1AAF">
      <w:pPr>
        <w:snapToGrid w:val="0"/>
        <w:spacing w:line="560" w:lineRule="exact"/>
        <w:rPr>
          <w:rFonts w:ascii="方正黑体_GBK" w:hAnsi="方正黑体_GBK" w:eastAsia="方正黑体_GBK" w:cs="方正黑体_GBK"/>
          <w:snapToGrid w:val="0"/>
          <w:szCs w:val="32"/>
        </w:rPr>
      </w:pPr>
      <w:r>
        <w:rPr>
          <w:rFonts w:hint="eastAsia" w:ascii="方正黑体_GBK" w:hAnsi="方正黑体_GBK" w:eastAsia="方正黑体_GBK" w:cs="方正黑体_GBK"/>
          <w:snapToGrid w:val="0"/>
          <w:szCs w:val="32"/>
        </w:rPr>
        <w:t>附件</w:t>
      </w:r>
      <w:r>
        <w:rPr>
          <w:rFonts w:ascii="方正黑体_GBK" w:hAnsi="方正黑体_GBK" w:eastAsia="方正黑体_GBK" w:cs="方正黑体_GBK"/>
          <w:snapToGrid w:val="0"/>
          <w:szCs w:val="32"/>
        </w:rPr>
        <w:t>1</w:t>
      </w:r>
    </w:p>
    <w:p w14:paraId="1D411F3B">
      <w:pPr>
        <w:snapToGrid w:val="0"/>
        <w:spacing w:line="560" w:lineRule="exact"/>
        <w:rPr>
          <w:rFonts w:ascii="方正仿宋_GBK" w:hAnsi="黑体" w:cs="黑体"/>
          <w:snapToGrid w:val="0"/>
          <w:sz w:val="33"/>
          <w:szCs w:val="33"/>
        </w:rPr>
      </w:pPr>
    </w:p>
    <w:p w14:paraId="284A7729">
      <w:pPr>
        <w:snapToGrid w:val="0"/>
        <w:spacing w:line="560" w:lineRule="exact"/>
        <w:jc w:val="center"/>
        <w:rPr>
          <w:rFonts w:ascii="方正小标宋_GBK" w:eastAsia="方正小标宋_GBK"/>
          <w:snapToGrid w:val="0"/>
          <w:sz w:val="44"/>
          <w:szCs w:val="44"/>
        </w:rPr>
      </w:pPr>
      <w:r>
        <w:rPr>
          <w:rFonts w:hint="eastAsia" w:ascii="方正小标宋_GBK" w:eastAsia="方正小标宋_GBK"/>
          <w:snapToGrid w:val="0"/>
          <w:sz w:val="44"/>
          <w:szCs w:val="44"/>
        </w:rPr>
        <w:t>县食品安全突发事件应急处置专家组成员</w:t>
      </w:r>
    </w:p>
    <w:p w14:paraId="471CA66A">
      <w:pPr>
        <w:snapToGrid w:val="0"/>
        <w:spacing w:line="560" w:lineRule="exact"/>
        <w:ind w:firstLine="645"/>
        <w:rPr>
          <w:rFonts w:ascii="方正仿宋_GBK"/>
          <w:snapToGrid w:val="0"/>
          <w:szCs w:val="32"/>
        </w:rPr>
      </w:pPr>
    </w:p>
    <w:p w14:paraId="2B200651">
      <w:pPr>
        <w:snapToGrid w:val="0"/>
        <w:spacing w:line="560" w:lineRule="exact"/>
        <w:ind w:firstLine="645"/>
        <w:rPr>
          <w:rFonts w:ascii="方正黑体_GBK" w:eastAsia="方正黑体_GBK"/>
          <w:snapToGrid w:val="0"/>
          <w:szCs w:val="32"/>
        </w:rPr>
      </w:pPr>
      <w:r>
        <w:rPr>
          <w:rFonts w:hint="eastAsia" w:ascii="方正黑体_GBK" w:eastAsia="方正黑体_GBK"/>
          <w:snapToGrid w:val="0"/>
          <w:szCs w:val="32"/>
        </w:rPr>
        <w:t>姓　名</w:t>
      </w:r>
      <w:r>
        <w:rPr>
          <w:rFonts w:ascii="方正黑体_GBK" w:eastAsia="方正黑体_GBK"/>
          <w:snapToGrid w:val="0"/>
          <w:szCs w:val="32"/>
        </w:rPr>
        <w:t xml:space="preserve">    </w:t>
      </w:r>
      <w:r>
        <w:rPr>
          <w:rFonts w:hint="eastAsia" w:ascii="方正黑体_GBK" w:eastAsia="方正黑体_GBK"/>
          <w:snapToGrid w:val="0"/>
          <w:szCs w:val="32"/>
        </w:rPr>
        <w:t>职　　务</w:t>
      </w:r>
    </w:p>
    <w:p w14:paraId="3E4EC018">
      <w:pPr>
        <w:snapToGrid w:val="0"/>
        <w:spacing w:line="560" w:lineRule="exact"/>
        <w:ind w:firstLine="645"/>
        <w:rPr>
          <w:rFonts w:ascii="方正仿宋_GBK"/>
          <w:snapToGrid w:val="0"/>
          <w:szCs w:val="32"/>
        </w:rPr>
      </w:pPr>
      <w:r>
        <w:rPr>
          <w:rFonts w:hint="eastAsia" w:ascii="方正仿宋_GBK"/>
          <w:snapToGrid w:val="0"/>
          <w:szCs w:val="32"/>
        </w:rPr>
        <w:t>谭</w:t>
      </w:r>
      <w:r>
        <w:rPr>
          <w:rFonts w:ascii="方正仿宋_GBK"/>
          <w:snapToGrid w:val="0"/>
          <w:szCs w:val="32"/>
        </w:rPr>
        <w:t xml:space="preserve">  </w:t>
      </w:r>
      <w:r>
        <w:rPr>
          <w:rFonts w:hint="eastAsia" w:ascii="方正仿宋_GBK"/>
          <w:snapToGrid w:val="0"/>
          <w:szCs w:val="32"/>
        </w:rPr>
        <w:t>飞</w:t>
      </w:r>
      <w:r>
        <w:rPr>
          <w:rFonts w:ascii="方正仿宋_GBK"/>
          <w:snapToGrid w:val="0"/>
          <w:szCs w:val="32"/>
        </w:rPr>
        <w:t xml:space="preserve">    </w:t>
      </w:r>
      <w:r>
        <w:rPr>
          <w:rFonts w:hint="eastAsia" w:ascii="方正仿宋_GBK"/>
          <w:snapToGrid w:val="0"/>
          <w:szCs w:val="32"/>
        </w:rPr>
        <w:t>县政府应急办副主任</w:t>
      </w:r>
    </w:p>
    <w:p w14:paraId="7E49C743">
      <w:pPr>
        <w:snapToGrid w:val="0"/>
        <w:spacing w:line="560" w:lineRule="exact"/>
        <w:ind w:firstLine="645"/>
        <w:rPr>
          <w:rFonts w:ascii="方正仿宋_GBK"/>
          <w:snapToGrid w:val="0"/>
          <w:szCs w:val="32"/>
        </w:rPr>
      </w:pPr>
      <w:r>
        <w:rPr>
          <w:rFonts w:hint="eastAsia" w:ascii="方正仿宋_GBK"/>
          <w:snapToGrid w:val="0"/>
          <w:szCs w:val="32"/>
        </w:rPr>
        <w:t>罗智勇</w:t>
      </w:r>
      <w:r>
        <w:rPr>
          <w:rFonts w:ascii="方正仿宋_GBK"/>
          <w:snapToGrid w:val="0"/>
          <w:szCs w:val="32"/>
        </w:rPr>
        <w:t xml:space="preserve">    </w:t>
      </w:r>
      <w:r>
        <w:rPr>
          <w:rFonts w:hint="eastAsia" w:ascii="方正仿宋_GBK"/>
          <w:snapToGrid w:val="0"/>
          <w:szCs w:val="32"/>
        </w:rPr>
        <w:t>县食品药品监管局副局长　</w:t>
      </w:r>
    </w:p>
    <w:p w14:paraId="15F2D599">
      <w:pPr>
        <w:snapToGrid w:val="0"/>
        <w:spacing w:line="560" w:lineRule="exact"/>
        <w:ind w:firstLine="645"/>
        <w:rPr>
          <w:rFonts w:ascii="方正仿宋_GBK"/>
          <w:snapToGrid w:val="0"/>
          <w:szCs w:val="32"/>
        </w:rPr>
      </w:pPr>
      <w:r>
        <w:rPr>
          <w:rFonts w:hint="eastAsia" w:ascii="方正仿宋_GBK"/>
          <w:snapToGrid w:val="0"/>
          <w:szCs w:val="32"/>
        </w:rPr>
        <w:t>马</w:t>
      </w:r>
      <w:r>
        <w:rPr>
          <w:rFonts w:ascii="方正仿宋_GBK"/>
          <w:snapToGrid w:val="0"/>
          <w:szCs w:val="32"/>
        </w:rPr>
        <w:t xml:space="preserve">  </w:t>
      </w:r>
      <w:r>
        <w:rPr>
          <w:rFonts w:hint="eastAsia" w:ascii="方正仿宋_GBK"/>
          <w:snapToGrid w:val="0"/>
          <w:szCs w:val="32"/>
        </w:rPr>
        <w:t>建</w:t>
      </w:r>
      <w:r>
        <w:rPr>
          <w:rFonts w:ascii="方正仿宋_GBK"/>
          <w:snapToGrid w:val="0"/>
          <w:szCs w:val="32"/>
        </w:rPr>
        <w:t xml:space="preserve">    </w:t>
      </w:r>
      <w:r>
        <w:rPr>
          <w:rFonts w:hint="eastAsia" w:ascii="方正仿宋_GBK"/>
          <w:snapToGrid w:val="0"/>
          <w:szCs w:val="32"/>
        </w:rPr>
        <w:t>县食品药品监管局纪检</w:t>
      </w:r>
      <w:r>
        <w:rPr>
          <w:rFonts w:hint="eastAsia" w:ascii="方正仿宋_GBK"/>
          <w:snapToGrid w:val="0"/>
          <w:szCs w:val="32"/>
          <w:lang w:eastAsia="zh-CN"/>
        </w:rPr>
        <w:t>组</w:t>
      </w:r>
      <w:r>
        <w:rPr>
          <w:rFonts w:hint="eastAsia" w:ascii="方正仿宋_GBK"/>
          <w:snapToGrid w:val="0"/>
          <w:szCs w:val="32"/>
        </w:rPr>
        <w:t>组长</w:t>
      </w:r>
    </w:p>
    <w:p w14:paraId="548CA1A5">
      <w:pPr>
        <w:snapToGrid w:val="0"/>
        <w:spacing w:line="560" w:lineRule="exact"/>
        <w:ind w:firstLine="645"/>
        <w:rPr>
          <w:rFonts w:ascii="方正仿宋_GBK"/>
          <w:snapToGrid w:val="0"/>
          <w:szCs w:val="32"/>
        </w:rPr>
      </w:pPr>
      <w:r>
        <w:rPr>
          <w:rFonts w:hint="eastAsia" w:ascii="方正仿宋_GBK"/>
          <w:snapToGrid w:val="0"/>
          <w:szCs w:val="32"/>
        </w:rPr>
        <w:t>杨海华</w:t>
      </w:r>
      <w:r>
        <w:rPr>
          <w:rFonts w:ascii="方正仿宋_GBK"/>
          <w:snapToGrid w:val="0"/>
          <w:szCs w:val="32"/>
        </w:rPr>
        <w:t xml:space="preserve">    </w:t>
      </w:r>
      <w:r>
        <w:rPr>
          <w:rFonts w:hint="eastAsia" w:ascii="方正仿宋_GBK"/>
          <w:snapToGrid w:val="0"/>
          <w:szCs w:val="32"/>
        </w:rPr>
        <w:t>县爱卫办主任</w:t>
      </w:r>
    </w:p>
    <w:p w14:paraId="3501B61B">
      <w:pPr>
        <w:snapToGrid w:val="0"/>
        <w:spacing w:line="560" w:lineRule="exact"/>
        <w:ind w:firstLine="645"/>
        <w:rPr>
          <w:rFonts w:ascii="方正仿宋_GBK"/>
          <w:snapToGrid w:val="0"/>
          <w:szCs w:val="32"/>
        </w:rPr>
      </w:pPr>
      <w:r>
        <w:rPr>
          <w:rFonts w:hint="eastAsia" w:ascii="方正仿宋_GBK"/>
          <w:snapToGrid w:val="0"/>
          <w:szCs w:val="32"/>
        </w:rPr>
        <w:t>熊静逾</w:t>
      </w:r>
      <w:r>
        <w:rPr>
          <w:rFonts w:ascii="方正仿宋_GBK"/>
          <w:snapToGrid w:val="0"/>
          <w:szCs w:val="32"/>
        </w:rPr>
        <w:t xml:space="preserve">    </w:t>
      </w:r>
      <w:r>
        <w:rPr>
          <w:rFonts w:hint="eastAsia" w:ascii="方正仿宋_GBK"/>
          <w:snapToGrid w:val="0"/>
          <w:szCs w:val="32"/>
        </w:rPr>
        <w:t>县政府办公室外事科科长</w:t>
      </w:r>
    </w:p>
    <w:p w14:paraId="4BC7BE21">
      <w:pPr>
        <w:snapToGrid w:val="0"/>
        <w:spacing w:line="560" w:lineRule="exact"/>
        <w:ind w:firstLine="645"/>
        <w:rPr>
          <w:rFonts w:ascii="方正仿宋_GBK"/>
          <w:snapToGrid w:val="0"/>
          <w:szCs w:val="32"/>
        </w:rPr>
      </w:pPr>
      <w:r>
        <w:rPr>
          <w:rFonts w:hint="eastAsia" w:ascii="方正仿宋_GBK"/>
          <w:snapToGrid w:val="0"/>
          <w:szCs w:val="32"/>
        </w:rPr>
        <w:t>谭晓冬</w:t>
      </w:r>
      <w:r>
        <w:rPr>
          <w:rFonts w:ascii="方正仿宋_GBK"/>
          <w:snapToGrid w:val="0"/>
          <w:szCs w:val="32"/>
        </w:rPr>
        <w:t xml:space="preserve">    </w:t>
      </w:r>
      <w:r>
        <w:rPr>
          <w:rFonts w:hint="eastAsia" w:ascii="方正仿宋_GBK"/>
          <w:snapToGrid w:val="0"/>
          <w:szCs w:val="32"/>
        </w:rPr>
        <w:t>县卫生计生委卫生应急救援中心主任</w:t>
      </w:r>
    </w:p>
    <w:p w14:paraId="344CABF4">
      <w:pPr>
        <w:snapToGrid w:val="0"/>
        <w:spacing w:line="560" w:lineRule="exact"/>
        <w:ind w:firstLine="645"/>
        <w:rPr>
          <w:rFonts w:ascii="方正仿宋_GBK"/>
          <w:snapToGrid w:val="0"/>
          <w:szCs w:val="32"/>
        </w:rPr>
      </w:pPr>
      <w:r>
        <w:rPr>
          <w:rFonts w:hint="eastAsia" w:ascii="方正仿宋_GBK"/>
          <w:snapToGrid w:val="0"/>
          <w:szCs w:val="32"/>
        </w:rPr>
        <w:t>马培江</w:t>
      </w:r>
      <w:r>
        <w:rPr>
          <w:rFonts w:ascii="方正仿宋_GBK"/>
          <w:snapToGrid w:val="0"/>
          <w:szCs w:val="32"/>
        </w:rPr>
        <w:t xml:space="preserve">    </w:t>
      </w:r>
      <w:r>
        <w:rPr>
          <w:rFonts w:hint="eastAsia" w:ascii="方正仿宋_GBK"/>
          <w:snapToGrid w:val="0"/>
          <w:szCs w:val="32"/>
        </w:rPr>
        <w:t>县疾控中心副主任</w:t>
      </w:r>
    </w:p>
    <w:p w14:paraId="6ED95643">
      <w:pPr>
        <w:snapToGrid w:val="0"/>
        <w:spacing w:line="560" w:lineRule="exact"/>
        <w:ind w:firstLine="645"/>
        <w:rPr>
          <w:rFonts w:ascii="方正仿宋_GBK"/>
          <w:snapToGrid w:val="0"/>
          <w:szCs w:val="32"/>
        </w:rPr>
      </w:pPr>
      <w:r>
        <w:rPr>
          <w:rFonts w:hint="eastAsia" w:ascii="方正仿宋_GBK"/>
          <w:snapToGrid w:val="0"/>
          <w:szCs w:val="32"/>
        </w:rPr>
        <w:t>赵</w:t>
      </w:r>
      <w:r>
        <w:rPr>
          <w:rFonts w:ascii="方正仿宋_GBK"/>
          <w:snapToGrid w:val="0"/>
          <w:szCs w:val="32"/>
        </w:rPr>
        <w:t xml:space="preserve">  </w:t>
      </w:r>
      <w:r>
        <w:rPr>
          <w:rFonts w:hint="eastAsia" w:ascii="方正仿宋_GBK"/>
          <w:snapToGrid w:val="0"/>
          <w:szCs w:val="32"/>
        </w:rPr>
        <w:t>勇</w:t>
      </w:r>
      <w:r>
        <w:rPr>
          <w:rFonts w:ascii="方正仿宋_GBK"/>
          <w:snapToGrid w:val="0"/>
          <w:szCs w:val="32"/>
        </w:rPr>
        <w:t xml:space="preserve">    </w:t>
      </w:r>
      <w:r>
        <w:rPr>
          <w:rFonts w:hint="eastAsia" w:ascii="方正仿宋_GBK"/>
          <w:snapToGrid w:val="0"/>
          <w:szCs w:val="32"/>
        </w:rPr>
        <w:t>县疾控中心卫生监测科副科长</w:t>
      </w:r>
    </w:p>
    <w:p w14:paraId="62D5A391">
      <w:pPr>
        <w:rPr>
          <w:rFonts w:ascii="黑体" w:hAnsi="黑体" w:eastAsia="黑体" w:cs="黑体"/>
        </w:rPr>
      </w:pPr>
    </w:p>
    <w:p w14:paraId="37B37654">
      <w:pPr>
        <w:rPr>
          <w:rFonts w:ascii="黑体" w:hAnsi="黑体" w:eastAsia="黑体" w:cs="黑体"/>
        </w:rPr>
      </w:pPr>
    </w:p>
    <w:p w14:paraId="1FB6EDD5">
      <w:pPr>
        <w:rPr>
          <w:rFonts w:ascii="黑体" w:hAnsi="黑体" w:eastAsia="黑体" w:cs="黑体"/>
        </w:rPr>
        <w:sectPr>
          <w:headerReference r:id="rId3" w:type="default"/>
          <w:footerReference r:id="rId4" w:type="default"/>
          <w:footerReference r:id="rId5" w:type="even"/>
          <w:pgSz w:w="11906" w:h="16838"/>
          <w:pgMar w:top="2098" w:right="1531" w:bottom="1984" w:left="1531" w:header="851" w:footer="1474" w:gutter="0"/>
          <w:cols w:space="0" w:num="1"/>
          <w:docGrid w:type="linesAndChars" w:linePitch="579" w:charSpace="-849"/>
        </w:sectPr>
      </w:pPr>
    </w:p>
    <w:p w14:paraId="1B1F6BE6">
      <w:pPr>
        <w:tabs>
          <w:tab w:val="left" w:pos="12584"/>
        </w:tabs>
        <w:snapToGrid w:val="0"/>
        <w:spacing w:line="500" w:lineRule="exact"/>
        <w:rPr>
          <w:rFonts w:ascii="方正黑体_GBK" w:eastAsia="方正黑体_GBK"/>
          <w:snapToGrid w:val="0"/>
        </w:rPr>
      </w:pPr>
      <w:r>
        <w:rPr>
          <w:rFonts w:hint="eastAsia" w:ascii="方正黑体_GBK" w:eastAsia="方正黑体_GBK"/>
          <w:snapToGrid w:val="0"/>
        </w:rPr>
        <w:t>附件</w:t>
      </w:r>
      <w:r>
        <w:rPr>
          <w:rFonts w:ascii="方正黑体_GBK" w:eastAsia="方正黑体_GBK"/>
          <w:snapToGrid w:val="0"/>
        </w:rPr>
        <w:t>2</w:t>
      </w:r>
    </w:p>
    <w:p w14:paraId="5A1A502C">
      <w:pPr>
        <w:tabs>
          <w:tab w:val="left" w:pos="12584"/>
        </w:tabs>
        <w:snapToGrid w:val="0"/>
        <w:spacing w:line="500" w:lineRule="exact"/>
        <w:jc w:val="center"/>
        <w:rPr>
          <w:rFonts w:ascii="方正小标宋_GBK" w:eastAsia="方正小标宋_GBK"/>
          <w:snapToGrid w:val="0"/>
          <w:sz w:val="36"/>
          <w:szCs w:val="36"/>
        </w:rPr>
      </w:pPr>
      <w:r>
        <w:rPr>
          <w:rFonts w:hint="eastAsia" w:ascii="方正小标宋_GBK" w:eastAsia="方正小标宋_GBK"/>
          <w:snapToGrid w:val="0"/>
          <w:sz w:val="36"/>
          <w:szCs w:val="36"/>
        </w:rPr>
        <w:t>各工作组职责</w:t>
      </w:r>
    </w:p>
    <w:p w14:paraId="06CDE405">
      <w:pPr>
        <w:tabs>
          <w:tab w:val="left" w:pos="12584"/>
        </w:tabs>
        <w:ind w:firstLine="640" w:firstLineChars="200"/>
        <w:rPr>
          <w:rFonts w:eastAsia="方正黑体_GBK"/>
        </w:rPr>
      </w:pPr>
      <w:r>
        <w:pict>
          <v:group id="_x0000_s1026" o:spid="_x0000_s1026" o:spt="203" style="position:absolute;left:0pt;margin-left:19.85pt;margin-top:7.75pt;height:317.7pt;width:633.45pt;z-index:251659264;mso-width-relative:page;mso-height-relative:page;" coordorigin="2115,2148" coordsize="12613,6665">
            <o:lock v:ext="edit"/>
            <v:group id="_x0000_s1027" o:spid="_x0000_s1027" o:spt="203" style="position:absolute;left:2115;top:3532;height:5281;width:12613;" coordorigin="2115,3532" coordsize="12613,5281">
              <o:lock v:ext="edit"/>
              <v:group id="_x0000_s1028" o:spid="_x0000_s1028" o:spt="203" style="position:absolute;left:2115;top:3818;height:4995;width:12613;" coordorigin="2115,3818" coordsize="12613,4995">
                <o:lock v:ext="edit"/>
                <v:rect id="_x0000_s1029" o:spid="_x0000_s1029" o:spt="1" style="position:absolute;left:2115;top:3836;height:4974;width:1430;" coordsize="21600,21600">
                  <v:path/>
                  <v:fill focussize="0,0"/>
                  <v:stroke/>
                  <v:imagedata o:title=""/>
                  <o:lock v:ext="edit"/>
                  <v:textbox>
                    <w:txbxContent>
                      <w:p w14:paraId="23FDBAC8">
                        <w:pPr>
                          <w:spacing w:line="240" w:lineRule="exact"/>
                          <w:rPr>
                            <w:rFonts w:ascii="方正仿宋_GBK" w:hAnsi="方正仿宋_GBK" w:eastAsia="方正书宋_GBK"/>
                            <w:spacing w:val="-2"/>
                            <w:sz w:val="18"/>
                            <w:szCs w:val="18"/>
                          </w:rPr>
                        </w:pPr>
                        <w:r>
                          <w:rPr>
                            <w:rFonts w:hint="eastAsia" w:ascii="方正黑体_GBK" w:hAnsi="方正仿宋_GBK" w:eastAsia="方正黑体_GBK"/>
                            <w:spacing w:val="-2"/>
                            <w:sz w:val="18"/>
                            <w:szCs w:val="18"/>
                          </w:rPr>
                          <w:t>综合协调组</w:t>
                        </w:r>
                        <w:r>
                          <w:rPr>
                            <w:rFonts w:hint="eastAsia" w:ascii="方正黑体_GBK" w:hAnsi="方正仿宋_GBK" w:eastAsia="方正书宋_GBK"/>
                            <w:spacing w:val="-2"/>
                            <w:sz w:val="18"/>
                            <w:szCs w:val="18"/>
                          </w:rPr>
                          <w:t>：</w:t>
                        </w:r>
                        <w:r>
                          <w:rPr>
                            <w:rFonts w:hint="eastAsia" w:ascii="方正仿宋_GBK" w:hAnsi="方正仿宋_GBK" w:eastAsia="方正书宋_GBK"/>
                            <w:spacing w:val="-2"/>
                            <w:sz w:val="18"/>
                            <w:szCs w:val="18"/>
                          </w:rPr>
                          <w:t>县政府应急办牵头，县食品药品监督管理局、县农委、县卫生计生委、县质监局、县工商局、县畜牧产业发展中心等参加。主要职责：组织协调各工作组开展应急处置工作，协调解决应急处置中的重大问题。</w:t>
                        </w:r>
                      </w:p>
                    </w:txbxContent>
                  </v:textbox>
                </v:rect>
                <v:rect id="_x0000_s1030" o:spid="_x0000_s1030" o:spt="1" style="position:absolute;left:3682;top:3833;height:4974;width:1442;" coordsize="21600,21600">
                  <v:path/>
                  <v:fill focussize="0,0"/>
                  <v:stroke/>
                  <v:imagedata o:title=""/>
                  <o:lock v:ext="edit"/>
                  <v:textbox>
                    <w:txbxContent>
                      <w:p w14:paraId="11844562">
                        <w:pPr>
                          <w:spacing w:line="200" w:lineRule="exact"/>
                        </w:pPr>
                        <w:r>
                          <w:rPr>
                            <w:rFonts w:hint="eastAsia" w:ascii="方正黑体_GBK" w:hAnsi="方正仿宋_GBK" w:eastAsia="方正黑体_GBK"/>
                            <w:sz w:val="18"/>
                            <w:szCs w:val="18"/>
                          </w:rPr>
                          <w:t>危害控制组</w:t>
                        </w:r>
                        <w:r>
                          <w:rPr>
                            <w:rFonts w:hint="eastAsia" w:ascii="方正黑体_GBK" w:hAnsi="方正仿宋_GBK" w:eastAsia="方正书宋_GBK"/>
                            <w:sz w:val="18"/>
                            <w:szCs w:val="18"/>
                          </w:rPr>
                          <w:t>：</w:t>
                        </w:r>
                        <w:r>
                          <w:rPr>
                            <w:rFonts w:hint="eastAsia" w:eastAsia="方正书宋_GBK"/>
                            <w:sz w:val="18"/>
                            <w:szCs w:val="18"/>
                          </w:rPr>
                          <w:t>县食品安全委员会办公室牵头，县农委、县公安局、县卫生计生委、县工商局、县质监局等参加。主要职责：监督、指导召回、下架、封存有关食品、原料、食品添加剂及食品相关产品，严格控制流通渠道，正面引导舆论方向，防止危害蔓延扩大。</w:t>
                        </w:r>
                      </w:p>
                    </w:txbxContent>
                  </v:textbox>
                </v:rect>
                <v:rect id="_x0000_s1031" o:spid="_x0000_s1031" o:spt="1" style="position:absolute;left:5263;top:3826;height:4987;width:1447;" coordsize="21600,21600">
                  <v:path/>
                  <v:fill focussize="0,0"/>
                  <v:stroke/>
                  <v:imagedata o:title=""/>
                  <o:lock v:ext="edit"/>
                  <v:textbox>
                    <w:txbxContent>
                      <w:p w14:paraId="68A9B19F">
                        <w:pPr>
                          <w:spacing w:line="240" w:lineRule="exact"/>
                          <w:rPr>
                            <w:rFonts w:ascii="方正仿宋_GBK" w:hAnsi="方正仿宋_GBK" w:eastAsia="方正书宋_GBK"/>
                            <w:sz w:val="18"/>
                            <w:szCs w:val="18"/>
                          </w:rPr>
                        </w:pPr>
                        <w:r>
                          <w:rPr>
                            <w:rFonts w:hint="eastAsia" w:ascii="方正黑体_GBK" w:hAnsi="方正仿宋_GBK" w:eastAsia="方正黑体_GBK"/>
                            <w:sz w:val="18"/>
                            <w:szCs w:val="18"/>
                          </w:rPr>
                          <w:t>医疗救治组：</w:t>
                        </w:r>
                        <w:r>
                          <w:rPr>
                            <w:rFonts w:hint="eastAsia" w:ascii="方正仿宋_GBK" w:hAnsi="方正仿宋_GBK" w:eastAsia="方正书宋_GBK"/>
                            <w:sz w:val="18"/>
                            <w:szCs w:val="18"/>
                          </w:rPr>
                          <w:t>县卫生计生委牵头，县食品药品监督管理局等参加。主要职责：制定救治方案，组织、指导医疗机构对健康受到危害的人员进行医疗救治。</w:t>
                        </w:r>
                      </w:p>
                    </w:txbxContent>
                  </v:textbox>
                </v:rect>
                <v:rect id="_x0000_s1032" o:spid="_x0000_s1032" o:spt="1" style="position:absolute;left:6871;top:3818;height:4974;width:1448;" coordsize="21600,21600">
                  <v:path/>
                  <v:fill focussize="0,0"/>
                  <v:stroke/>
                  <v:imagedata o:title=""/>
                  <o:lock v:ext="edit"/>
                  <v:textbox>
                    <w:txbxContent>
                      <w:p w14:paraId="5B695E0C">
                        <w:pPr>
                          <w:adjustRightInd w:val="0"/>
                          <w:snapToGrid w:val="0"/>
                          <w:spacing w:line="200" w:lineRule="exact"/>
                          <w:rPr>
                            <w:rFonts w:ascii="方正仿宋_GBK"/>
                            <w:sz w:val="18"/>
                            <w:szCs w:val="18"/>
                          </w:rPr>
                        </w:pPr>
                        <w:r>
                          <w:rPr>
                            <w:rFonts w:hint="eastAsia" w:ascii="方正黑体_GBK" w:hAnsi="方正仿宋_GBK" w:eastAsia="方正黑体_GBK"/>
                            <w:sz w:val="18"/>
                            <w:szCs w:val="18"/>
                          </w:rPr>
                          <w:t>检测评估组：</w:t>
                        </w:r>
                        <w:r>
                          <w:rPr>
                            <w:rFonts w:hint="eastAsia" w:ascii="方正仿宋_GBK" w:eastAsia="方正书宋_GBK"/>
                            <w:sz w:val="18"/>
                            <w:szCs w:val="18"/>
                          </w:rPr>
                          <w:t>县食品安全委员会办公室牵头，县农委、县卫生计生委、县质监局等参加。主要职责：组织实施相关应急检验检测，综合分析各方检测数据，查找事件原因和研判事件发展趋势，分析评估事件影响，为制订应急处置方案和采取控制措施提供参考。检测评估结果及时报告市指挥部。</w:t>
                        </w:r>
                      </w:p>
                    </w:txbxContent>
                  </v:textbox>
                </v:rect>
                <v:rect id="_x0000_s1033" o:spid="_x0000_s1033" o:spt="1" style="position:absolute;left:8478;top:3821;height:4974;width:1448;" coordsize="21600,21600">
                  <v:path/>
                  <v:fill focussize="0,0"/>
                  <v:stroke/>
                  <v:imagedata o:title=""/>
                  <o:lock v:ext="edit"/>
                  <v:textbox>
                    <w:txbxContent>
                      <w:p w14:paraId="090FFA6C">
                        <w:pPr>
                          <w:adjustRightInd w:val="0"/>
                          <w:snapToGrid w:val="0"/>
                          <w:spacing w:line="220" w:lineRule="exact"/>
                          <w:rPr>
                            <w:rFonts w:ascii="方正仿宋_GBK" w:eastAsia="方正书宋_GBK"/>
                            <w:sz w:val="18"/>
                            <w:szCs w:val="18"/>
                          </w:rPr>
                        </w:pPr>
                        <w:r>
                          <w:rPr>
                            <w:rFonts w:hint="eastAsia" w:ascii="方正黑体_GBK" w:hAnsi="方正仿宋_GBK" w:eastAsia="方正黑体_GBK"/>
                            <w:sz w:val="18"/>
                            <w:szCs w:val="18"/>
                          </w:rPr>
                          <w:t>社会稳定组：</w:t>
                        </w:r>
                        <w:r>
                          <w:rPr>
                            <w:rFonts w:hint="eastAsia" w:ascii="方正仿宋_GBK" w:hAnsi="方正仿宋_GBK" w:eastAsia="方正书宋_GBK"/>
                            <w:sz w:val="18"/>
                            <w:szCs w:val="18"/>
                          </w:rPr>
                          <w:t>县维稳办牵头，县政府宣传部（新闻办）、县公安局、县食品药品监督管理局等参加。主要职责：加强社会治安管理，严厉打击编造传播谣言，制造社会恐慌，趁机作乱等违法犯罪行为，做好矛盾纠纷化解和法律服务工作。</w:t>
                        </w:r>
                      </w:p>
                    </w:txbxContent>
                  </v:textbox>
                </v:rect>
                <v:rect id="_x0000_s1034" o:spid="_x0000_s1034" o:spt="1" style="position:absolute;left:10082;top:3821;height:4974;width:1447;" coordsize="21600,21600">
                  <v:path/>
                  <v:fill focussize="0,0"/>
                  <v:stroke/>
                  <v:imagedata o:title=""/>
                  <o:lock v:ext="edit"/>
                  <v:textbox>
                    <w:txbxContent>
                      <w:p w14:paraId="52A32B58">
                        <w:pPr>
                          <w:spacing w:line="220" w:lineRule="exact"/>
                          <w:rPr>
                            <w:rFonts w:ascii="方正仿宋_GBK" w:eastAsia="方正书宋_GBK"/>
                            <w:sz w:val="18"/>
                            <w:szCs w:val="18"/>
                          </w:rPr>
                        </w:pPr>
                        <w:r>
                          <w:rPr>
                            <w:rFonts w:hint="eastAsia" w:ascii="方正黑体_GBK" w:hAnsi="方正仿宋_GBK" w:eastAsia="方正黑体_GBK"/>
                            <w:sz w:val="18"/>
                            <w:szCs w:val="18"/>
                          </w:rPr>
                          <w:t>舆论引导组：</w:t>
                        </w:r>
                        <w:r>
                          <w:rPr>
                            <w:rFonts w:hint="eastAsia" w:ascii="方正仿宋_GBK" w:hAnsi="方正仿宋_GBK" w:eastAsia="方正书宋_GBK"/>
                            <w:sz w:val="18"/>
                            <w:szCs w:val="18"/>
                          </w:rPr>
                          <w:t>县政府新闻办牵头，县食品药品监督管理局、县卫生计生委、县公安局、县</w:t>
                        </w:r>
                        <w:r>
                          <w:rPr>
                            <w:rFonts w:hint="eastAsia" w:ascii="方正仿宋_GBK" w:hAnsi="方正仿宋_GBK" w:eastAsia="方正书宋_GBK"/>
                            <w:sz w:val="18"/>
                            <w:szCs w:val="18"/>
                            <w:lang w:eastAsia="zh-CN"/>
                          </w:rPr>
                          <w:t>委</w:t>
                        </w:r>
                        <w:r>
                          <w:rPr>
                            <w:rFonts w:hint="eastAsia" w:ascii="方正仿宋_GBK" w:hAnsi="方正仿宋_GBK" w:eastAsia="方正书宋_GBK"/>
                            <w:sz w:val="18"/>
                            <w:szCs w:val="18"/>
                          </w:rPr>
                          <w:t>网信办等参加。主要职责：组织事件处置宣传报道和舆论引导，做好信息发布工作。</w:t>
                        </w:r>
                      </w:p>
                    </w:txbxContent>
                  </v:textbox>
                </v:rect>
                <v:rect id="_x0000_s1035" o:spid="_x0000_s1035" o:spt="1" style="position:absolute;left:11675;top:3834;height:4974;width:1447;" coordsize="21600,21600">
                  <v:path/>
                  <v:fill focussize="0,0"/>
                  <v:stroke/>
                  <v:imagedata o:title=""/>
                  <o:lock v:ext="edit"/>
                  <v:textbox>
                    <w:txbxContent>
                      <w:p w14:paraId="3E05137C">
                        <w:pPr>
                          <w:adjustRightInd w:val="0"/>
                          <w:snapToGrid w:val="0"/>
                          <w:spacing w:line="220" w:lineRule="exact"/>
                          <w:rPr>
                            <w:rFonts w:ascii="方正仿宋_GBK" w:hAnsi="方正仿宋_GBK" w:eastAsia="方正书宋_GBK"/>
                            <w:sz w:val="18"/>
                            <w:szCs w:val="18"/>
                          </w:rPr>
                        </w:pPr>
                        <w:r>
                          <w:rPr>
                            <w:rFonts w:hint="eastAsia" w:ascii="方正黑体_GBK" w:hAnsi="方正仿宋_GBK" w:eastAsia="方正黑体_GBK"/>
                            <w:sz w:val="18"/>
                            <w:szCs w:val="18"/>
                          </w:rPr>
                          <w:t>善后工作组：</w:t>
                        </w:r>
                        <w:r>
                          <w:rPr>
                            <w:rFonts w:hint="eastAsia" w:ascii="方正仿宋_GBK" w:eastAsia="方正书宋_GBK"/>
                            <w:sz w:val="18"/>
                            <w:szCs w:val="18"/>
                          </w:rPr>
                          <w:t>事发地乡镇（街道）</w:t>
                        </w:r>
                        <w:r>
                          <w:rPr>
                            <w:rFonts w:hint="eastAsia" w:ascii="方正仿宋_GBK" w:hAnsi="方正仿宋_GBK" w:eastAsia="方正书宋_GBK"/>
                            <w:sz w:val="18"/>
                            <w:szCs w:val="18"/>
                          </w:rPr>
                          <w:t>人民政府（办事处）牵头，县商务局、</w:t>
                        </w:r>
                        <w:r>
                          <w:rPr>
                            <w:rFonts w:hint="eastAsia" w:ascii="方正仿宋_GBK" w:eastAsia="方正书宋_GBK"/>
                            <w:spacing w:val="-10"/>
                            <w:sz w:val="18"/>
                            <w:szCs w:val="18"/>
                          </w:rPr>
                          <w:t>县经信委</w:t>
                        </w:r>
                        <w:r>
                          <w:rPr>
                            <w:rFonts w:hint="eastAsia" w:ascii="方正仿宋_GBK" w:hAnsi="方正仿宋_GBK" w:eastAsia="方正书宋_GBK"/>
                            <w:sz w:val="18"/>
                            <w:szCs w:val="18"/>
                          </w:rPr>
                          <w:t>参加。主要职责：制订产品抽样及检验、污染物收集、清理与处理等方案，组织开展理赔、救济、补偿、抚慰等善后工作方案并组织实施。</w:t>
                        </w:r>
                      </w:p>
                    </w:txbxContent>
                  </v:textbox>
                </v:rect>
                <v:rect id="_x0000_s1036" o:spid="_x0000_s1036" o:spt="1" style="position:absolute;left:13281;top:3821;height:4974;width:1447;" coordsize="21600,21600">
                  <v:path/>
                  <v:fill focussize="0,0"/>
                  <v:stroke/>
                  <v:imagedata o:title=""/>
                  <o:lock v:ext="edit"/>
                  <v:textbox>
                    <w:txbxContent>
                      <w:p w14:paraId="063C65D8">
                        <w:pPr>
                          <w:adjustRightInd w:val="0"/>
                          <w:snapToGrid w:val="0"/>
                          <w:spacing w:line="190" w:lineRule="exact"/>
                          <w:rPr>
                            <w:rFonts w:ascii="方正仿宋_GBK" w:hAnsi="方正仿宋_GBK" w:eastAsia="方正书宋_GBK"/>
                            <w:spacing w:val="-8"/>
                            <w:sz w:val="18"/>
                            <w:szCs w:val="18"/>
                          </w:rPr>
                        </w:pPr>
                        <w:r>
                          <w:rPr>
                            <w:rFonts w:hint="eastAsia" w:ascii="方正黑体_GBK" w:hAnsi="方正仿宋_GBK" w:eastAsia="方正黑体_GBK"/>
                            <w:spacing w:val="-8"/>
                            <w:sz w:val="18"/>
                            <w:szCs w:val="18"/>
                          </w:rPr>
                          <w:t>事件调查组：</w:t>
                        </w:r>
                        <w:r>
                          <w:rPr>
                            <w:rFonts w:hint="eastAsia" w:ascii="方正仿宋_GBK" w:hAnsi="方正仿宋_GBK" w:eastAsia="方正书宋_GBK"/>
                            <w:spacing w:val="-8"/>
                            <w:sz w:val="18"/>
                            <w:szCs w:val="18"/>
                          </w:rPr>
                          <w:t>由县食品安全委员会办公室牵头，县教委、县城乡建委、县农委、县公安局、县卫生计生委、县环保局、县法院、县检察院等参加。主要职责：负责调查事件发生原因，评估事件影响，提出事件防范意见；对涉嫌犯罪的，负责督促、指导涉案地立案侦办，查清事实，依法追究刑事责任。根据实际需要，事件调查组可以设置在事发地或派出部分人员赴现场开展事件调查。</w:t>
                        </w:r>
                      </w:p>
                      <w:p w14:paraId="7E5A1EB2">
                        <w:pPr>
                          <w:spacing w:line="240" w:lineRule="exact"/>
                          <w:rPr>
                            <w:rFonts w:ascii="方正仿宋_GBK"/>
                            <w:sz w:val="10"/>
                            <w:szCs w:val="18"/>
                          </w:rPr>
                        </w:pPr>
                      </w:p>
                    </w:txbxContent>
                  </v:textbox>
                </v:rect>
              </v:group>
              <v:line id="_x0000_s1037" o:spid="_x0000_s1037" o:spt="20" style="position:absolute;left:9212;top:3538;height:283;width:0;" coordsize="21600,21600">
                <v:path arrowok="t"/>
                <v:fill focussize="0,0"/>
                <v:stroke endarrow="block"/>
                <v:imagedata o:title=""/>
                <o:lock v:ext="edit"/>
              </v:line>
              <v:line id="_x0000_s1038" o:spid="_x0000_s1038" o:spt="20" style="position:absolute;left:14035;top:3532;height:283;width:0;" coordsize="21600,21600">
                <v:path arrowok="t"/>
                <v:fill focussize="0,0"/>
                <v:stroke endarrow="block"/>
                <v:imagedata o:title=""/>
                <o:lock v:ext="edit"/>
              </v:line>
              <v:line id="_x0000_s1039" o:spid="_x0000_s1039" o:spt="20" style="position:absolute;left:2835;top:3544;height:283;width:0;" coordsize="21600,21600">
                <v:path arrowok="t"/>
                <v:fill focussize="0,0"/>
                <v:stroke endarrow="block"/>
                <v:imagedata o:title=""/>
                <o:lock v:ext="edit"/>
              </v:line>
              <v:line id="_x0000_s1040" o:spid="_x0000_s1040" o:spt="20" style="position:absolute;left:4449;top:3544;height:283;width:0;" coordsize="21600,21600">
                <v:path arrowok="t"/>
                <v:fill focussize="0,0"/>
                <v:stroke endarrow="block"/>
                <v:imagedata o:title=""/>
                <o:lock v:ext="edit"/>
              </v:line>
              <v:line id="_x0000_s1041" o:spid="_x0000_s1041" o:spt="20" style="position:absolute;left:7627;top:3538;height:283;width:0;" coordsize="21600,21600">
                <v:path arrowok="t"/>
                <v:fill focussize="0,0"/>
                <v:stroke endarrow="block"/>
                <v:imagedata o:title=""/>
                <o:lock v:ext="edit"/>
              </v:line>
              <v:line id="_x0000_s1042" o:spid="_x0000_s1042" o:spt="20" style="position:absolute;left:10839;top:3534;height:283;width:0;" coordsize="21600,21600">
                <v:path arrowok="t"/>
                <v:fill focussize="0,0"/>
                <v:stroke endarrow="block"/>
                <v:imagedata o:title=""/>
                <o:lock v:ext="edit"/>
              </v:line>
              <v:line id="_x0000_s1043" o:spid="_x0000_s1043" o:spt="20" style="position:absolute;left:12426;top:3534;height:283;width:0;" coordsize="21600,21600">
                <v:path arrowok="t"/>
                <v:fill focussize="0,0"/>
                <v:stroke endarrow="block"/>
                <v:imagedata o:title=""/>
                <o:lock v:ext="edit"/>
              </v:line>
              <v:line id="_x0000_s1044" o:spid="_x0000_s1044" o:spt="20" style="position:absolute;left:6022;top:3538;height:283;width:0;" coordsize="21600,21600">
                <v:path arrowok="t"/>
                <v:fill focussize="0,0"/>
                <v:stroke endarrow="block"/>
                <v:imagedata o:title=""/>
                <o:lock v:ext="edit"/>
              </v:line>
              <v:line id="_x0000_s1045" o:spid="_x0000_s1045" o:spt="20" style="position:absolute;left:2835;top:3532;flip:y;height:12;width:11200;" coordsize="21600,21600">
                <v:path arrowok="t"/>
                <v:fill focussize="0,0"/>
                <v:stroke/>
                <v:imagedata o:title=""/>
                <o:lock v:ext="edit"/>
              </v:line>
            </v:group>
            <v:group id="_x0000_s1046" o:spid="_x0000_s1046" o:spt="203" style="position:absolute;left:3273;top:2148;height:1375;width:10317;" coordorigin="3273,2148" coordsize="10317,1375">
              <o:lock v:ext="edit"/>
              <v:line id="_x0000_s1047" o:spid="_x0000_s1047" o:spt="20" style="position:absolute;left:8441;top:3268;flip:y;height:255;width:0;" coordsize="21600,21600">
                <v:path arrowok="t"/>
                <v:fill focussize="0,0"/>
                <v:stroke/>
                <v:imagedata o:title=""/>
                <o:lock v:ext="edit"/>
              </v:line>
              <v:rect id="_x0000_s1048" o:spid="_x0000_s1048" o:spt="1" style="position:absolute;left:6398;top:2148;height:397;width:4099;" coordsize="21600,21600">
                <v:path/>
                <v:fill focussize="0,0"/>
                <v:stroke/>
                <v:imagedata o:title=""/>
                <o:lock v:ext="edit"/>
                <v:textbox>
                  <w:txbxContent>
                    <w:p w14:paraId="3C41FC9F">
                      <w:pPr>
                        <w:spacing w:line="220" w:lineRule="exact"/>
                        <w:jc w:val="center"/>
                        <w:rPr>
                          <w:rFonts w:ascii="方正黑体_GBK" w:hAnsi="宋体" w:eastAsia="方正黑体_GBK"/>
                          <w:sz w:val="21"/>
                          <w:szCs w:val="21"/>
                        </w:rPr>
                      </w:pPr>
                      <w:r>
                        <w:rPr>
                          <w:rFonts w:hint="eastAsia" w:ascii="方正黑体_GBK" w:hAnsi="宋体" w:eastAsia="方正黑体_GBK"/>
                          <w:sz w:val="21"/>
                          <w:szCs w:val="21"/>
                        </w:rPr>
                        <w:t>石柱县食品安全突发事件应急指挥部</w:t>
                      </w:r>
                    </w:p>
                    <w:p w14:paraId="547E9EFF">
                      <w:pPr>
                        <w:spacing w:line="280" w:lineRule="exact"/>
                        <w:jc w:val="center"/>
                      </w:pPr>
                    </w:p>
                  </w:txbxContent>
                </v:textbox>
              </v:rect>
              <v:rect id="_x0000_s1049" o:spid="_x0000_s1049" o:spt="1" style="position:absolute;left:3273;top:2744;height:578;width:10317;" coordsize="21600,21600">
                <v:path/>
                <v:fill focussize="0,0"/>
                <v:stroke/>
                <v:imagedata o:title=""/>
                <o:lock v:ext="edit"/>
                <v:textbox>
                  <w:txbxContent>
                    <w:p w14:paraId="06B68B2E">
                      <w:pPr>
                        <w:spacing w:line="180" w:lineRule="exact"/>
                        <w:jc w:val="left"/>
                        <w:rPr>
                          <w:rFonts w:eastAsia="方正书宋_GBK"/>
                          <w:sz w:val="18"/>
                          <w:szCs w:val="18"/>
                        </w:rPr>
                      </w:pPr>
                      <w:r>
                        <w:rPr>
                          <w:rFonts w:hint="eastAsia" w:eastAsia="方正黑体_GBK"/>
                          <w:sz w:val="18"/>
                          <w:szCs w:val="18"/>
                        </w:rPr>
                        <w:t>指</w:t>
                      </w:r>
                      <w:r>
                        <w:rPr>
                          <w:rFonts w:eastAsia="方正黑体_GBK"/>
                          <w:sz w:val="18"/>
                          <w:szCs w:val="18"/>
                        </w:rPr>
                        <w:t xml:space="preserve"> </w:t>
                      </w:r>
                      <w:r>
                        <w:rPr>
                          <w:rFonts w:hint="eastAsia" w:eastAsia="方正黑体_GBK"/>
                          <w:sz w:val="18"/>
                          <w:szCs w:val="18"/>
                        </w:rPr>
                        <w:t>挥</w:t>
                      </w:r>
                      <w:r>
                        <w:rPr>
                          <w:rFonts w:eastAsia="方正黑体_GBK"/>
                          <w:sz w:val="18"/>
                          <w:szCs w:val="18"/>
                        </w:rPr>
                        <w:t xml:space="preserve"> </w:t>
                      </w:r>
                      <w:r>
                        <w:rPr>
                          <w:rFonts w:hint="eastAsia" w:eastAsia="方正黑体_GBK"/>
                          <w:sz w:val="18"/>
                          <w:szCs w:val="18"/>
                        </w:rPr>
                        <w:t>长：</w:t>
                      </w:r>
                      <w:r>
                        <w:rPr>
                          <w:rFonts w:hint="eastAsia" w:eastAsia="方正书宋_GBK"/>
                          <w:sz w:val="18"/>
                          <w:szCs w:val="18"/>
                        </w:rPr>
                        <w:t>县政府分管副县长；</w:t>
                      </w:r>
                    </w:p>
                    <w:p w14:paraId="42BC6F87">
                      <w:pPr>
                        <w:spacing w:line="200" w:lineRule="exact"/>
                        <w:ind w:left="900" w:hanging="900" w:hangingChars="500"/>
                        <w:jc w:val="left"/>
                        <w:rPr>
                          <w:rFonts w:ascii="方正仿宋_GBK"/>
                        </w:rPr>
                      </w:pPr>
                      <w:r>
                        <w:rPr>
                          <w:rFonts w:hint="eastAsia" w:eastAsia="方正黑体_GBK"/>
                          <w:sz w:val="18"/>
                          <w:szCs w:val="18"/>
                        </w:rPr>
                        <w:t>副指挥长：</w:t>
                      </w:r>
                      <w:r>
                        <w:rPr>
                          <w:rFonts w:hint="eastAsia" w:eastAsia="方正书宋_GBK"/>
                          <w:sz w:val="18"/>
                          <w:szCs w:val="18"/>
                        </w:rPr>
                        <w:t>县政府应急办、县食品药品监督管理局、县卫生计生委、事发地乡镇（街道）人民政府（办事处）主要负责</w:t>
                      </w:r>
                      <w:r>
                        <w:rPr>
                          <w:rFonts w:hint="eastAsia" w:eastAsia="方正书宋_GBK"/>
                          <w:sz w:val="21"/>
                          <w:szCs w:val="21"/>
                        </w:rPr>
                        <w:t>人。</w:t>
                      </w:r>
                    </w:p>
                  </w:txbxContent>
                </v:textbox>
              </v:rect>
              <v:line id="_x0000_s1050" o:spid="_x0000_s1050" o:spt="20" style="position:absolute;left:8435;top:2556;flip:y;height:170;width:0;" coordsize="21600,21600">
                <v:path arrowok="t"/>
                <v:fill focussize="0,0"/>
                <v:stroke/>
                <v:imagedata o:title=""/>
                <o:lock v:ext="edit"/>
              </v:line>
            </v:group>
          </v:group>
        </w:pict>
      </w:r>
    </w:p>
    <w:p w14:paraId="08C33F3E">
      <w:pPr>
        <w:tabs>
          <w:tab w:val="left" w:pos="12584"/>
        </w:tabs>
        <w:ind w:firstLine="640" w:firstLineChars="200"/>
        <w:rPr>
          <w:rFonts w:eastAsia="方正黑体_GBK"/>
        </w:rPr>
      </w:pPr>
    </w:p>
    <w:p w14:paraId="4D1400FB">
      <w:pPr>
        <w:tabs>
          <w:tab w:val="left" w:pos="12584"/>
        </w:tabs>
        <w:ind w:firstLine="640" w:firstLineChars="200"/>
        <w:rPr>
          <w:rFonts w:eastAsia="方正黑体_GBK"/>
        </w:rPr>
      </w:pPr>
    </w:p>
    <w:p w14:paraId="1649B132">
      <w:pPr>
        <w:tabs>
          <w:tab w:val="left" w:pos="0"/>
          <w:tab w:val="left" w:pos="12584"/>
        </w:tabs>
      </w:pPr>
    </w:p>
    <w:p w14:paraId="006F2296">
      <w:pPr>
        <w:tabs>
          <w:tab w:val="left" w:pos="0"/>
          <w:tab w:val="left" w:pos="12584"/>
        </w:tabs>
      </w:pPr>
    </w:p>
    <w:p w14:paraId="55A028D3">
      <w:pPr>
        <w:tabs>
          <w:tab w:val="left" w:pos="0"/>
          <w:tab w:val="left" w:pos="12584"/>
        </w:tabs>
      </w:pPr>
    </w:p>
    <w:p w14:paraId="055ECC0A">
      <w:pPr>
        <w:tabs>
          <w:tab w:val="left" w:pos="0"/>
          <w:tab w:val="left" w:pos="12584"/>
        </w:tabs>
      </w:pPr>
    </w:p>
    <w:p w14:paraId="234C772D">
      <w:pPr>
        <w:tabs>
          <w:tab w:val="left" w:pos="0"/>
          <w:tab w:val="left" w:pos="12584"/>
        </w:tabs>
      </w:pPr>
    </w:p>
    <w:p w14:paraId="6D32970A">
      <w:pPr>
        <w:tabs>
          <w:tab w:val="left" w:pos="0"/>
          <w:tab w:val="left" w:pos="12584"/>
        </w:tabs>
      </w:pPr>
    </w:p>
    <w:p w14:paraId="15DA41CF">
      <w:pPr>
        <w:tabs>
          <w:tab w:val="left" w:pos="0"/>
          <w:tab w:val="left" w:pos="12584"/>
        </w:tabs>
      </w:pPr>
    </w:p>
    <w:p w14:paraId="3F5620B9">
      <w:pPr>
        <w:tabs>
          <w:tab w:val="left" w:pos="0"/>
          <w:tab w:val="left" w:pos="12584"/>
        </w:tabs>
      </w:pPr>
    </w:p>
    <w:p w14:paraId="20BEA6CC">
      <w:pPr>
        <w:tabs>
          <w:tab w:val="left" w:pos="0"/>
          <w:tab w:val="left" w:pos="12584"/>
        </w:tabs>
      </w:pPr>
    </w:p>
    <w:p w14:paraId="49BB9A86">
      <w:pPr>
        <w:tabs>
          <w:tab w:val="left" w:pos="0"/>
          <w:tab w:val="left" w:pos="12584"/>
        </w:tabs>
      </w:pPr>
    </w:p>
    <w:p w14:paraId="4C980B33">
      <w:pPr>
        <w:tabs>
          <w:tab w:val="left" w:pos="0"/>
          <w:tab w:val="left" w:pos="12584"/>
        </w:tabs>
      </w:pPr>
    </w:p>
    <w:p w14:paraId="7EC38C6A">
      <w:pPr>
        <w:tabs>
          <w:tab w:val="left" w:pos="0"/>
          <w:tab w:val="left" w:pos="12584"/>
        </w:tabs>
        <w:spacing w:line="400" w:lineRule="exact"/>
      </w:pPr>
    </w:p>
    <w:p w14:paraId="11301D60">
      <w:pPr>
        <w:tabs>
          <w:tab w:val="left" w:pos="0"/>
          <w:tab w:val="left" w:pos="12584"/>
        </w:tabs>
        <w:spacing w:line="400" w:lineRule="exact"/>
        <w:sectPr>
          <w:pgSz w:w="16838" w:h="11906" w:orient="landscape"/>
          <w:pgMar w:top="1800" w:right="1440" w:bottom="1800" w:left="1440" w:header="851" w:footer="992" w:gutter="0"/>
          <w:cols w:space="425" w:num="1"/>
          <w:docGrid w:type="lines" w:linePitch="435" w:charSpace="0"/>
        </w:sectPr>
      </w:pPr>
    </w:p>
    <w:p w14:paraId="41634897">
      <w:pPr>
        <w:tabs>
          <w:tab w:val="left" w:pos="0"/>
          <w:tab w:val="left" w:pos="12584"/>
        </w:tabs>
        <w:snapToGrid w:val="0"/>
        <w:spacing w:line="560" w:lineRule="exact"/>
        <w:rPr>
          <w:rFonts w:ascii="方正仿宋_GBK"/>
          <w:snapToGrid w:val="0"/>
          <w:sz w:val="28"/>
          <w:szCs w:val="28"/>
        </w:rPr>
      </w:pPr>
    </w:p>
    <w:p w14:paraId="00222840">
      <w:pPr>
        <w:tabs>
          <w:tab w:val="left" w:pos="0"/>
          <w:tab w:val="left" w:pos="12584"/>
        </w:tabs>
        <w:snapToGrid w:val="0"/>
        <w:spacing w:line="560" w:lineRule="exact"/>
        <w:rPr>
          <w:rFonts w:ascii="方正仿宋_GBK"/>
          <w:snapToGrid w:val="0"/>
          <w:sz w:val="28"/>
          <w:szCs w:val="28"/>
        </w:rPr>
      </w:pPr>
    </w:p>
    <w:p w14:paraId="64B41902">
      <w:pPr>
        <w:tabs>
          <w:tab w:val="left" w:pos="0"/>
          <w:tab w:val="left" w:pos="12584"/>
        </w:tabs>
        <w:snapToGrid w:val="0"/>
        <w:spacing w:line="560" w:lineRule="exact"/>
        <w:rPr>
          <w:rFonts w:ascii="方正仿宋_GBK"/>
          <w:snapToGrid w:val="0"/>
          <w:sz w:val="28"/>
          <w:szCs w:val="28"/>
        </w:rPr>
      </w:pPr>
    </w:p>
    <w:p w14:paraId="23F4385E">
      <w:pPr>
        <w:tabs>
          <w:tab w:val="left" w:pos="0"/>
          <w:tab w:val="left" w:pos="12584"/>
        </w:tabs>
        <w:snapToGrid w:val="0"/>
        <w:spacing w:line="560" w:lineRule="exact"/>
        <w:rPr>
          <w:rFonts w:ascii="方正仿宋_GBK"/>
          <w:snapToGrid w:val="0"/>
          <w:sz w:val="28"/>
          <w:szCs w:val="28"/>
        </w:rPr>
      </w:pPr>
    </w:p>
    <w:p w14:paraId="3C9B23AE">
      <w:pPr>
        <w:tabs>
          <w:tab w:val="left" w:pos="0"/>
          <w:tab w:val="left" w:pos="12584"/>
        </w:tabs>
        <w:snapToGrid w:val="0"/>
        <w:spacing w:line="560" w:lineRule="exact"/>
        <w:rPr>
          <w:rFonts w:ascii="方正仿宋_GBK"/>
          <w:snapToGrid w:val="0"/>
          <w:sz w:val="28"/>
          <w:szCs w:val="28"/>
        </w:rPr>
      </w:pPr>
    </w:p>
    <w:p w14:paraId="4B067259">
      <w:pPr>
        <w:tabs>
          <w:tab w:val="left" w:pos="0"/>
          <w:tab w:val="left" w:pos="12584"/>
        </w:tabs>
        <w:snapToGrid w:val="0"/>
        <w:spacing w:line="560" w:lineRule="exact"/>
        <w:rPr>
          <w:rFonts w:ascii="方正仿宋_GBK"/>
          <w:snapToGrid w:val="0"/>
          <w:sz w:val="28"/>
          <w:szCs w:val="28"/>
        </w:rPr>
      </w:pPr>
    </w:p>
    <w:p w14:paraId="79AB9C19">
      <w:pPr>
        <w:tabs>
          <w:tab w:val="left" w:pos="0"/>
          <w:tab w:val="left" w:pos="12584"/>
        </w:tabs>
        <w:snapToGrid w:val="0"/>
        <w:spacing w:line="560" w:lineRule="exact"/>
        <w:rPr>
          <w:rFonts w:ascii="方正仿宋_GBK"/>
          <w:snapToGrid w:val="0"/>
          <w:sz w:val="28"/>
          <w:szCs w:val="28"/>
        </w:rPr>
      </w:pPr>
    </w:p>
    <w:p w14:paraId="0C19E8CA">
      <w:pPr>
        <w:tabs>
          <w:tab w:val="left" w:pos="0"/>
          <w:tab w:val="left" w:pos="12584"/>
        </w:tabs>
        <w:snapToGrid w:val="0"/>
        <w:spacing w:line="560" w:lineRule="exact"/>
        <w:rPr>
          <w:rFonts w:ascii="方正仿宋_GBK"/>
          <w:snapToGrid w:val="0"/>
          <w:sz w:val="28"/>
          <w:szCs w:val="28"/>
        </w:rPr>
      </w:pPr>
    </w:p>
    <w:p w14:paraId="72DDD77D">
      <w:pPr>
        <w:tabs>
          <w:tab w:val="left" w:pos="0"/>
          <w:tab w:val="left" w:pos="12584"/>
        </w:tabs>
        <w:snapToGrid w:val="0"/>
        <w:spacing w:line="560" w:lineRule="exact"/>
        <w:rPr>
          <w:rFonts w:ascii="方正仿宋_GBK"/>
          <w:snapToGrid w:val="0"/>
          <w:sz w:val="28"/>
          <w:szCs w:val="28"/>
        </w:rPr>
      </w:pPr>
    </w:p>
    <w:p w14:paraId="0410E7D6">
      <w:pPr>
        <w:tabs>
          <w:tab w:val="left" w:pos="0"/>
          <w:tab w:val="left" w:pos="12584"/>
        </w:tabs>
        <w:snapToGrid w:val="0"/>
        <w:spacing w:line="560" w:lineRule="exact"/>
        <w:rPr>
          <w:rFonts w:ascii="方正仿宋_GBK"/>
          <w:snapToGrid w:val="0"/>
          <w:sz w:val="28"/>
          <w:szCs w:val="28"/>
        </w:rPr>
      </w:pPr>
    </w:p>
    <w:p w14:paraId="519426F2">
      <w:pPr>
        <w:tabs>
          <w:tab w:val="left" w:pos="0"/>
          <w:tab w:val="left" w:pos="12584"/>
        </w:tabs>
        <w:snapToGrid w:val="0"/>
        <w:spacing w:line="560" w:lineRule="exact"/>
        <w:rPr>
          <w:rFonts w:ascii="方正仿宋_GBK"/>
          <w:snapToGrid w:val="0"/>
          <w:sz w:val="28"/>
          <w:szCs w:val="28"/>
        </w:rPr>
      </w:pPr>
    </w:p>
    <w:p w14:paraId="2795F915">
      <w:pPr>
        <w:tabs>
          <w:tab w:val="left" w:pos="0"/>
          <w:tab w:val="left" w:pos="12584"/>
        </w:tabs>
        <w:snapToGrid w:val="0"/>
        <w:spacing w:line="560" w:lineRule="exact"/>
        <w:rPr>
          <w:rFonts w:ascii="方正仿宋_GBK"/>
          <w:snapToGrid w:val="0"/>
          <w:sz w:val="28"/>
          <w:szCs w:val="28"/>
        </w:rPr>
      </w:pPr>
    </w:p>
    <w:p w14:paraId="725722EE">
      <w:pPr>
        <w:tabs>
          <w:tab w:val="left" w:pos="0"/>
          <w:tab w:val="left" w:pos="12584"/>
        </w:tabs>
        <w:snapToGrid w:val="0"/>
        <w:spacing w:line="560" w:lineRule="exact"/>
        <w:rPr>
          <w:rFonts w:ascii="方正仿宋_GBK"/>
          <w:snapToGrid w:val="0"/>
          <w:sz w:val="28"/>
          <w:szCs w:val="28"/>
        </w:rPr>
      </w:pPr>
    </w:p>
    <w:p w14:paraId="6D3BAD28">
      <w:pPr>
        <w:tabs>
          <w:tab w:val="left" w:pos="0"/>
          <w:tab w:val="left" w:pos="12584"/>
        </w:tabs>
        <w:snapToGrid w:val="0"/>
        <w:spacing w:line="560" w:lineRule="exact"/>
        <w:rPr>
          <w:rFonts w:ascii="方正仿宋_GBK"/>
          <w:snapToGrid w:val="0"/>
          <w:sz w:val="28"/>
          <w:szCs w:val="28"/>
        </w:rPr>
      </w:pPr>
    </w:p>
    <w:p w14:paraId="232174F9">
      <w:pPr>
        <w:tabs>
          <w:tab w:val="left" w:pos="0"/>
          <w:tab w:val="left" w:pos="12584"/>
        </w:tabs>
        <w:snapToGrid w:val="0"/>
        <w:spacing w:line="560" w:lineRule="exact"/>
        <w:rPr>
          <w:rFonts w:ascii="方正仿宋_GBK"/>
          <w:snapToGrid w:val="0"/>
          <w:sz w:val="28"/>
          <w:szCs w:val="28"/>
        </w:rPr>
      </w:pPr>
    </w:p>
    <w:p w14:paraId="049BABC8">
      <w:pPr>
        <w:tabs>
          <w:tab w:val="left" w:pos="0"/>
          <w:tab w:val="left" w:pos="12584"/>
        </w:tabs>
        <w:snapToGrid w:val="0"/>
        <w:spacing w:line="560" w:lineRule="exact"/>
        <w:rPr>
          <w:rFonts w:ascii="方正仿宋_GBK"/>
          <w:snapToGrid w:val="0"/>
          <w:sz w:val="28"/>
          <w:szCs w:val="28"/>
        </w:rPr>
      </w:pPr>
    </w:p>
    <w:p w14:paraId="673E9582">
      <w:pPr>
        <w:tabs>
          <w:tab w:val="left" w:pos="0"/>
          <w:tab w:val="left" w:pos="12584"/>
        </w:tabs>
        <w:snapToGrid w:val="0"/>
        <w:spacing w:line="560" w:lineRule="exact"/>
        <w:rPr>
          <w:rFonts w:ascii="方正仿宋_GBK"/>
          <w:snapToGrid w:val="0"/>
          <w:sz w:val="28"/>
          <w:szCs w:val="28"/>
        </w:rPr>
      </w:pPr>
    </w:p>
    <w:p w14:paraId="39201855">
      <w:pPr>
        <w:tabs>
          <w:tab w:val="left" w:pos="0"/>
          <w:tab w:val="left" w:pos="12584"/>
        </w:tabs>
        <w:snapToGrid w:val="0"/>
        <w:spacing w:line="560" w:lineRule="exact"/>
        <w:rPr>
          <w:rFonts w:ascii="方正仿宋_GBK"/>
          <w:snapToGrid w:val="0"/>
          <w:sz w:val="28"/>
          <w:szCs w:val="28"/>
        </w:rPr>
      </w:pPr>
    </w:p>
    <w:p w14:paraId="311DB9EC">
      <w:pPr>
        <w:tabs>
          <w:tab w:val="left" w:pos="0"/>
          <w:tab w:val="left" w:pos="12584"/>
        </w:tabs>
        <w:snapToGrid w:val="0"/>
        <w:spacing w:line="560" w:lineRule="exact"/>
        <w:rPr>
          <w:rFonts w:ascii="方正仿宋_GBK"/>
          <w:snapToGrid w:val="0"/>
          <w:sz w:val="28"/>
          <w:szCs w:val="28"/>
        </w:rPr>
      </w:pPr>
    </w:p>
    <w:p w14:paraId="5FE3ACEB">
      <w:pPr>
        <w:tabs>
          <w:tab w:val="left" w:pos="0"/>
          <w:tab w:val="left" w:pos="12584"/>
        </w:tabs>
        <w:snapToGrid w:val="0"/>
        <w:spacing w:line="560" w:lineRule="exact"/>
        <w:rPr>
          <w:rFonts w:ascii="方正仿宋_GBK"/>
          <w:snapToGrid w:val="0"/>
          <w:sz w:val="28"/>
          <w:szCs w:val="28"/>
        </w:rPr>
      </w:pPr>
    </w:p>
    <w:p w14:paraId="27505D19">
      <w:pPr>
        <w:tabs>
          <w:tab w:val="left" w:pos="0"/>
          <w:tab w:val="left" w:pos="12584"/>
        </w:tabs>
        <w:snapToGrid w:val="0"/>
        <w:spacing w:line="560" w:lineRule="exact"/>
        <w:rPr>
          <w:rFonts w:ascii="方正仿宋_GBK"/>
          <w:snapToGrid w:val="0"/>
          <w:sz w:val="28"/>
          <w:szCs w:val="28"/>
        </w:rPr>
      </w:pPr>
    </w:p>
    <w:p w14:paraId="4F48EDA3">
      <w:pPr>
        <w:pBdr>
          <w:top w:val="single" w:color="auto" w:sz="4" w:space="1"/>
          <w:bottom w:val="single" w:color="auto" w:sz="4" w:space="1"/>
        </w:pBdr>
        <w:tabs>
          <w:tab w:val="left" w:pos="0"/>
          <w:tab w:val="left" w:pos="12584"/>
        </w:tabs>
        <w:snapToGrid w:val="0"/>
        <w:spacing w:line="560" w:lineRule="exact"/>
        <w:rPr>
          <w:rFonts w:ascii="方正仿宋_GBK"/>
          <w:snapToGrid w:val="0"/>
          <w:sz w:val="28"/>
          <w:szCs w:val="28"/>
        </w:rPr>
      </w:pPr>
      <w:r>
        <w:rPr>
          <w:rFonts w:hint="eastAsia" w:ascii="方正仿宋_GBK"/>
          <w:snapToGrid w:val="0"/>
          <w:sz w:val="28"/>
          <w:szCs w:val="28"/>
        </w:rPr>
        <w:t>　石柱土家族自治县人民政府办公室　　　　　</w:t>
      </w:r>
      <w:r>
        <w:rPr>
          <w:rFonts w:ascii="方正仿宋_GBK"/>
          <w:snapToGrid w:val="0"/>
          <w:sz w:val="28"/>
          <w:szCs w:val="28"/>
        </w:rPr>
        <w:t>2017</w:t>
      </w:r>
      <w:r>
        <w:rPr>
          <w:rFonts w:hint="eastAsia" w:ascii="方正仿宋_GBK"/>
          <w:snapToGrid w:val="0"/>
          <w:sz w:val="28"/>
          <w:szCs w:val="28"/>
        </w:rPr>
        <w:t>年</w:t>
      </w:r>
      <w:r>
        <w:rPr>
          <w:rFonts w:ascii="方正仿宋_GBK"/>
          <w:snapToGrid w:val="0"/>
          <w:sz w:val="28"/>
          <w:szCs w:val="28"/>
        </w:rPr>
        <w:t>8</w:t>
      </w:r>
      <w:r>
        <w:rPr>
          <w:rFonts w:hint="eastAsia" w:ascii="方正仿宋_GBK"/>
          <w:snapToGrid w:val="0"/>
          <w:sz w:val="28"/>
          <w:szCs w:val="28"/>
        </w:rPr>
        <w:t>月</w:t>
      </w:r>
      <w:r>
        <w:rPr>
          <w:rFonts w:ascii="方正仿宋_GBK"/>
          <w:snapToGrid w:val="0"/>
          <w:sz w:val="28"/>
          <w:szCs w:val="28"/>
        </w:rPr>
        <w:t>16</w:t>
      </w:r>
      <w:r>
        <w:rPr>
          <w:rFonts w:hint="eastAsia" w:ascii="方正仿宋_GBK"/>
          <w:snapToGrid w:val="0"/>
          <w:sz w:val="28"/>
          <w:szCs w:val="28"/>
        </w:rPr>
        <w:t>日印发　</w:t>
      </w:r>
    </w:p>
    <w:sectPr>
      <w:pgSz w:w="11906" w:h="16838"/>
      <w:pgMar w:top="2098" w:right="1531" w:bottom="1985" w:left="1531" w:header="851" w:footer="1474" w:gutter="0"/>
      <w:cols w:space="425"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魏碑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A50F">
    <w:pPr>
      <w:pStyle w:val="4"/>
      <w:wordWrap w:val="0"/>
      <w:jc w:val="right"/>
      <w:rPr>
        <w:rFonts w:ascii="方正仿宋_GBK"/>
      </w:rPr>
    </w:pPr>
    <w:r>
      <w:rPr>
        <w:rFonts w:ascii="方正仿宋_GBK"/>
        <w:sz w:val="28"/>
        <w:szCs w:val="28"/>
      </w:rPr>
      <w:tab/>
    </w: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 PAGE </w:instrText>
    </w:r>
    <w:r>
      <w:rPr>
        <w:rFonts w:hint="eastAsia" w:ascii="方正仿宋_GBK"/>
        <w:sz w:val="28"/>
        <w:szCs w:val="28"/>
      </w:rPr>
      <w:fldChar w:fldCharType="separate"/>
    </w:r>
    <w:r>
      <w:rPr>
        <w:rFonts w:ascii="方正仿宋_GBK"/>
        <w:sz w:val="28"/>
        <w:szCs w:val="28"/>
      </w:rPr>
      <w:t>9</w:t>
    </w:r>
    <w:r>
      <w:rPr>
        <w:rFonts w:hint="eastAsia" w:ascii="方正仿宋_GBK"/>
        <w:sz w:val="28"/>
        <w:szCs w:val="28"/>
      </w:rPr>
      <w:fldChar w:fldCharType="end"/>
    </w:r>
    <w:r>
      <w:rPr>
        <w:rFonts w:hint="eastAsia" w:ascii="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9129">
    <w:pPr>
      <w:pStyle w:val="4"/>
      <w:ind w:right="360" w:firstLine="360"/>
      <w:rPr>
        <w:rFonts w:ascii="方正仿宋_GBK"/>
      </w:rPr>
    </w:pP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 PAGE </w:instrText>
    </w:r>
    <w:r>
      <w:rPr>
        <w:rFonts w:hint="eastAsia" w:ascii="方正仿宋_GBK"/>
        <w:sz w:val="28"/>
        <w:szCs w:val="28"/>
      </w:rPr>
      <w:fldChar w:fldCharType="separate"/>
    </w:r>
    <w:r>
      <w:rPr>
        <w:rFonts w:ascii="方正仿宋_GBK"/>
        <w:sz w:val="28"/>
        <w:szCs w:val="28"/>
      </w:rPr>
      <w:t>10</w:t>
    </w:r>
    <w:r>
      <w:rPr>
        <w:rFonts w:hint="eastAsia" w:ascii="方正仿宋_GBK"/>
        <w:sz w:val="28"/>
        <w:szCs w:val="28"/>
      </w:rPr>
      <w:fldChar w:fldCharType="end"/>
    </w:r>
    <w:r>
      <w:rPr>
        <w:rFonts w:hint="eastAsia" w:ascii="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F0B8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5YTJlNDE0MWVjYTJmZmE2ZTY1M2M2MTVhNWM1YjIifQ=="/>
  </w:docVars>
  <w:rsids>
    <w:rsidRoot w:val="547905C7"/>
    <w:rsid w:val="000151AE"/>
    <w:rsid w:val="00017CE0"/>
    <w:rsid w:val="00023AD2"/>
    <w:rsid w:val="0003373C"/>
    <w:rsid w:val="00036663"/>
    <w:rsid w:val="00041C44"/>
    <w:rsid w:val="00044638"/>
    <w:rsid w:val="0006292F"/>
    <w:rsid w:val="00072D1E"/>
    <w:rsid w:val="00073CC3"/>
    <w:rsid w:val="00085408"/>
    <w:rsid w:val="0008611F"/>
    <w:rsid w:val="00094246"/>
    <w:rsid w:val="000F040C"/>
    <w:rsid w:val="000F0FA6"/>
    <w:rsid w:val="00110433"/>
    <w:rsid w:val="00127319"/>
    <w:rsid w:val="00131761"/>
    <w:rsid w:val="00146FAF"/>
    <w:rsid w:val="0015308F"/>
    <w:rsid w:val="001778E0"/>
    <w:rsid w:val="001849CD"/>
    <w:rsid w:val="001B3952"/>
    <w:rsid w:val="001C715C"/>
    <w:rsid w:val="001D2ED4"/>
    <w:rsid w:val="001E58E7"/>
    <w:rsid w:val="001F1798"/>
    <w:rsid w:val="002117DB"/>
    <w:rsid w:val="00214F0A"/>
    <w:rsid w:val="00243076"/>
    <w:rsid w:val="00261E58"/>
    <w:rsid w:val="00277B59"/>
    <w:rsid w:val="00293EFB"/>
    <w:rsid w:val="00295A4E"/>
    <w:rsid w:val="00296B95"/>
    <w:rsid w:val="002A0927"/>
    <w:rsid w:val="002C069B"/>
    <w:rsid w:val="002D68BD"/>
    <w:rsid w:val="002F178E"/>
    <w:rsid w:val="00313160"/>
    <w:rsid w:val="00331C4B"/>
    <w:rsid w:val="00335F64"/>
    <w:rsid w:val="003457C8"/>
    <w:rsid w:val="003532A2"/>
    <w:rsid w:val="003615D5"/>
    <w:rsid w:val="00376991"/>
    <w:rsid w:val="003A7F51"/>
    <w:rsid w:val="003D457D"/>
    <w:rsid w:val="003D7B93"/>
    <w:rsid w:val="003F234F"/>
    <w:rsid w:val="00400DEC"/>
    <w:rsid w:val="00413888"/>
    <w:rsid w:val="004314A8"/>
    <w:rsid w:val="004432E5"/>
    <w:rsid w:val="00453703"/>
    <w:rsid w:val="00455704"/>
    <w:rsid w:val="0046266F"/>
    <w:rsid w:val="004A3202"/>
    <w:rsid w:val="004B7197"/>
    <w:rsid w:val="004F0AD2"/>
    <w:rsid w:val="00507544"/>
    <w:rsid w:val="0051061D"/>
    <w:rsid w:val="005462DB"/>
    <w:rsid w:val="0055408A"/>
    <w:rsid w:val="005546EE"/>
    <w:rsid w:val="00557F08"/>
    <w:rsid w:val="00566391"/>
    <w:rsid w:val="005714C7"/>
    <w:rsid w:val="005B70B5"/>
    <w:rsid w:val="006016BF"/>
    <w:rsid w:val="00611174"/>
    <w:rsid w:val="0063241B"/>
    <w:rsid w:val="006414B0"/>
    <w:rsid w:val="006573B4"/>
    <w:rsid w:val="006A5870"/>
    <w:rsid w:val="006C42C3"/>
    <w:rsid w:val="006F0E1B"/>
    <w:rsid w:val="006F1385"/>
    <w:rsid w:val="00700032"/>
    <w:rsid w:val="00713194"/>
    <w:rsid w:val="00716C67"/>
    <w:rsid w:val="0072486E"/>
    <w:rsid w:val="0072638D"/>
    <w:rsid w:val="00733F6D"/>
    <w:rsid w:val="0075639C"/>
    <w:rsid w:val="00760FAC"/>
    <w:rsid w:val="00763442"/>
    <w:rsid w:val="00771543"/>
    <w:rsid w:val="007A342D"/>
    <w:rsid w:val="007B4F8E"/>
    <w:rsid w:val="007B646F"/>
    <w:rsid w:val="007B7EBE"/>
    <w:rsid w:val="007C6014"/>
    <w:rsid w:val="007E21AD"/>
    <w:rsid w:val="007E46FF"/>
    <w:rsid w:val="00804C93"/>
    <w:rsid w:val="00840C04"/>
    <w:rsid w:val="00842FDB"/>
    <w:rsid w:val="008567FE"/>
    <w:rsid w:val="00893A50"/>
    <w:rsid w:val="008A26FD"/>
    <w:rsid w:val="008A3550"/>
    <w:rsid w:val="008A3D84"/>
    <w:rsid w:val="008F26BB"/>
    <w:rsid w:val="008F45A5"/>
    <w:rsid w:val="0090488B"/>
    <w:rsid w:val="00911DA4"/>
    <w:rsid w:val="00913D85"/>
    <w:rsid w:val="00926299"/>
    <w:rsid w:val="009263EA"/>
    <w:rsid w:val="00934209"/>
    <w:rsid w:val="00934BF1"/>
    <w:rsid w:val="00944459"/>
    <w:rsid w:val="00983898"/>
    <w:rsid w:val="009D3F5E"/>
    <w:rsid w:val="009D59F9"/>
    <w:rsid w:val="009E58E0"/>
    <w:rsid w:val="009F0D83"/>
    <w:rsid w:val="009F5004"/>
    <w:rsid w:val="00A00913"/>
    <w:rsid w:val="00A009F9"/>
    <w:rsid w:val="00A07769"/>
    <w:rsid w:val="00A44704"/>
    <w:rsid w:val="00A52A65"/>
    <w:rsid w:val="00A541FF"/>
    <w:rsid w:val="00A65657"/>
    <w:rsid w:val="00A94BD6"/>
    <w:rsid w:val="00AA18A3"/>
    <w:rsid w:val="00AD6A1B"/>
    <w:rsid w:val="00AF7BA9"/>
    <w:rsid w:val="00B37461"/>
    <w:rsid w:val="00B45F29"/>
    <w:rsid w:val="00B54EE8"/>
    <w:rsid w:val="00B57A12"/>
    <w:rsid w:val="00B61250"/>
    <w:rsid w:val="00B65B34"/>
    <w:rsid w:val="00BB2796"/>
    <w:rsid w:val="00BB2BAC"/>
    <w:rsid w:val="00BD488D"/>
    <w:rsid w:val="00C113FA"/>
    <w:rsid w:val="00C264BE"/>
    <w:rsid w:val="00C32BE7"/>
    <w:rsid w:val="00C41420"/>
    <w:rsid w:val="00C47A6A"/>
    <w:rsid w:val="00C5195B"/>
    <w:rsid w:val="00C62506"/>
    <w:rsid w:val="00C836B2"/>
    <w:rsid w:val="00C85E4D"/>
    <w:rsid w:val="00C9184C"/>
    <w:rsid w:val="00C950D8"/>
    <w:rsid w:val="00CA1A78"/>
    <w:rsid w:val="00CA4DB7"/>
    <w:rsid w:val="00CB5568"/>
    <w:rsid w:val="00CC04B6"/>
    <w:rsid w:val="00CD1B76"/>
    <w:rsid w:val="00CE6FAC"/>
    <w:rsid w:val="00CF5395"/>
    <w:rsid w:val="00D02C01"/>
    <w:rsid w:val="00D14B5B"/>
    <w:rsid w:val="00D21662"/>
    <w:rsid w:val="00D216A0"/>
    <w:rsid w:val="00D36074"/>
    <w:rsid w:val="00D5390C"/>
    <w:rsid w:val="00D608EA"/>
    <w:rsid w:val="00D61014"/>
    <w:rsid w:val="00D62BBC"/>
    <w:rsid w:val="00D73DD0"/>
    <w:rsid w:val="00D8778F"/>
    <w:rsid w:val="00D97AC3"/>
    <w:rsid w:val="00DA7255"/>
    <w:rsid w:val="00DB03AF"/>
    <w:rsid w:val="00DC0101"/>
    <w:rsid w:val="00DE6058"/>
    <w:rsid w:val="00E06BE9"/>
    <w:rsid w:val="00E12461"/>
    <w:rsid w:val="00E26044"/>
    <w:rsid w:val="00E33460"/>
    <w:rsid w:val="00E3518A"/>
    <w:rsid w:val="00E42BB2"/>
    <w:rsid w:val="00E44DFC"/>
    <w:rsid w:val="00E76D01"/>
    <w:rsid w:val="00E8275D"/>
    <w:rsid w:val="00E85D80"/>
    <w:rsid w:val="00E94986"/>
    <w:rsid w:val="00EC1BA3"/>
    <w:rsid w:val="00F31514"/>
    <w:rsid w:val="00F5371A"/>
    <w:rsid w:val="00F56A5A"/>
    <w:rsid w:val="00F60837"/>
    <w:rsid w:val="00F6201B"/>
    <w:rsid w:val="00F632ED"/>
    <w:rsid w:val="00F77E73"/>
    <w:rsid w:val="00F87B86"/>
    <w:rsid w:val="00F92400"/>
    <w:rsid w:val="00FB331B"/>
    <w:rsid w:val="18382D6F"/>
    <w:rsid w:val="1E3C598A"/>
    <w:rsid w:val="224A2053"/>
    <w:rsid w:val="275462DA"/>
    <w:rsid w:val="2D5B3DE8"/>
    <w:rsid w:val="36450D2E"/>
    <w:rsid w:val="3A2037DC"/>
    <w:rsid w:val="3C2206E5"/>
    <w:rsid w:val="433537A1"/>
    <w:rsid w:val="43506E18"/>
    <w:rsid w:val="4B025818"/>
    <w:rsid w:val="4BCE7E18"/>
    <w:rsid w:val="4F1F088B"/>
    <w:rsid w:val="547905C7"/>
    <w:rsid w:val="60A92F31"/>
    <w:rsid w:val="655F0247"/>
    <w:rsid w:val="6BB134F2"/>
    <w:rsid w:val="6EF753B5"/>
    <w:rsid w:val="72165D5C"/>
    <w:rsid w:val="73B02D72"/>
    <w:rsid w:val="79FC4CD2"/>
    <w:rsid w:val="7A2121EF"/>
    <w:rsid w:val="7BA54B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uiPriority w:val="99"/>
    <w:pPr>
      <w:ind w:left="100" w:leftChars="2500"/>
    </w:pPr>
  </w:style>
  <w:style w:type="paragraph" w:styleId="3">
    <w:name w:val="Balloon Text"/>
    <w:basedOn w:val="1"/>
    <w:link w:val="10"/>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日期 字符"/>
    <w:basedOn w:val="7"/>
    <w:link w:val="2"/>
    <w:locked/>
    <w:uiPriority w:val="99"/>
    <w:rPr>
      <w:rFonts w:eastAsia="方正仿宋_GBK" w:cs="Times New Roman"/>
      <w:kern w:val="2"/>
      <w:sz w:val="22"/>
      <w:szCs w:val="22"/>
    </w:rPr>
  </w:style>
  <w:style w:type="character" w:customStyle="1" w:styleId="10">
    <w:name w:val="批注框文本 字符"/>
    <w:basedOn w:val="7"/>
    <w:link w:val="3"/>
    <w:semiHidden/>
    <w:qFormat/>
    <w:locked/>
    <w:uiPriority w:val="99"/>
    <w:rPr>
      <w:rFonts w:eastAsia="方正仿宋_GBK" w:cs="Times New Roman"/>
      <w:kern w:val="2"/>
      <w:sz w:val="18"/>
      <w:szCs w:val="18"/>
    </w:rPr>
  </w:style>
  <w:style w:type="character" w:customStyle="1" w:styleId="11">
    <w:name w:val="页脚 字符"/>
    <w:basedOn w:val="7"/>
    <w:link w:val="4"/>
    <w:qFormat/>
    <w:locked/>
    <w:uiPriority w:val="99"/>
    <w:rPr>
      <w:rFonts w:eastAsia="方正仿宋_GBK" w:cs="Times New Roman"/>
      <w:kern w:val="2"/>
      <w:sz w:val="18"/>
      <w:szCs w:val="18"/>
    </w:rPr>
  </w:style>
  <w:style w:type="character" w:customStyle="1" w:styleId="12">
    <w:name w:val="页眉 字符"/>
    <w:basedOn w:val="7"/>
    <w:link w:val="5"/>
    <w:qFormat/>
    <w:locked/>
    <w:uiPriority w:val="99"/>
    <w:rPr>
      <w:rFonts w:eastAsia="方正仿宋_GBK"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2"/>
    <customShpInfo spid="_x0000_s1053"/>
    <customShpInfo spid="_x0000_s1029"/>
    <customShpInfo spid="_x0000_s1030"/>
    <customShpInfo spid="_x0000_s1031"/>
    <customShpInfo spid="_x0000_s1032"/>
    <customShpInfo spid="_x0000_s1033"/>
    <customShpInfo spid="_x0000_s1034"/>
    <customShpInfo spid="_x0000_s1035"/>
    <customShpInfo spid="_x0000_s1036"/>
    <customShpInfo spid="_x0000_s1028"/>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27"/>
    <customShpInfo spid="_x0000_s1047"/>
    <customShpInfo spid="_x0000_s1048"/>
    <customShpInfo spid="_x0000_s1049"/>
    <customShpInfo spid="_x0000_s1050"/>
    <customShpInfo spid="_x0000_s104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8451</Words>
  <Characters>8605</Characters>
  <Lines>63</Lines>
  <Paragraphs>18</Paragraphs>
  <TotalTime>6</TotalTime>
  <ScaleCrop>false</ScaleCrop>
  <LinksUpToDate>false</LinksUpToDate>
  <CharactersWithSpaces>8788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2017-08-17T07:30:00Z</dcterms:created>
  <dc:creator>zcc</dc:creator>
  <cp:lastModifiedBy>梅</cp:lastModifiedBy>
  <cp:lastPrinted>2017-08-16T01:44:00Z</cp:lastPrinted>
  <dcterms:modified xsi:type="dcterms:W3CDTF">2025-01-20T01:59:52Z</dcterms:modified>
  <dc:title>石柱土家族自治县人民政府办公室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1D4D00A6CF3C441CB856DAAE288AEFFB</vt:lpwstr>
  </property>
  <property fmtid="{D5CDD505-2E9C-101B-9397-08002B2CF9AE}" pid="4" name="KSOTemplateDocerSaveRecord">
    <vt:lpwstr>eyJoZGlkIjoiM2VmN2NkNzlhZDllNTk4ZDQyYWY1YjAzNzZkNTk2YWEiLCJ1c2VySWQiOiI0NzA0NTc0NTYifQ==</vt:lpwstr>
  </property>
</Properties>
</file>