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before="0" w:beforeAutospacing="0" w:after="0" w:afterAutospacing="0" w:line="600" w:lineRule="exact"/>
        <w:jc w:val="center"/>
        <w:rPr>
          <w:rFonts w:ascii="Times New Roman" w:hAnsi="Times New Roman" w:eastAsia="方正小标宋_GBK" w:cs="Times New Roman"/>
          <w:sz w:val="44"/>
          <w:szCs w:val="44"/>
          <w:shd w:val="clear" w:color="auto" w:fill="FFFFFF"/>
        </w:rPr>
      </w:pPr>
    </w:p>
    <w:p>
      <w:pPr>
        <w:pStyle w:val="8"/>
        <w:widowControl w:val="0"/>
        <w:adjustRightInd w:val="0"/>
        <w:snapToGrid w:val="0"/>
        <w:spacing w:before="0" w:beforeAutospacing="0" w:after="0" w:afterAutospacing="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shd w:val="clear" w:color="auto" w:fill="FFFFFF"/>
        </w:rPr>
        <w:t>石柱土家族自治县市场监督管理局</w:t>
      </w:r>
    </w:p>
    <w:p>
      <w:pPr>
        <w:pStyle w:val="8"/>
        <w:widowControl w:val="0"/>
        <w:adjustRightInd w:val="0"/>
        <w:snapToGrid w:val="0"/>
        <w:spacing w:before="0" w:beforeAutospacing="0" w:after="0" w:afterAutospacing="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shd w:val="clear" w:color="auto" w:fill="FFFFFF"/>
        </w:rPr>
        <w:t>2021年度部门决算情况说明</w:t>
      </w:r>
    </w:p>
    <w:p>
      <w:pPr>
        <w:pStyle w:val="8"/>
        <w:widowControl w:val="0"/>
        <w:adjustRightInd w:val="0"/>
        <w:snapToGrid w:val="0"/>
        <w:spacing w:before="0" w:beforeAutospacing="0" w:after="0" w:afterAutospacing="0" w:line="600" w:lineRule="exact"/>
        <w:rPr>
          <w:rStyle w:val="9"/>
          <w:rFonts w:eastAsia="方正仿宋_GBK"/>
          <w:b w:val="0"/>
          <w:sz w:val="33"/>
          <w:szCs w:val="33"/>
          <w:shd w:val="clear" w:color="auto" w:fill="FFFFFF"/>
        </w:rPr>
      </w:pP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黑体_GBK" w:cs="Times New Roman"/>
          <w:sz w:val="32"/>
          <w:szCs w:val="32"/>
        </w:rPr>
      </w:pPr>
      <w:r>
        <w:rPr>
          <w:rStyle w:val="9"/>
          <w:rFonts w:eastAsia="方正黑体_GBK"/>
          <w:b w:val="0"/>
          <w:sz w:val="32"/>
          <w:szCs w:val="32"/>
          <w:shd w:val="clear" w:color="auto" w:fill="FFFFFF"/>
        </w:rPr>
        <w:t xml:space="preserve"> 一、部门基本情况</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楷体_GBK" w:cs="Times New Roman"/>
          <w:sz w:val="32"/>
          <w:szCs w:val="32"/>
        </w:rPr>
      </w:pPr>
      <w:r>
        <w:rPr>
          <w:rStyle w:val="9"/>
          <w:rFonts w:eastAsia="方正楷体_GBK"/>
          <w:b w:val="0"/>
          <w:sz w:val="32"/>
          <w:szCs w:val="32"/>
          <w:shd w:val="clear" w:color="auto" w:fill="FFFFFF"/>
        </w:rPr>
        <w:t>（一）职能职责。</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 负责市场综合监督管理。2.</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负责食品药品安全监督管理综合协调。3.</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负责食品安全监督管理。4.</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负责药品、医疗器械、化妆品安全监督管理。5.</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负责宏观质量管理。6.</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负责产品质量安全监督管理。7.</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负责特种设备安全监督管理。8.</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负责市场主体统一登记注册。9.</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负责推动市场主体信用体系建设。10.</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负责规范和监督管理市场秩序。11.</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负责消费者权益保护工作。12.</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负责统一管理计量工作。13.</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负责统一管理标准化工作。14.</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负责统一管理认证认可和检验检测工作。15.</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识产权强国、强市建设的相关政策。16.</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负责开展市场监管综合执法工作。17.</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协助指导小微企业、个体工商户、专业市场党建工作，负责机关、直属单位党建工作。18.</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完成县委、县政府交办的其他任务。</w:t>
      </w:r>
    </w:p>
    <w:p>
      <w:pPr>
        <w:pStyle w:val="8"/>
        <w:widowControl w:val="0"/>
        <w:adjustRightInd w:val="0"/>
        <w:snapToGrid w:val="0"/>
        <w:spacing w:before="0" w:beforeAutospacing="0" w:after="0" w:afterAutospacing="0" w:line="600" w:lineRule="exact"/>
        <w:ind w:firstLine="640" w:firstLineChars="200"/>
        <w:rPr>
          <w:rStyle w:val="9"/>
          <w:rFonts w:eastAsia="方正楷体_GBK"/>
        </w:rPr>
      </w:pPr>
      <w:r>
        <w:rPr>
          <w:rStyle w:val="9"/>
          <w:rFonts w:eastAsia="方正楷体_GBK"/>
          <w:b w:val="0"/>
          <w:sz w:val="32"/>
          <w:szCs w:val="32"/>
          <w:shd w:val="clear" w:color="auto" w:fill="FFFFFF"/>
        </w:rPr>
        <w:t>（二）机构设置。</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石柱土家族自治县市场监管局属行政单位，一级预算单位，资产管理和财务均独立核算。现有内设机构:办公室（党建办）、法制科、组织人事科、财务科、风险管理科（县食品药品安全委员会办公室秘书科）、食品生产安全监督管理科、食品经营安全监督管理科、餐饮服务监督管理科、药品监督管理科（不良反应监测科）、医疗器械监督管理科、产品质量监督管理和质量发展科、特种设备安全监察科、注册和许可科、价格监督检查和反不正当竞争科（规范直销与打击传销办公室、广告监督管理科）、网络交易监督管理科、计量和标准化管理科、信用监督管理科、知识产权管理科（认证认可监督管理科）。</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派出机构：设置南宾、万安、下路、西沱、黄水、悦崃、临溪、马武、沙子、三河等10个市场监督管理所，为县市场监督管理局派出机构，其中黄水市场监督管理所加挂县旅游市场监督管理所牌子。</w:t>
      </w:r>
    </w:p>
    <w:p>
      <w:pPr>
        <w:pStyle w:val="8"/>
        <w:widowControl w:val="0"/>
        <w:adjustRightInd w:val="0"/>
        <w:snapToGrid w:val="0"/>
        <w:spacing w:before="0" w:beforeAutospacing="0" w:after="0" w:afterAutospacing="0" w:line="600" w:lineRule="exact"/>
        <w:ind w:firstLine="640" w:firstLineChars="200"/>
        <w:rPr>
          <w:rStyle w:val="9"/>
          <w:rFonts w:eastAsia="方正楷体_GBK"/>
          <w:b w:val="0"/>
          <w:sz w:val="32"/>
          <w:szCs w:val="32"/>
          <w:shd w:val="clear" w:color="auto" w:fill="FFFFFF"/>
        </w:rPr>
      </w:pPr>
      <w:r>
        <w:rPr>
          <w:rStyle w:val="9"/>
          <w:rFonts w:eastAsia="方正楷体_GBK"/>
          <w:b w:val="0"/>
          <w:sz w:val="32"/>
          <w:szCs w:val="32"/>
          <w:shd w:val="clear" w:color="auto" w:fill="FFFFFF"/>
        </w:rPr>
        <w:t>（三）单位构成。</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从预算单位构成看，纳入本部门2021年度决算编制的二级预算单位主要包括石柱土家族自治县市场监督管理综合行政执法支队和石柱土家族自治县消费者权益保护委员会。</w:t>
      </w:r>
    </w:p>
    <w:p>
      <w:pPr>
        <w:pStyle w:val="8"/>
        <w:widowControl w:val="0"/>
        <w:adjustRightInd w:val="0"/>
        <w:snapToGrid w:val="0"/>
        <w:spacing w:before="0" w:beforeAutospacing="0" w:after="0" w:afterAutospacing="0" w:line="600" w:lineRule="exact"/>
        <w:ind w:firstLine="640" w:firstLineChars="200"/>
        <w:rPr>
          <w:rStyle w:val="9"/>
          <w:rFonts w:eastAsia="方正黑体_GBK"/>
          <w:shd w:val="clear" w:color="auto" w:fill="FFFFFF"/>
        </w:rPr>
      </w:pPr>
      <w:r>
        <w:rPr>
          <w:rStyle w:val="9"/>
          <w:rFonts w:eastAsia="方正黑体_GBK"/>
          <w:b w:val="0"/>
          <w:sz w:val="32"/>
          <w:szCs w:val="32"/>
          <w:shd w:val="clear" w:color="auto" w:fill="FFFFFF"/>
        </w:rPr>
        <w:t xml:space="preserve">  二、部门决算情况说明</w:t>
      </w:r>
    </w:p>
    <w:p>
      <w:pPr>
        <w:pStyle w:val="8"/>
        <w:widowControl w:val="0"/>
        <w:adjustRightInd w:val="0"/>
        <w:snapToGrid w:val="0"/>
        <w:spacing w:before="0" w:beforeAutospacing="0" w:after="0" w:afterAutospacing="0" w:line="600" w:lineRule="exact"/>
        <w:ind w:firstLine="640" w:firstLineChars="200"/>
        <w:rPr>
          <w:rStyle w:val="9"/>
          <w:rFonts w:eastAsia="方正楷体_GBK"/>
          <w:bCs w:val="0"/>
          <w:sz w:val="32"/>
          <w:szCs w:val="32"/>
        </w:rPr>
      </w:pPr>
      <w:r>
        <w:rPr>
          <w:rStyle w:val="9"/>
          <w:rFonts w:eastAsia="方正楷体_GBK"/>
          <w:b w:val="0"/>
          <w:sz w:val="32"/>
          <w:szCs w:val="32"/>
          <w:shd w:val="clear" w:color="auto" w:fill="FFFFFF"/>
        </w:rPr>
        <w:t>（一）收入支出决算总体情况说明。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黑体_GBK" w:cs="Times New Roman"/>
          <w:b/>
          <w:bCs/>
          <w:shd w:val="clear" w:color="auto" w:fill="FFFFFF"/>
        </w:rPr>
      </w:pPr>
      <w:r>
        <w:rPr>
          <w:rStyle w:val="9"/>
          <w:rFonts w:eastAsia="方正仿宋_GBK"/>
          <w:b w:val="0"/>
          <w:sz w:val="32"/>
          <w:szCs w:val="32"/>
          <w:shd w:val="clear" w:color="auto" w:fill="FFFFFF"/>
        </w:rPr>
        <w:t xml:space="preserve"> 1. 总体情况。</w:t>
      </w:r>
      <w:r>
        <w:rPr>
          <w:rFonts w:ascii="Times New Roman" w:hAnsi="Times New Roman" w:eastAsia="方正仿宋_GBK" w:cs="Times New Roman"/>
          <w:sz w:val="32"/>
          <w:szCs w:val="32"/>
          <w:shd w:val="clear" w:color="auto" w:fill="FFFFFF"/>
        </w:rPr>
        <w:t>2021年度收入总计2,934.71万元，支出总计2,934.71万元。收支较上年决算数增加104.65万元、增长3.7%，主要原因是在职公用经费定额增加240.30万元，项目资金减少140.2万元。</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Style w:val="9"/>
          <w:rFonts w:eastAsia="方正仿宋_GBK"/>
          <w:b w:val="0"/>
          <w:sz w:val="32"/>
          <w:szCs w:val="32"/>
          <w:shd w:val="clear" w:color="auto" w:fill="FFFFFF"/>
        </w:rPr>
        <w:t xml:space="preserve"> 2. 收入情况。</w:t>
      </w:r>
      <w:r>
        <w:rPr>
          <w:rFonts w:ascii="Times New Roman" w:hAnsi="Times New Roman" w:eastAsia="方正仿宋_GBK" w:cs="Times New Roman"/>
          <w:sz w:val="32"/>
          <w:szCs w:val="32"/>
          <w:shd w:val="clear" w:color="auto" w:fill="FFFFFF"/>
        </w:rPr>
        <w:t>2021年度收入合计2,907.43万元，较上年决算数增加152.16万元，增长5.5%，主要原因是需补缴全局干部2014年-2017年职业年金103.34万元，财政拨款增加。其中：财政拨款收入2,907.43万元，占100%；年初结转和结余27.28万元。</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Style w:val="9"/>
          <w:rFonts w:eastAsia="方正仿宋_GBK"/>
          <w:b w:val="0"/>
          <w:sz w:val="32"/>
          <w:szCs w:val="32"/>
          <w:shd w:val="clear" w:color="auto" w:fill="FFFFFF"/>
        </w:rPr>
        <w:t>3. 支出情况。</w:t>
      </w:r>
      <w:r>
        <w:rPr>
          <w:rFonts w:ascii="Times New Roman" w:hAnsi="Times New Roman" w:eastAsia="方正仿宋_GBK" w:cs="Times New Roman"/>
          <w:sz w:val="32"/>
          <w:szCs w:val="32"/>
          <w:shd w:val="clear" w:color="auto" w:fill="FFFFFF"/>
        </w:rPr>
        <w:t>2021年度支出合计2,934.71万元，较上年决算数增加131.93万元，增长4.7%，主要原因是补缴全局干部2014年-2017年职业年金103.34万元。其中：基本支出2,726.13万元，占92.9%；项目支出208.58万元，占7.1%。</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bCs/>
          <w:sz w:val="32"/>
          <w:szCs w:val="32"/>
          <w:shd w:val="clear" w:color="auto" w:fill="FFFFFF"/>
        </w:rPr>
      </w:pPr>
      <w:r>
        <w:rPr>
          <w:rStyle w:val="9"/>
          <w:rFonts w:eastAsia="方正仿宋_GBK"/>
          <w:b w:val="0"/>
          <w:sz w:val="32"/>
          <w:szCs w:val="32"/>
          <w:shd w:val="clear" w:color="auto" w:fill="FFFFFF"/>
        </w:rPr>
        <w:t>4. 结转结余情况。</w:t>
      </w:r>
      <w:r>
        <w:rPr>
          <w:rFonts w:ascii="Times New Roman" w:hAnsi="Times New Roman" w:eastAsia="方正仿宋_GBK" w:cs="Times New Roman"/>
          <w:sz w:val="32"/>
          <w:szCs w:val="32"/>
          <w:shd w:val="clear" w:color="auto" w:fill="FFFFFF"/>
        </w:rPr>
        <w:t>2021年度年末结转和结余0.00万元，较上年决算数减少27.28万元，下降100%，主要原因是该结余为明厨亮灶中央经费，已于2021年使用完毕。</w:t>
      </w:r>
    </w:p>
    <w:p>
      <w:pPr>
        <w:pStyle w:val="8"/>
        <w:widowControl w:val="0"/>
        <w:adjustRightInd w:val="0"/>
        <w:snapToGrid w:val="0"/>
        <w:spacing w:before="0" w:beforeAutospacing="0" w:after="0" w:afterAutospacing="0" w:line="600" w:lineRule="exact"/>
        <w:ind w:firstLine="640" w:firstLineChars="200"/>
        <w:rPr>
          <w:rStyle w:val="9"/>
          <w:rFonts w:eastAsia="方正楷体_GBK"/>
          <w:shd w:val="clear" w:color="auto" w:fill="FFFFFF"/>
        </w:rPr>
      </w:pPr>
      <w:r>
        <w:rPr>
          <w:rStyle w:val="9"/>
          <w:rFonts w:eastAsia="方正楷体_GBK"/>
          <w:b w:val="0"/>
          <w:sz w:val="32"/>
          <w:szCs w:val="32"/>
          <w:shd w:val="clear" w:color="auto" w:fill="FFFFFF"/>
        </w:rPr>
        <w:t>（二）财政拨款收入支出决算总体情况说明。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2021年度财政拨款收、支总计2,934.71万元。与2020年相比，财政拨款收、支总计各增加104.65万元，增长3.7%。主要原因是公用经费增加240.30万元，项目资金减少140.2万元。补缴全局干部2014年-2017年职业年金103.34万元。</w:t>
      </w:r>
    </w:p>
    <w:p>
      <w:pPr>
        <w:pStyle w:val="8"/>
        <w:widowControl w:val="0"/>
        <w:adjustRightInd w:val="0"/>
        <w:snapToGrid w:val="0"/>
        <w:spacing w:before="0" w:beforeAutospacing="0" w:after="0" w:afterAutospacing="0" w:line="600" w:lineRule="exact"/>
        <w:ind w:firstLine="640" w:firstLineChars="200"/>
        <w:rPr>
          <w:rStyle w:val="9"/>
          <w:rFonts w:eastAsia="方正楷体_GBK"/>
          <w:b w:val="0"/>
          <w:sz w:val="32"/>
          <w:szCs w:val="32"/>
          <w:shd w:val="clear" w:color="auto" w:fill="FFFFFF"/>
        </w:rPr>
      </w:pPr>
      <w:r>
        <w:rPr>
          <w:rStyle w:val="9"/>
          <w:rFonts w:eastAsia="方正楷体_GBK"/>
          <w:b w:val="0"/>
          <w:sz w:val="32"/>
          <w:szCs w:val="32"/>
          <w:shd w:val="clear" w:color="auto" w:fill="FFFFFF"/>
        </w:rPr>
        <w:t>（三）一般公共预算财政拨款收入支出决算情况说明。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Style w:val="9"/>
          <w:rFonts w:eastAsia="方正仿宋_GBK"/>
          <w:b w:val="0"/>
          <w:sz w:val="32"/>
          <w:szCs w:val="32"/>
          <w:shd w:val="clear" w:color="auto" w:fill="FFFFFF"/>
        </w:rPr>
        <w:t>1. 收入情况。</w:t>
      </w:r>
      <w:r>
        <w:rPr>
          <w:rFonts w:ascii="Times New Roman" w:hAnsi="Times New Roman" w:eastAsia="方正仿宋_GBK" w:cs="Times New Roman"/>
          <w:sz w:val="32"/>
          <w:szCs w:val="32"/>
          <w:shd w:val="clear" w:color="auto" w:fill="FFFFFF"/>
        </w:rPr>
        <w:t>2021年度一般公共预算财政拨款收入2,907.43万元，较上年决算数增加152.16万元，增长5.5%。主要原因是需补缴全局干部2014年-2017年职业年金103.34万元，财政拨款增加。较年初预算数减少106.80万元，下降3.5%。主要原因是全县预算调剂。此外，年初财政拨款结转和结余27.28万元。</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Style w:val="9"/>
          <w:rFonts w:eastAsia="方正仿宋_GBK"/>
          <w:b w:val="0"/>
          <w:sz w:val="32"/>
          <w:szCs w:val="32"/>
          <w:shd w:val="clear" w:color="auto" w:fill="FFFFFF"/>
        </w:rPr>
        <w:t>2. 支出情况。</w:t>
      </w:r>
      <w:r>
        <w:rPr>
          <w:rFonts w:ascii="Times New Roman" w:hAnsi="Times New Roman" w:eastAsia="方正仿宋_GBK" w:cs="Times New Roman"/>
          <w:sz w:val="32"/>
          <w:szCs w:val="32"/>
          <w:shd w:val="clear" w:color="auto" w:fill="FFFFFF"/>
        </w:rPr>
        <w:t>2021年度一般公共预算财政拨款支出2,934.71万元，较上年决算数增加131.93万元，增长4.7%。主要原因是补缴全局干部2014年-2017年职业年金103.34万元。较年初预算数减少79.52万元，下降2.6%。主要原因是全县预算调剂。</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Style w:val="9"/>
          <w:rFonts w:eastAsia="方正仿宋_GBK"/>
          <w:b w:val="0"/>
          <w:sz w:val="32"/>
          <w:szCs w:val="32"/>
          <w:shd w:val="clear" w:color="auto" w:fill="FFFFFF"/>
        </w:rPr>
        <w:t>3. 结转结余情况。</w:t>
      </w:r>
      <w:r>
        <w:rPr>
          <w:rFonts w:ascii="Times New Roman" w:hAnsi="Times New Roman" w:eastAsia="方正仿宋_GBK" w:cs="Times New Roman"/>
          <w:sz w:val="32"/>
          <w:szCs w:val="32"/>
          <w:shd w:val="clear" w:color="auto" w:fill="FFFFFF"/>
        </w:rPr>
        <w:t>2021年度年末一般公共预算财政拨款结转和结余0.00万元，较上年决算数减少27.28万元，下降100%，主要原因是该结余为明厨亮灶中央经费，已于2021年使用完毕。</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仿宋_GBK"/>
          <w:b w:val="0"/>
          <w:sz w:val="32"/>
          <w:szCs w:val="32"/>
          <w:shd w:val="clear" w:color="auto" w:fill="FFFFFF"/>
        </w:rPr>
        <w:t>4. 比较情况。</w:t>
      </w:r>
      <w:r>
        <w:rPr>
          <w:rFonts w:ascii="Times New Roman" w:hAnsi="Times New Roman" w:eastAsia="方正仿宋_GBK" w:cs="Times New Roman"/>
          <w:sz w:val="32"/>
          <w:szCs w:val="32"/>
          <w:shd w:val="clear" w:color="auto" w:fill="FFFFFF"/>
        </w:rPr>
        <w:t>本部门2021年度一般公共预算财政拨款支出主要用于以下几个方面</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（1）一般公共服务支出2,275.93万元，占77.6%，较年初预算数减少109.16万元，下降4.6%，主要原因是全县预算调剂</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（2）社会保障与就业支出357.98万元，占12.2%，较年初预算数减少32.75万元，下降8.4%，主要原因是清算汇缴了职工职业年金。</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（3）卫生健康支出132.13万元，占4.5%，较年初预算数增加5.09万元，增长4%，主要原因是有干部入职，系正常费用增长。</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（4）住房保障支出152.87万元，占5.2%，较年初预算数增加41.50万元，增长37.3%，主要原因是有干部入职，系正常费用增长。</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（5）其他支出15.80万元，占0.5%，较年初预算数增加15.80万元，增长%，主要原因是新办企业免费印章项目上年代管资金。</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仿宋_GBK"/>
          <w:b w:val="0"/>
          <w:sz w:val="32"/>
          <w:szCs w:val="32"/>
          <w:shd w:val="clear" w:color="auto" w:fill="FFFFFF"/>
        </w:rPr>
        <w:t>（四）一般公共预算财政拨款基本支出决算情况说明。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一般公共财政拨款基本支出2,726.13万元。其中：人员经费2,423.30万元，较上年决算数增加548.08万元，增长29.2%，主要原因一是调入与新进干部15人，二是清算汇缴了职工2014年—2017年职业年金。人员经费用途主要包括基本工资、津贴补贴、奖金、伙食补助费、绩效工资、机关事业单位基本养老保险缴费、职业年金缴费、住房公积金、公务员医疗补助费、其他社会保障缴费、医疗费、其他工资福利支出、抚恤金、生活补助、其他对个人和家庭的补助等。公用经费302.83万元，较上年决算数增加166.09万元，增长121.5%，主要原因是公用人均定额较上年增长。公用经费用途主要包括办公费、印刷费、水电费、邮电费、物业管理费、差旅费、维修（护）费、租赁费、会议费、培训费、公务接待费、专用材料费、劳务费、委托业务费、工会经费、公务用车运行维护费、其他交通费用、其他商品和服务支出等。</w:t>
      </w:r>
    </w:p>
    <w:p>
      <w:pPr>
        <w:pStyle w:val="8"/>
        <w:widowControl w:val="0"/>
        <w:adjustRightInd w:val="0"/>
        <w:snapToGrid w:val="0"/>
        <w:spacing w:before="0" w:beforeAutospacing="0" w:after="0" w:afterAutospacing="0" w:line="600" w:lineRule="exact"/>
        <w:ind w:firstLine="640" w:firstLineChars="200"/>
        <w:rPr>
          <w:rStyle w:val="9"/>
          <w:rFonts w:eastAsia="方正楷体_GBK"/>
          <w:shd w:val="clear" w:color="auto" w:fill="FFFFFF"/>
        </w:rPr>
      </w:pPr>
      <w:r>
        <w:rPr>
          <w:rStyle w:val="9"/>
          <w:rFonts w:eastAsia="方正楷体_GBK"/>
          <w:b w:val="0"/>
          <w:sz w:val="32"/>
          <w:szCs w:val="32"/>
          <w:shd w:val="clear" w:color="auto" w:fill="FFFFFF"/>
        </w:rPr>
        <w:t>（五）政府性基金预算收支决算情况说明。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本部门2021年度无政府性基金预算财政拨款收支。</w:t>
      </w:r>
    </w:p>
    <w:p>
      <w:pPr>
        <w:pStyle w:val="8"/>
        <w:widowControl w:val="0"/>
        <w:adjustRightInd w:val="0"/>
        <w:snapToGrid w:val="0"/>
        <w:spacing w:before="0" w:beforeAutospacing="0" w:after="0" w:afterAutospacing="0" w:line="600" w:lineRule="exact"/>
        <w:ind w:firstLine="640" w:firstLineChars="200"/>
        <w:rPr>
          <w:rStyle w:val="9"/>
          <w:rFonts w:eastAsia="方正楷体_GBK"/>
        </w:rPr>
      </w:pPr>
      <w:r>
        <w:rPr>
          <w:rStyle w:val="9"/>
          <w:rFonts w:eastAsia="方正楷体_GBK"/>
          <w:b w:val="0"/>
          <w:sz w:val="32"/>
          <w:szCs w:val="32"/>
          <w:shd w:val="clear" w:color="auto" w:fill="FFFFFF"/>
        </w:rPr>
        <w:t>（六）国有资本经营预算财政拨款支出决算情况说明。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本部门2021年度无国有资本经营预算财政拨款支出。</w:t>
      </w:r>
    </w:p>
    <w:p>
      <w:pPr>
        <w:pStyle w:val="8"/>
        <w:widowControl w:val="0"/>
        <w:adjustRightInd w:val="0"/>
        <w:snapToGrid w:val="0"/>
        <w:spacing w:before="0" w:beforeAutospacing="0" w:after="0" w:afterAutospacing="0" w:line="600" w:lineRule="exact"/>
        <w:ind w:firstLine="640" w:firstLineChars="200"/>
        <w:rPr>
          <w:rStyle w:val="9"/>
          <w:rFonts w:eastAsia="方正仿宋_GBK"/>
          <w:b w:val="0"/>
          <w:bCs w:val="0"/>
          <w:sz w:val="32"/>
          <w:szCs w:val="32"/>
          <w:shd w:val="clear" w:color="auto" w:fill="FFFFFF"/>
        </w:rPr>
      </w:pPr>
      <w:r>
        <w:rPr>
          <w:rStyle w:val="9"/>
          <w:rFonts w:eastAsia="方正黑体_GBK"/>
          <w:b w:val="0"/>
          <w:sz w:val="32"/>
          <w:szCs w:val="32"/>
          <w:shd w:val="clear" w:color="auto" w:fill="FFFFFF"/>
        </w:rPr>
        <w:t xml:space="preserve"> 三、“三公”经费情况说明</w:t>
      </w:r>
    </w:p>
    <w:p>
      <w:pPr>
        <w:pStyle w:val="8"/>
        <w:widowControl w:val="0"/>
        <w:adjustRightInd w:val="0"/>
        <w:snapToGrid w:val="0"/>
        <w:spacing w:before="0" w:beforeAutospacing="0" w:after="0" w:afterAutospacing="0" w:line="600" w:lineRule="exact"/>
        <w:ind w:firstLine="640" w:firstLineChars="200"/>
        <w:rPr>
          <w:rStyle w:val="9"/>
          <w:rFonts w:eastAsia="方正楷体_GBK"/>
          <w:bCs w:val="0"/>
          <w:sz w:val="32"/>
          <w:szCs w:val="32"/>
        </w:rPr>
      </w:pPr>
      <w:r>
        <w:rPr>
          <w:rStyle w:val="9"/>
          <w:rFonts w:eastAsia="方正楷体_GBK"/>
          <w:b w:val="0"/>
          <w:sz w:val="32"/>
          <w:szCs w:val="32"/>
          <w:shd w:val="clear" w:color="auto" w:fill="FFFFFF"/>
        </w:rPr>
        <w:t>（一）“三公”经费支出总体情况说明。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  2021年度“三公”经费支出共计14.08万元，较年初预算数减少38.42万元，下降73.2%，主要原因是受疫情影响，单位各科室因公出行次数大幅减少，公车运行维护费相应减少。较上年支出数减少23.29万元，下降62.3%，主要原因是公车加油卡内有上年结余经费，故加油费减少。</w:t>
      </w:r>
    </w:p>
    <w:p>
      <w:pPr>
        <w:pStyle w:val="8"/>
        <w:widowControl w:val="0"/>
        <w:adjustRightInd w:val="0"/>
        <w:snapToGrid w:val="0"/>
        <w:spacing w:before="0" w:beforeAutospacing="0" w:after="0" w:afterAutospacing="0" w:line="600" w:lineRule="exact"/>
        <w:ind w:firstLine="640" w:firstLineChars="200"/>
        <w:rPr>
          <w:rStyle w:val="9"/>
          <w:rFonts w:eastAsia="方正楷体_GBK"/>
        </w:rPr>
      </w:pPr>
      <w:r>
        <w:rPr>
          <w:rStyle w:val="9"/>
          <w:rFonts w:eastAsia="方正楷体_GBK"/>
          <w:b w:val="0"/>
          <w:sz w:val="32"/>
          <w:szCs w:val="32"/>
          <w:shd w:val="clear" w:color="auto" w:fill="FFFFFF"/>
        </w:rPr>
        <w:t>（二）“三公”经费分项支出情况。</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本单位2021年度未发生因公出国（境）费支出。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本单位2021年度未发生公务车购置费支出。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公务车运行维护费13.32万元，主要用于市内因公出行、市场监管执法执勤、食品药品抽检工作等所需车辆的燃料费、维修费、过路过桥费、保险费等。费用支出较年初预算数减少36.08万元，下降73%，主要原因是受疫情影响，单位各科室因公出行次数大幅减少，公车运行维护费相应减少。较上年支出数减少23.17万元，下降63.5%，主要原因是公车加油卡内有上年结余经费，故加油费减少。</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sz w:val="32"/>
          <w:szCs w:val="32"/>
          <w:shd w:val="clear" w:color="auto" w:fill="FFFFFF"/>
        </w:rPr>
        <w:t>公务接待费0.76万元，主要用于接待市局各处室到我单位指导学习，其他地区市场监管部门到我单位交流学习，接受相关部门检查指导工作发生的接待费。费用支出较年初预算数减少2.34万元，下降75.5%，主要原因是厉行节约，将接待安排在单位食堂，降低接待成本。较上年支出数减少0.12万元，下降13.6%，主要原因是厉行节约，将接待安排在单位食堂，降低接待成本。</w:t>
      </w:r>
      <w:r>
        <w:rPr>
          <w:rStyle w:val="9"/>
          <w:rFonts w:eastAsia="方正仿宋_GBK"/>
          <w:b w:val="0"/>
          <w:sz w:val="32"/>
          <w:szCs w:val="32"/>
          <w:shd w:val="clear" w:color="auto" w:fill="FFFFFF"/>
        </w:rPr>
        <w:t xml:space="preserve"> </w:t>
      </w:r>
    </w:p>
    <w:p>
      <w:pPr>
        <w:pStyle w:val="8"/>
        <w:widowControl w:val="0"/>
        <w:adjustRightInd w:val="0"/>
        <w:snapToGrid w:val="0"/>
        <w:spacing w:before="0" w:beforeAutospacing="0" w:after="0" w:afterAutospacing="0" w:line="600" w:lineRule="exact"/>
        <w:ind w:firstLine="640" w:firstLineChars="200"/>
        <w:rPr>
          <w:rStyle w:val="9"/>
          <w:rFonts w:eastAsia="方正楷体_GBK"/>
          <w:bCs w:val="0"/>
        </w:rPr>
      </w:pPr>
      <w:r>
        <w:rPr>
          <w:rStyle w:val="9"/>
          <w:rFonts w:eastAsia="方正楷体_GBK"/>
          <w:b w:val="0"/>
          <w:sz w:val="32"/>
          <w:szCs w:val="32"/>
          <w:shd w:val="clear" w:color="auto" w:fill="FFFFFF"/>
        </w:rPr>
        <w:t>（三）“三公”经费实物量情况。</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本部门因公出国（境）共计0个团组，0人；公务用车购置0辆，公务车保有量为18辆；国内公务接待18批次90人，其中：国内外事接待0批次，0人；国（境）外公务接待0批次，0人。2021年本部门人均接待费84.34元，车均购置费0.00万元，车均维护费0.74万元。</w:t>
      </w:r>
    </w:p>
    <w:p>
      <w:pPr>
        <w:pStyle w:val="8"/>
        <w:widowControl w:val="0"/>
        <w:adjustRightInd w:val="0"/>
        <w:snapToGrid w:val="0"/>
        <w:spacing w:before="0" w:beforeAutospacing="0" w:after="0" w:afterAutospacing="0" w:line="600" w:lineRule="exact"/>
        <w:ind w:firstLine="640" w:firstLineChars="200"/>
        <w:rPr>
          <w:rStyle w:val="9"/>
          <w:rFonts w:eastAsia="方正黑体_GBK"/>
          <w:shd w:val="clear" w:color="auto" w:fill="FFFFFF"/>
        </w:rPr>
      </w:pPr>
      <w:r>
        <w:rPr>
          <w:rStyle w:val="9"/>
          <w:rFonts w:eastAsia="方正黑体_GBK"/>
          <w:b w:val="0"/>
          <w:sz w:val="32"/>
          <w:szCs w:val="32"/>
          <w:shd w:val="clear" w:color="auto" w:fill="FFFFFF"/>
        </w:rPr>
        <w:t xml:space="preserve">  四、其他需要说明的事项</w:t>
      </w:r>
    </w:p>
    <w:p>
      <w:pPr>
        <w:pStyle w:val="8"/>
        <w:widowControl w:val="0"/>
        <w:adjustRightInd w:val="0"/>
        <w:snapToGrid w:val="0"/>
        <w:spacing w:before="0" w:beforeAutospacing="0" w:after="0" w:afterAutospacing="0" w:line="600" w:lineRule="exact"/>
        <w:ind w:firstLine="640" w:firstLineChars="200"/>
        <w:rPr>
          <w:rStyle w:val="9"/>
          <w:rFonts w:eastAsia="方正楷体_GBK"/>
          <w:bCs w:val="0"/>
          <w:sz w:val="32"/>
          <w:szCs w:val="32"/>
        </w:rPr>
      </w:pPr>
      <w:r>
        <w:rPr>
          <w:rStyle w:val="9"/>
          <w:rFonts w:eastAsia="方正楷体_GBK"/>
          <w:b w:val="0"/>
          <w:sz w:val="32"/>
          <w:szCs w:val="32"/>
          <w:shd w:val="clear" w:color="auto" w:fill="FFFFFF"/>
        </w:rPr>
        <w:t>（一）一般公共预算财政拨款会议费和培训费情况说明。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本年度会议费支出0.22万元，较上年决算数减少1.04万元，下降82.5%，主要原因是受疫情影响部分会议采取网络会议形式召开，故会议费降低。本年度培训费支出4.08万元，较上年决算数减少17.68万元，下降81.3%，主要原因是受疫情影响部分培训采取网络培训形式召开，故培训费降低。</w:t>
      </w:r>
    </w:p>
    <w:p>
      <w:pPr>
        <w:pStyle w:val="8"/>
        <w:widowControl w:val="0"/>
        <w:adjustRightInd w:val="0"/>
        <w:snapToGrid w:val="0"/>
        <w:spacing w:before="0" w:beforeAutospacing="0" w:after="0" w:afterAutospacing="0" w:line="600" w:lineRule="exact"/>
        <w:ind w:firstLine="640" w:firstLineChars="200"/>
        <w:rPr>
          <w:rStyle w:val="9"/>
          <w:rFonts w:eastAsia="方正楷体_GBK"/>
          <w:shd w:val="clear" w:color="auto" w:fill="FFFFFF"/>
        </w:rPr>
      </w:pPr>
      <w:r>
        <w:rPr>
          <w:rStyle w:val="9"/>
          <w:rFonts w:eastAsia="方正楷体_GBK"/>
          <w:b w:val="0"/>
          <w:sz w:val="32"/>
          <w:szCs w:val="32"/>
          <w:shd w:val="clear" w:color="auto" w:fill="FFFFFF"/>
        </w:rPr>
        <w:t>（二）机关运行经费情况说明。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本部门机关运行经费支出302.83万元，机关运行经费主要用于开支办公费、印刷费、水电费、邮电费、物业管理费、差旅费、维修（护）费、租赁费、会议费、培训费、公务接待费、专用材料费、劳务费、委托业务费、工会经费、公务用车运行维护费、其他交通费用、其他商品和服务支出等。机关运行经费较上年决算数增加166.09万元，增长121.5%，主要原因是公用人均定额较上年增长。</w:t>
      </w:r>
    </w:p>
    <w:p>
      <w:pPr>
        <w:pStyle w:val="8"/>
        <w:widowControl w:val="0"/>
        <w:adjustRightInd w:val="0"/>
        <w:snapToGrid w:val="0"/>
        <w:spacing w:before="0" w:beforeAutospacing="0" w:after="0" w:afterAutospacing="0" w:line="600" w:lineRule="exact"/>
        <w:ind w:firstLine="640" w:firstLineChars="200"/>
        <w:rPr>
          <w:rStyle w:val="9"/>
          <w:rFonts w:eastAsia="方正楷体_GBK"/>
          <w:shd w:val="clear" w:color="auto" w:fill="FFFFFF"/>
        </w:rPr>
      </w:pPr>
      <w:r>
        <w:rPr>
          <w:rStyle w:val="9"/>
          <w:rFonts w:eastAsia="方正楷体_GBK"/>
          <w:b w:val="0"/>
          <w:sz w:val="32"/>
          <w:szCs w:val="32"/>
          <w:shd w:val="clear" w:color="auto" w:fill="FFFFFF"/>
        </w:rPr>
        <w:t>（三）国有资产占用情况说明。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截至2021年12月31日，本部门共有车辆18辆，其中，副部（省）级及以上领导用车0辆、主要领导干部用车0辆、机要通信用车3辆、应急保障用车15辆、执法执勤用车0辆，特种专业技术用车0辆，离退休干部用车0辆，其他用车0辆。单价50万元（含）以上通用设备0台（套），单价100万元（含）以上专用设备0台（套）。</w:t>
      </w:r>
    </w:p>
    <w:p>
      <w:pPr>
        <w:pStyle w:val="8"/>
        <w:widowControl w:val="0"/>
        <w:adjustRightInd w:val="0"/>
        <w:snapToGrid w:val="0"/>
        <w:spacing w:before="0" w:beforeAutospacing="0" w:after="0" w:afterAutospacing="0" w:line="600" w:lineRule="exact"/>
        <w:ind w:firstLine="640" w:firstLineChars="200"/>
        <w:rPr>
          <w:rStyle w:val="9"/>
          <w:rFonts w:eastAsia="方正楷体_GBK"/>
          <w:shd w:val="clear" w:color="auto" w:fill="FFFFFF"/>
        </w:rPr>
      </w:pPr>
      <w:r>
        <w:rPr>
          <w:rStyle w:val="9"/>
          <w:rFonts w:eastAsia="方正楷体_GBK"/>
          <w:b w:val="0"/>
          <w:sz w:val="32"/>
          <w:szCs w:val="32"/>
          <w:shd w:val="clear" w:color="auto" w:fill="FFFFFF"/>
        </w:rPr>
        <w:t>（四）政府采购支出情况说明。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2021年度本部门政府采购支出总额3.58万元，其中：政府采购货物支出3.58万元、政府采购工程支出0.00万元、政府采购服务支出0.00万元。授予中小企业合同金额3.58万元，占政府采购支出总额的100%，其中：授予小微企业合同金额3.58万元，占政府采购支出总额的100%。主要用于采购电脑8台。</w:t>
      </w:r>
    </w:p>
    <w:p>
      <w:pPr>
        <w:pStyle w:val="8"/>
        <w:widowControl w:val="0"/>
        <w:adjustRightInd w:val="0"/>
        <w:snapToGrid w:val="0"/>
        <w:spacing w:before="0" w:beforeAutospacing="0" w:after="0" w:afterAutospacing="0" w:line="600" w:lineRule="exact"/>
        <w:ind w:firstLine="640" w:firstLineChars="200"/>
        <w:rPr>
          <w:rStyle w:val="9"/>
          <w:rFonts w:eastAsia="方正黑体_GBK"/>
          <w:shd w:val="clear" w:color="auto" w:fill="FFFFFF"/>
        </w:rPr>
      </w:pPr>
      <w:r>
        <w:rPr>
          <w:rStyle w:val="9"/>
          <w:rFonts w:eastAsia="方正黑体_GBK"/>
          <w:b w:val="0"/>
          <w:sz w:val="32"/>
          <w:szCs w:val="32"/>
          <w:shd w:val="clear" w:color="auto" w:fill="FFFFFF"/>
        </w:rPr>
        <w:t xml:space="preserve">  五、预算绩效管理情况说明</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黑体_GBK" w:cs="Times New Roman"/>
          <w:b/>
          <w:bCs/>
          <w:shd w:val="clear" w:color="auto" w:fill="FFFFFF"/>
        </w:rPr>
      </w:pPr>
      <w:r>
        <w:rPr>
          <w:rStyle w:val="9"/>
          <w:rFonts w:eastAsia="方正楷体_GBK"/>
          <w:b w:val="0"/>
          <w:sz w:val="32"/>
          <w:szCs w:val="32"/>
          <w:shd w:val="clear" w:color="auto" w:fill="FFFFFF"/>
        </w:rPr>
        <w:t>（一）预算绩效管理工作开展情况。</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根据预算绩效管理要求，我局对部门整体和个项目开展了绩效自评，其中，以填报自评表形式开展自评8项，涉及资金172万元。从评价情况来看，</w:t>
      </w:r>
      <w:r>
        <w:rPr>
          <w:rFonts w:hint="eastAsia" w:ascii="Times New Roman" w:hAnsi="Times New Roman" w:eastAsia="方正仿宋_GBK" w:cs="Times New Roman"/>
          <w:sz w:val="32"/>
          <w:szCs w:val="32"/>
          <w:shd w:val="clear" w:color="auto" w:fill="FFFFFF"/>
          <w:lang w:eastAsia="zh-CN"/>
        </w:rPr>
        <w:t>均</w:t>
      </w:r>
      <w:r>
        <w:rPr>
          <w:rFonts w:ascii="Times New Roman" w:hAnsi="Times New Roman" w:eastAsia="方正仿宋_GBK" w:cs="Times New Roman"/>
          <w:sz w:val="32"/>
          <w:szCs w:val="32"/>
          <w:shd w:val="clear" w:color="auto" w:fill="FFFFFF"/>
        </w:rPr>
        <w:t>完成年初绩效目标。</w:t>
      </w:r>
    </w:p>
    <w:p>
      <w:pPr>
        <w:pStyle w:val="8"/>
        <w:widowControl w:val="0"/>
        <w:adjustRightInd w:val="0"/>
        <w:snapToGrid w:val="0"/>
        <w:spacing w:before="0" w:beforeAutospacing="0" w:after="0" w:afterAutospacing="0" w:line="600" w:lineRule="exact"/>
        <w:ind w:firstLine="640" w:firstLineChars="200"/>
        <w:rPr>
          <w:rStyle w:val="9"/>
          <w:rFonts w:eastAsia="方正楷体_GBK"/>
        </w:rPr>
      </w:pPr>
      <w:r>
        <w:rPr>
          <w:rStyle w:val="9"/>
          <w:rFonts w:eastAsia="方正楷体_GBK"/>
          <w:b w:val="0"/>
          <w:sz w:val="32"/>
          <w:szCs w:val="32"/>
          <w:shd w:val="clear" w:color="auto" w:fill="FFFFFF"/>
        </w:rPr>
        <w:t>（二）绩效自评结果。</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bCs/>
          <w:sz w:val="32"/>
          <w:szCs w:val="32"/>
          <w:shd w:val="clear" w:color="auto" w:fill="FFFFFF"/>
        </w:rPr>
      </w:pPr>
      <w:r>
        <w:rPr>
          <w:rStyle w:val="9"/>
          <w:rFonts w:eastAsia="方正仿宋_GBK"/>
          <w:b w:val="0"/>
          <w:sz w:val="32"/>
          <w:szCs w:val="32"/>
          <w:shd w:val="clear" w:color="auto" w:fill="FFFFFF"/>
        </w:rPr>
        <w:t xml:space="preserve">  1. 绩效目标自评表。</w:t>
      </w:r>
    </w:p>
    <w:tbl>
      <w:tblPr>
        <w:tblStyle w:val="4"/>
        <w:tblW w:w="8145" w:type="dxa"/>
        <w:jc w:val="center"/>
        <w:tblLayout w:type="autofit"/>
        <w:tblCellMar>
          <w:top w:w="0" w:type="dxa"/>
          <w:left w:w="0" w:type="dxa"/>
          <w:bottom w:w="0" w:type="dxa"/>
          <w:right w:w="0" w:type="dxa"/>
        </w:tblCellMar>
      </w:tblPr>
      <w:tblGrid>
        <w:gridCol w:w="760"/>
        <w:gridCol w:w="1419"/>
        <w:gridCol w:w="921"/>
        <w:gridCol w:w="1166"/>
        <w:gridCol w:w="644"/>
        <w:gridCol w:w="642"/>
        <w:gridCol w:w="642"/>
        <w:gridCol w:w="667"/>
        <w:gridCol w:w="642"/>
        <w:gridCol w:w="642"/>
      </w:tblGrid>
      <w:tr>
        <w:tblPrEx>
          <w:tblCellMar>
            <w:top w:w="0" w:type="dxa"/>
            <w:left w:w="0" w:type="dxa"/>
            <w:bottom w:w="0" w:type="dxa"/>
            <w:right w:w="0" w:type="dxa"/>
          </w:tblCellMar>
        </w:tblPrEx>
        <w:trPr>
          <w:trHeight w:val="43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单位</w:t>
            </w:r>
          </w:p>
        </w:tc>
        <w:tc>
          <w:tcPr>
            <w:tcW w:w="142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部门当年整体绩效目标</w:t>
            </w:r>
          </w:p>
        </w:tc>
        <w:tc>
          <w:tcPr>
            <w:tcW w:w="91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部门支出预算总量</w:t>
            </w:r>
            <w:r>
              <w:rPr>
                <w:rFonts w:ascii="Times New Roman" w:hAnsi="Times New Roman" w:eastAsia="方正黑体_GBK" w:cs="Times New Roman"/>
                <w:bCs/>
                <w:color w:val="000000"/>
                <w:sz w:val="22"/>
                <w:szCs w:val="22"/>
              </w:rPr>
              <w:br w:type="textWrapping"/>
            </w:r>
            <w:r>
              <w:rPr>
                <w:rFonts w:ascii="Times New Roman" w:hAnsi="Times New Roman" w:eastAsia="方正黑体_GBK" w:cs="Times New Roman"/>
                <w:bCs/>
                <w:color w:val="000000"/>
                <w:sz w:val="22"/>
                <w:szCs w:val="22"/>
              </w:rPr>
              <w:t>（万元）</w:t>
            </w:r>
          </w:p>
        </w:tc>
        <w:tc>
          <w:tcPr>
            <w:tcW w:w="5040" w:type="dxa"/>
            <w:gridSpan w:val="7"/>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绩效指标</w:t>
            </w:r>
          </w:p>
        </w:tc>
      </w:tr>
      <w:tr>
        <w:tblPrEx>
          <w:tblCellMar>
            <w:top w:w="0" w:type="dxa"/>
            <w:left w:w="0" w:type="dxa"/>
            <w:bottom w:w="0" w:type="dxa"/>
            <w:right w:w="0" w:type="dxa"/>
          </w:tblCellMar>
        </w:tblPrEx>
        <w:trPr>
          <w:trHeight w:val="10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20" w:lineRule="exact"/>
              <w:jc w:val="center"/>
              <w:rPr>
                <w:rFonts w:ascii="Times New Roman" w:hAnsi="Times New Roman" w:eastAsia="方正黑体_GBK" w:cs="Times New Roman"/>
                <w:bCs/>
                <w:color w:val="000000"/>
                <w:sz w:val="22"/>
                <w:szCs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line="320" w:lineRule="exact"/>
              <w:jc w:val="center"/>
              <w:rPr>
                <w:rFonts w:ascii="Times New Roman" w:hAnsi="Times New Roman" w:eastAsia="方正黑体_GBK" w:cs="Times New Roman"/>
                <w:bCs/>
                <w:color w:val="000000"/>
                <w:sz w:val="22"/>
                <w:szCs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line="320" w:lineRule="exact"/>
              <w:jc w:val="center"/>
              <w:rPr>
                <w:rFonts w:ascii="Times New Roman" w:hAnsi="Times New Roman" w:eastAsia="方正黑体_GBK" w:cs="Times New Roman"/>
                <w:bCs/>
                <w:color w:val="000000"/>
                <w:sz w:val="22"/>
                <w:szCs w:val="22"/>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绩效指标</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指标权重</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计量单位</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指标性质</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指标值</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是否核心指标</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黑体_GBK" w:cs="Times New Roman"/>
                <w:bCs/>
                <w:color w:val="000000"/>
                <w:sz w:val="22"/>
                <w:szCs w:val="22"/>
              </w:rPr>
            </w:pPr>
            <w:r>
              <w:rPr>
                <w:rFonts w:ascii="Times New Roman" w:hAnsi="Times New Roman" w:eastAsia="方正黑体_GBK" w:cs="Times New Roman"/>
                <w:bCs/>
                <w:color w:val="000000"/>
                <w:sz w:val="22"/>
                <w:szCs w:val="22"/>
              </w:rPr>
              <w:t>指标类别</w:t>
            </w:r>
          </w:p>
        </w:tc>
      </w:tr>
      <w:tr>
        <w:tblPrEx>
          <w:tblCellMar>
            <w:top w:w="0" w:type="dxa"/>
            <w:left w:w="0" w:type="dxa"/>
            <w:bottom w:w="0" w:type="dxa"/>
            <w:right w:w="0" w:type="dxa"/>
          </w:tblCellMar>
        </w:tblPrEx>
        <w:trPr>
          <w:trHeight w:val="1000" w:hRule="atLeast"/>
          <w:jc w:val="center"/>
        </w:trPr>
        <w:tc>
          <w:tcPr>
            <w:tcW w:w="76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石柱土家族自治县市场监督管理局</w:t>
            </w:r>
          </w:p>
        </w:tc>
        <w:tc>
          <w:tcPr>
            <w:tcW w:w="142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2021年我县食品安全监督抽检计划任务1040批次；食品安全快速抽检800批次，化妆品监督抽检20批次，药品监督抽检50批次，医疗器械监督抽检22批次，配合市上产品质量监督抽查计划批次129批次；特种设备万台事故死亡率0人次；12315咨询投诉举报数量275件；实现全县市场监管领域联合“双随机、一公开”监管常态化，跨部门联合抽查任务完成率达到100%；全县内资企业9697家，外资企业14家，企业信用信息公示数量达10000条。</w:t>
            </w:r>
          </w:p>
        </w:tc>
        <w:tc>
          <w:tcPr>
            <w:tcW w:w="91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3,014.23</w:t>
            </w: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食品安全监督抽检计划批次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15%</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1040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食品安全快速抽检计划批次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800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化妆品监督抽检计划批次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20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药品监督抽检计划批次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50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医疗器械监督抽检计划批次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22</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产品质量监督抽查计划批次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批次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129</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特种设备万台事故死亡率</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5%</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人</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12315咨询投诉举报数量</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15%</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件</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275</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“双随机、一公开”抽查覆盖率</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百分比</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r>
        <w:tblPrEx>
          <w:tblCellMar>
            <w:top w:w="0" w:type="dxa"/>
            <w:left w:w="0" w:type="dxa"/>
            <w:bottom w:w="0" w:type="dxa"/>
            <w:right w:w="0" w:type="dxa"/>
          </w:tblCellMar>
        </w:tblPrEx>
        <w:trPr>
          <w:trHeight w:val="10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0" w:type="auto"/>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jc w:val="both"/>
              <w:rPr>
                <w:rFonts w:ascii="Times New Roman" w:hAnsi="Times New Roman" w:eastAsia="方正仿宋_GBK" w:cs="Times New Roman"/>
                <w:color w:val="000000"/>
                <w:sz w:val="20"/>
                <w:szCs w:val="13"/>
              </w:rPr>
            </w:pPr>
          </w:p>
        </w:tc>
        <w:tc>
          <w:tcPr>
            <w:tcW w:w="117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企业信用信息公示数量</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5%</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条</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10000</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是</w:t>
            </w:r>
          </w:p>
        </w:tc>
        <w:tc>
          <w:tcPr>
            <w:tcW w:w="64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both"/>
              <w:textAlignment w:val="top"/>
              <w:rPr>
                <w:rFonts w:ascii="Times New Roman" w:hAnsi="Times New Roman" w:eastAsia="方正仿宋_GBK" w:cs="Times New Roman"/>
                <w:color w:val="000000"/>
                <w:sz w:val="20"/>
                <w:szCs w:val="13"/>
              </w:rPr>
            </w:pPr>
            <w:r>
              <w:rPr>
                <w:rFonts w:ascii="Times New Roman" w:hAnsi="Times New Roman" w:eastAsia="方正仿宋_GBK" w:cs="Times New Roman"/>
                <w:color w:val="000000"/>
                <w:sz w:val="20"/>
                <w:szCs w:val="13"/>
              </w:rPr>
              <w:t>履职</w:t>
            </w:r>
            <w:r>
              <w:rPr>
                <w:rFonts w:ascii="Times New Roman" w:hAnsi="Times New Roman" w:eastAsia="方正仿宋_GBK" w:cs="Times New Roman"/>
                <w:color w:val="000000"/>
                <w:sz w:val="20"/>
                <w:szCs w:val="13"/>
              </w:rPr>
              <w:br w:type="textWrapping"/>
            </w:r>
            <w:r>
              <w:rPr>
                <w:rFonts w:ascii="Times New Roman" w:hAnsi="Times New Roman" w:eastAsia="方正仿宋_GBK" w:cs="Times New Roman"/>
                <w:color w:val="000000"/>
                <w:sz w:val="20"/>
                <w:szCs w:val="13"/>
              </w:rPr>
              <w:t>效能</w:t>
            </w:r>
          </w:p>
        </w:tc>
      </w:tr>
    </w:tbl>
    <w:p>
      <w:pPr>
        <w:pStyle w:val="8"/>
        <w:widowControl w:val="0"/>
        <w:adjustRightInd w:val="0"/>
        <w:snapToGrid w:val="0"/>
        <w:spacing w:before="0" w:beforeAutospacing="0" w:after="0" w:afterAutospacing="0" w:line="600" w:lineRule="exact"/>
        <w:rPr>
          <w:rFonts w:ascii="Times New Roman" w:hAnsi="Times New Roman" w:eastAsia="方正仿宋_GBK" w:cs="Times New Roman"/>
          <w:sz w:val="27"/>
          <w:szCs w:val="27"/>
          <w:shd w:val="clear" w:color="auto" w:fill="FFFFFF"/>
        </w:rPr>
      </w:pPr>
      <w:r>
        <w:rPr>
          <w:rFonts w:ascii="Times New Roman" w:hAnsi="Times New Roman" w:eastAsia="方正仿宋_GBK" w:cs="Times New Roman"/>
          <w:sz w:val="27"/>
          <w:szCs w:val="27"/>
          <w:shd w:val="clear" w:color="auto" w:fill="FFFFFF"/>
        </w:rPr>
        <w:t xml:space="preserve"> </w:t>
      </w:r>
      <w:r>
        <w:rPr>
          <w:rFonts w:hint="eastAsia" w:ascii="Times New Roman" w:hAnsi="Times New Roman" w:eastAsia="方正仿宋_GBK" w:cs="Times New Roman"/>
          <w:sz w:val="27"/>
          <w:szCs w:val="27"/>
          <w:shd w:val="clear" w:color="auto" w:fill="FFFFFF"/>
          <w:lang w:val="en-US" w:eastAsia="zh-CN"/>
        </w:rPr>
        <w:t xml:space="preserve">   </w:t>
      </w:r>
      <w:bookmarkStart w:id="0" w:name="_GoBack"/>
      <w:bookmarkEnd w:id="0"/>
      <w:r>
        <w:rPr>
          <w:rFonts w:ascii="Times New Roman" w:hAnsi="Times New Roman" w:eastAsia="方正仿宋_GBK" w:cs="Times New Roman"/>
          <w:sz w:val="27"/>
          <w:szCs w:val="27"/>
          <w:shd w:val="clear" w:color="auto" w:fill="FFFFFF"/>
        </w:rPr>
        <w:t>项目一：</w:t>
      </w:r>
    </w:p>
    <w:tbl>
      <w:tblPr>
        <w:tblStyle w:val="4"/>
        <w:tblW w:w="8034" w:type="dxa"/>
        <w:jc w:val="center"/>
        <w:tblLayout w:type="fixed"/>
        <w:tblCellMar>
          <w:top w:w="0" w:type="dxa"/>
          <w:left w:w="0" w:type="dxa"/>
          <w:bottom w:w="0" w:type="dxa"/>
          <w:right w:w="0" w:type="dxa"/>
        </w:tblCellMar>
      </w:tblPr>
      <w:tblGrid>
        <w:gridCol w:w="810"/>
        <w:gridCol w:w="737"/>
        <w:gridCol w:w="1438"/>
        <w:gridCol w:w="1100"/>
        <w:gridCol w:w="1037"/>
        <w:gridCol w:w="1075"/>
        <w:gridCol w:w="905"/>
        <w:gridCol w:w="932"/>
      </w:tblGrid>
      <w:tr>
        <w:tblPrEx>
          <w:tblCellMar>
            <w:top w:w="0" w:type="dxa"/>
            <w:left w:w="0" w:type="dxa"/>
            <w:bottom w:w="0" w:type="dxa"/>
            <w:right w:w="0" w:type="dxa"/>
          </w:tblCellMar>
        </w:tblPrEx>
        <w:trPr>
          <w:trHeight w:val="300"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项目资金</w:t>
            </w:r>
          </w:p>
        </w:tc>
        <w:tc>
          <w:tcPr>
            <w:tcW w:w="3575" w:type="dxa"/>
            <w:gridSpan w:val="3"/>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抽检经费</w:t>
            </w:r>
          </w:p>
        </w:tc>
        <w:tc>
          <w:tcPr>
            <w:tcW w:w="1980" w:type="dxa"/>
            <w:gridSpan w:val="2"/>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项目实施年度(时期)</w:t>
            </w:r>
          </w:p>
        </w:tc>
        <w:tc>
          <w:tcPr>
            <w:tcW w:w="932"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2021年度</w:t>
            </w:r>
          </w:p>
        </w:tc>
      </w:tr>
      <w:tr>
        <w:tblPrEx>
          <w:tblCellMar>
            <w:top w:w="0" w:type="dxa"/>
            <w:left w:w="0" w:type="dxa"/>
            <w:bottom w:w="0" w:type="dxa"/>
            <w:right w:w="0" w:type="dxa"/>
          </w:tblCellMar>
        </w:tblPrEx>
        <w:trPr>
          <w:trHeight w:val="300"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名称</w:t>
            </w:r>
          </w:p>
        </w:tc>
        <w:tc>
          <w:tcPr>
            <w:tcW w:w="7692" w:type="dxa"/>
            <w:gridSpan w:val="3"/>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line="400" w:lineRule="exact"/>
              <w:rPr>
                <w:rFonts w:ascii="Times New Roman" w:hAnsi="Times New Roman" w:eastAsia="方正仿宋_GBK" w:cs="Times New Roman"/>
                <w:color w:val="000000"/>
                <w:sz w:val="20"/>
                <w:szCs w:val="20"/>
              </w:rPr>
            </w:pPr>
          </w:p>
        </w:tc>
        <w:tc>
          <w:tcPr>
            <w:tcW w:w="2885" w:type="dxa"/>
            <w:gridSpan w:val="2"/>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line="400" w:lineRule="exact"/>
              <w:rPr>
                <w:rFonts w:ascii="Times New Roman" w:hAnsi="Times New Roman" w:eastAsia="方正仿宋_GBK" w:cs="Times New Roman"/>
                <w:color w:val="000000"/>
                <w:sz w:val="20"/>
                <w:szCs w:val="20"/>
              </w:rPr>
            </w:pPr>
          </w:p>
        </w:tc>
        <w:tc>
          <w:tcPr>
            <w:tcW w:w="932"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line="400" w:lineRule="exact"/>
              <w:rPr>
                <w:rFonts w:ascii="Times New Roman" w:hAnsi="Times New Roman" w:eastAsia="方正仿宋_GBK" w:cs="Times New Roman"/>
                <w:color w:val="000000"/>
                <w:sz w:val="20"/>
                <w:szCs w:val="20"/>
              </w:rPr>
            </w:pPr>
          </w:p>
        </w:tc>
      </w:tr>
      <w:tr>
        <w:tblPrEx>
          <w:tblCellMar>
            <w:top w:w="0" w:type="dxa"/>
            <w:left w:w="0" w:type="dxa"/>
            <w:bottom w:w="0" w:type="dxa"/>
            <w:right w:w="0" w:type="dxa"/>
          </w:tblCellMar>
        </w:tblPrEx>
        <w:trPr>
          <w:trHeight w:val="495"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主管部门</w:t>
            </w:r>
          </w:p>
        </w:tc>
        <w:tc>
          <w:tcPr>
            <w:tcW w:w="357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石柱土家族自治县财政局</w:t>
            </w:r>
          </w:p>
        </w:tc>
        <w:tc>
          <w:tcPr>
            <w:tcW w:w="19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实施单位</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石柱土家族自治县市场监督管理局</w:t>
            </w:r>
          </w:p>
        </w:tc>
      </w:tr>
      <w:tr>
        <w:tblPrEx>
          <w:tblCellMar>
            <w:top w:w="0" w:type="dxa"/>
            <w:left w:w="0" w:type="dxa"/>
            <w:bottom w:w="0" w:type="dxa"/>
            <w:right w:w="0" w:type="dxa"/>
          </w:tblCellMar>
        </w:tblPrEx>
        <w:trPr>
          <w:trHeight w:val="510" w:hRule="atLeast"/>
          <w:jc w:val="center"/>
        </w:trPr>
        <w:tc>
          <w:tcPr>
            <w:tcW w:w="1547"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项目资金（万元）</w:t>
            </w:r>
          </w:p>
        </w:tc>
        <w:tc>
          <w:tcPr>
            <w:tcW w:w="253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全年预算数(A)</w:t>
            </w:r>
          </w:p>
        </w:tc>
        <w:tc>
          <w:tcPr>
            <w:tcW w:w="3017"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全年执行数（B）</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执行率（B/A,%)</w:t>
            </w:r>
          </w:p>
        </w:tc>
      </w:tr>
      <w:tr>
        <w:tblPrEx>
          <w:tblCellMar>
            <w:top w:w="0" w:type="dxa"/>
            <w:left w:w="0" w:type="dxa"/>
            <w:bottom w:w="0" w:type="dxa"/>
            <w:right w:w="0" w:type="dxa"/>
          </w:tblCellMar>
        </w:tblPrEx>
        <w:trPr>
          <w:trHeight w:val="501" w:hRule="atLeast"/>
          <w:jc w:val="center"/>
        </w:trPr>
        <w:tc>
          <w:tcPr>
            <w:tcW w:w="4822" w:type="dxa"/>
            <w:gridSpan w:val="2"/>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40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总量</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20</w:t>
            </w:r>
          </w:p>
        </w:tc>
        <w:tc>
          <w:tcPr>
            <w:tcW w:w="21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总量</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r>
      <w:tr>
        <w:tblPrEx>
          <w:tblCellMar>
            <w:top w:w="0" w:type="dxa"/>
            <w:left w:w="0" w:type="dxa"/>
            <w:bottom w:w="0" w:type="dxa"/>
            <w:right w:w="0" w:type="dxa"/>
          </w:tblCellMar>
        </w:tblPrEx>
        <w:trPr>
          <w:trHeight w:val="480" w:hRule="atLeast"/>
          <w:jc w:val="center"/>
        </w:trPr>
        <w:tc>
          <w:tcPr>
            <w:tcW w:w="4822" w:type="dxa"/>
            <w:gridSpan w:val="2"/>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40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其中：财政资金</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20</w:t>
            </w:r>
          </w:p>
        </w:tc>
        <w:tc>
          <w:tcPr>
            <w:tcW w:w="21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其中：财政资金</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40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r>
      <w:tr>
        <w:tblPrEx>
          <w:tblCellMar>
            <w:top w:w="0" w:type="dxa"/>
            <w:left w:w="0" w:type="dxa"/>
            <w:bottom w:w="0" w:type="dxa"/>
            <w:right w:w="0" w:type="dxa"/>
          </w:tblCellMar>
        </w:tblPrEx>
        <w:trPr>
          <w:trHeight w:val="510" w:hRule="atLeast"/>
          <w:jc w:val="center"/>
        </w:trPr>
        <w:tc>
          <w:tcPr>
            <w:tcW w:w="81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年度总体目标</w:t>
            </w:r>
          </w:p>
        </w:tc>
        <w:tc>
          <w:tcPr>
            <w:tcW w:w="327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年初设定目标</w:t>
            </w:r>
          </w:p>
        </w:tc>
        <w:tc>
          <w:tcPr>
            <w:tcW w:w="3017"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全年目标实际完成情况</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自评等级(优良中差)</w:t>
            </w:r>
          </w:p>
        </w:tc>
      </w:tr>
      <w:tr>
        <w:tblPrEx>
          <w:tblCellMar>
            <w:top w:w="0" w:type="dxa"/>
            <w:left w:w="0" w:type="dxa"/>
            <w:bottom w:w="0" w:type="dxa"/>
            <w:right w:w="0" w:type="dxa"/>
          </w:tblCellMar>
        </w:tblPrEx>
        <w:trPr>
          <w:trHeight w:val="168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完成食品抽检1000批次、食品快检批次400批次、化妆品抽检10批次、药品抽检50批次、医疗器械抽检10批次，抽检不合格处置率100%，被抽检者对抽检满意度85%。</w:t>
            </w:r>
          </w:p>
        </w:tc>
        <w:tc>
          <w:tcPr>
            <w:tcW w:w="3017"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完成食品抽检1091批次、食品快检批次479批次、化妆品抽检23批次、药品抽检50批次、医疗器械抽检25批次，抽检不合格处置率100%，群众对抽检满意度87%。</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优</w:t>
            </w:r>
          </w:p>
        </w:tc>
      </w:tr>
      <w:tr>
        <w:tblPrEx>
          <w:tblCellMar>
            <w:top w:w="0" w:type="dxa"/>
            <w:left w:w="0" w:type="dxa"/>
            <w:bottom w:w="0" w:type="dxa"/>
            <w:right w:w="0" w:type="dxa"/>
          </w:tblCellMar>
        </w:tblPrEx>
        <w:trPr>
          <w:trHeight w:val="440" w:hRule="atLeast"/>
          <w:jc w:val="center"/>
        </w:trPr>
        <w:tc>
          <w:tcPr>
            <w:tcW w:w="81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绩效指标</w:t>
            </w:r>
          </w:p>
        </w:tc>
        <w:tc>
          <w:tcPr>
            <w:tcW w:w="737"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一级</w:t>
            </w:r>
          </w:p>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指标</w:t>
            </w:r>
          </w:p>
        </w:tc>
        <w:tc>
          <w:tcPr>
            <w:tcW w:w="1438"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二级指标</w:t>
            </w:r>
          </w:p>
        </w:tc>
        <w:tc>
          <w:tcPr>
            <w:tcW w:w="110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三级指标</w:t>
            </w:r>
          </w:p>
        </w:tc>
        <w:tc>
          <w:tcPr>
            <w:tcW w:w="103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年度指标值</w:t>
            </w:r>
          </w:p>
        </w:tc>
        <w:tc>
          <w:tcPr>
            <w:tcW w:w="107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实际完成值</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设计</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评价</w:t>
            </w:r>
          </w:p>
        </w:tc>
      </w:tr>
      <w:tr>
        <w:tblPrEx>
          <w:tblCellMar>
            <w:top w:w="0" w:type="dxa"/>
            <w:left w:w="0" w:type="dxa"/>
            <w:bottom w:w="0" w:type="dxa"/>
            <w:right w:w="0" w:type="dxa"/>
          </w:tblCellMar>
        </w:tblPrEx>
        <w:trPr>
          <w:trHeight w:val="44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5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100"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017"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980"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分值</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得分</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737"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产出</w:t>
            </w:r>
          </w:p>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指标</w:t>
            </w: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数量指标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食品监督抽查批次</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≥752批次</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=1091批次</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抽取药品、医疗器械样品数量</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≥90批次</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=106批次</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抽检培训批次</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≥1批次</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=1批次</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食品快速检测抽检批次</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≥400批次</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=479批次</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质量指标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抽检不合格后处置率</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时效指标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食品抽检完成时限</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≤1年</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≤1年</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样品送检时效性</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 每月1次</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=每月2次</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成本指标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食品抽验成本</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≤1000元/批次</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=433元/批次</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r>
        <w:tblPrEx>
          <w:tblCellMar>
            <w:top w:w="0" w:type="dxa"/>
            <w:left w:w="0" w:type="dxa"/>
            <w:bottom w:w="0" w:type="dxa"/>
            <w:right w:w="0" w:type="dxa"/>
          </w:tblCellMar>
        </w:tblPrEx>
        <w:trPr>
          <w:trHeight w:val="12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737"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效果</w:t>
            </w:r>
          </w:p>
          <w:p>
            <w:pPr>
              <w:widowControl w:val="0"/>
              <w:adjustRightInd w:val="0"/>
              <w:snapToGrid w:val="0"/>
              <w:spacing w:line="320" w:lineRule="exact"/>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指标</w:t>
            </w: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社会效益指标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生产环节食品抽检法定检验项目覆盖率</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可持续影响指标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食品安全监管水平</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不断提高</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有所提高</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737"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管理</w:t>
            </w:r>
          </w:p>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指标</w:t>
            </w: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业务管理指标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食品风险监测水平</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有效提高</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有效提高</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财务管理指标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项目资金使用合规率</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=100%</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737"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满意度指标</w:t>
            </w: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社会公众或服务对象满意度指标</w:t>
            </w: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群众对抽检公示结果满意度</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≥90%</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≥92%</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r>
        <w:tblPrEx>
          <w:tblCellMar>
            <w:top w:w="0" w:type="dxa"/>
            <w:left w:w="0" w:type="dxa"/>
            <w:bottom w:w="0" w:type="dxa"/>
            <w:right w:w="0" w:type="dxa"/>
          </w:tblCellMar>
        </w:tblPrEx>
        <w:trPr>
          <w:trHeight w:val="800" w:hRule="atLeast"/>
          <w:jc w:val="center"/>
        </w:trPr>
        <w:tc>
          <w:tcPr>
            <w:tcW w:w="1547" w:type="dxa"/>
            <w:vMerge w:val="continue"/>
            <w:tcBorders>
              <w:top w:val="nil"/>
              <w:left w:val="single" w:color="000000" w:sz="4" w:space="0"/>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3275" w:type="dxa"/>
            <w:vMerge w:val="continue"/>
            <w:tcBorders>
              <w:top w:val="nil"/>
              <w:left w:val="nil"/>
              <w:bottom w:val="single" w:color="000000" w:sz="4" w:space="0"/>
              <w:right w:val="single" w:color="000000" w:sz="4" w:space="0"/>
            </w:tcBorders>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4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rPr>
                <w:rFonts w:ascii="Times New Roman" w:hAnsi="Times New Roman" w:eastAsia="方正仿宋_GBK" w:cs="Times New Roman"/>
                <w:color w:val="000000"/>
                <w:sz w:val="20"/>
                <w:szCs w:val="20"/>
              </w:rPr>
            </w:pPr>
          </w:p>
        </w:tc>
        <w:tc>
          <w:tcPr>
            <w:tcW w:w="11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被抽检对象满意度</w:t>
            </w:r>
          </w:p>
        </w:tc>
        <w:tc>
          <w:tcPr>
            <w:tcW w:w="10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≥85%</w:t>
            </w:r>
          </w:p>
        </w:tc>
        <w:tc>
          <w:tcPr>
            <w:tcW w:w="10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≥87%</w:t>
            </w:r>
          </w:p>
        </w:tc>
        <w:tc>
          <w:tcPr>
            <w:tcW w:w="9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val="0"/>
              <w:adjustRightInd w:val="0"/>
              <w:snapToGrid w:val="0"/>
              <w:spacing w:line="320" w:lineRule="exact"/>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r>
    </w:tbl>
    <w:p>
      <w:pPr>
        <w:pStyle w:val="8"/>
        <w:widowControl w:val="0"/>
        <w:adjustRightInd w:val="0"/>
        <w:snapToGrid w:val="0"/>
        <w:spacing w:before="0" w:beforeAutospacing="0" w:after="0" w:afterAutospacing="0" w:line="600" w:lineRule="exact"/>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sz w:val="27"/>
          <w:szCs w:val="27"/>
          <w:shd w:val="clear" w:color="auto" w:fill="FFFFFF"/>
        </w:rPr>
        <w:t xml:space="preserve">      </w:t>
      </w:r>
      <w:r>
        <w:rPr>
          <w:rStyle w:val="9"/>
          <w:rFonts w:eastAsia="方正仿宋_GBK"/>
          <w:b w:val="0"/>
          <w:sz w:val="32"/>
          <w:szCs w:val="32"/>
          <w:shd w:val="clear" w:color="auto" w:fill="FFFFFF"/>
        </w:rPr>
        <w:t>2. 绩效自评报告或案例。</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本单位未委托第三方开展绩效评价。</w:t>
      </w:r>
    </w:p>
    <w:p>
      <w:pPr>
        <w:pStyle w:val="8"/>
        <w:widowControl w:val="0"/>
        <w:adjustRightInd w:val="0"/>
        <w:snapToGrid w:val="0"/>
        <w:spacing w:before="0" w:beforeAutospacing="0" w:after="0" w:afterAutospacing="0" w:line="600" w:lineRule="exact"/>
        <w:ind w:firstLine="640" w:firstLineChars="200"/>
        <w:rPr>
          <w:rStyle w:val="9"/>
          <w:rFonts w:eastAsia="方正楷体_GBK"/>
        </w:rPr>
      </w:pPr>
      <w:r>
        <w:rPr>
          <w:rStyle w:val="9"/>
          <w:rFonts w:eastAsia="方正楷体_GBK"/>
          <w:b w:val="0"/>
          <w:sz w:val="32"/>
          <w:szCs w:val="32"/>
          <w:shd w:val="clear" w:color="auto" w:fill="FFFFFF"/>
        </w:rPr>
        <w:t>（三）重点绩效评价结果。</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县财政局未委托第三方对本单位政策或项目开展重点绩效评价。</w:t>
      </w:r>
    </w:p>
    <w:p>
      <w:pPr>
        <w:pStyle w:val="8"/>
        <w:widowControl w:val="0"/>
        <w:adjustRightInd w:val="0"/>
        <w:snapToGrid w:val="0"/>
        <w:spacing w:before="0" w:beforeAutospacing="0" w:after="0" w:afterAutospacing="0" w:line="600" w:lineRule="exact"/>
        <w:ind w:firstLine="640" w:firstLineChars="200"/>
        <w:rPr>
          <w:rStyle w:val="9"/>
          <w:rFonts w:eastAsia="方正黑体_GBK"/>
          <w:shd w:val="clear" w:color="auto" w:fill="FFFFFF"/>
        </w:rPr>
      </w:pPr>
      <w:r>
        <w:rPr>
          <w:rStyle w:val="9"/>
          <w:rFonts w:eastAsia="方正黑体_GBK"/>
          <w:b w:val="0"/>
          <w:sz w:val="32"/>
          <w:szCs w:val="32"/>
          <w:shd w:val="clear" w:color="auto" w:fill="FFFFFF"/>
        </w:rPr>
        <w:t xml:space="preserve">  六、专业名词解释</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黑体_GBK" w:cs="Times New Roman"/>
          <w:b/>
          <w:bCs/>
          <w:shd w:val="clear" w:color="auto" w:fill="FFFFFF"/>
        </w:rPr>
      </w:pPr>
      <w:r>
        <w:rPr>
          <w:rStyle w:val="9"/>
          <w:rFonts w:eastAsia="方正楷体_GBK"/>
          <w:b w:val="0"/>
          <w:sz w:val="32"/>
          <w:szCs w:val="32"/>
          <w:shd w:val="clear" w:color="auto" w:fill="FFFFFF"/>
        </w:rPr>
        <w:t>（一）财政拨款收入</w:t>
      </w:r>
      <w:r>
        <w:rPr>
          <w:rStyle w:val="9"/>
          <w:rFonts w:eastAsia="方正楷体_GBK"/>
        </w:rPr>
        <w:t>：</w:t>
      </w:r>
      <w:r>
        <w:rPr>
          <w:rFonts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黑体_GBK" w:cs="Times New Roman"/>
          <w:b/>
          <w:bCs/>
          <w:shd w:val="clear" w:color="auto" w:fill="FFFFFF"/>
        </w:rPr>
      </w:pPr>
      <w:r>
        <w:rPr>
          <w:rStyle w:val="9"/>
          <w:rFonts w:eastAsia="方正楷体_GBK"/>
          <w:b w:val="0"/>
          <w:sz w:val="32"/>
          <w:szCs w:val="32"/>
          <w:shd w:val="clear" w:color="auto" w:fill="FFFFFF"/>
        </w:rPr>
        <w:t>（二）事业收入</w:t>
      </w:r>
      <w:r>
        <w:rPr>
          <w:rStyle w:val="9"/>
          <w:rFonts w:eastAsia="方正楷体_GBK"/>
        </w:rPr>
        <w:t>：</w:t>
      </w:r>
      <w:r>
        <w:rPr>
          <w:rFonts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（三）经营收入</w:t>
      </w:r>
      <w:r>
        <w:rPr>
          <w:rStyle w:val="9"/>
          <w:rFonts w:eastAsia="方正楷体_GBK"/>
        </w:rPr>
        <w:t>：</w:t>
      </w:r>
      <w:r>
        <w:rPr>
          <w:rFonts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（四）其他收入</w:t>
      </w:r>
      <w:r>
        <w:rPr>
          <w:rStyle w:val="9"/>
          <w:rFonts w:eastAsia="方正楷体_GBK"/>
        </w:rPr>
        <w:t>：</w:t>
      </w:r>
      <w:r>
        <w:rPr>
          <w:rFonts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（五）使用非财政拨款结余</w:t>
      </w:r>
      <w:r>
        <w:rPr>
          <w:rStyle w:val="9"/>
          <w:rFonts w:eastAsia="方正楷体_GBK"/>
        </w:rPr>
        <w:t>：</w:t>
      </w:r>
      <w:r>
        <w:rPr>
          <w:rFonts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（六）年初结转和结余</w:t>
      </w:r>
      <w:r>
        <w:rPr>
          <w:rStyle w:val="9"/>
          <w:rFonts w:eastAsia="方正楷体_GBK"/>
        </w:rPr>
        <w:t>：</w:t>
      </w:r>
      <w:r>
        <w:rPr>
          <w:rFonts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（七）结余分配</w:t>
      </w:r>
      <w:r>
        <w:rPr>
          <w:rStyle w:val="9"/>
          <w:rFonts w:eastAsia="方正楷体_GBK"/>
        </w:rPr>
        <w:t>：</w:t>
      </w:r>
      <w:r>
        <w:rPr>
          <w:rFonts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（八）年末结转和结余</w:t>
      </w:r>
      <w:r>
        <w:rPr>
          <w:rStyle w:val="9"/>
          <w:rFonts w:eastAsia="方正楷体_GBK"/>
        </w:rPr>
        <w:t>：</w:t>
      </w:r>
      <w:r>
        <w:rPr>
          <w:rFonts w:ascii="Times New Roman" w:hAnsi="Times New Roman" w:eastAsia="方正仿宋_GBK" w:cs="Times New Roman"/>
          <w:sz w:val="32"/>
          <w:szCs w:val="32"/>
          <w:shd w:val="clear" w:color="auto" w:fill="FFFFFF"/>
        </w:rPr>
        <w:t>指单位结转下年的基本支出结转、项目支出结转和结余、经营结余。</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（九）基本支出</w:t>
      </w:r>
      <w:r>
        <w:rPr>
          <w:rStyle w:val="9"/>
          <w:rFonts w:eastAsia="方正楷体_GBK"/>
        </w:rPr>
        <w:t>：</w:t>
      </w:r>
      <w:r>
        <w:rPr>
          <w:rFonts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（十）项目支出</w:t>
      </w:r>
      <w:r>
        <w:rPr>
          <w:rStyle w:val="9"/>
          <w:rFonts w:eastAsia="方正楷体_GBK"/>
        </w:rPr>
        <w:t>：</w:t>
      </w:r>
      <w:r>
        <w:rPr>
          <w:rFonts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（十一）经营支出</w:t>
      </w:r>
      <w:r>
        <w:rPr>
          <w:rFonts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（十二）“三公”经费</w:t>
      </w:r>
      <w:r>
        <w:rPr>
          <w:rStyle w:val="9"/>
          <w:rFonts w:eastAsia="方正楷体_GBK"/>
        </w:rPr>
        <w:t>：</w:t>
      </w:r>
      <w:r>
        <w:rPr>
          <w:rFonts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（十三）机关运行经费</w:t>
      </w:r>
      <w:r>
        <w:rPr>
          <w:rStyle w:val="9"/>
          <w:rFonts w:eastAsia="方正楷体_GBK"/>
        </w:rPr>
        <w:t>：</w:t>
      </w:r>
      <w:r>
        <w:rPr>
          <w:rFonts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（十四）工资福利支出（支出经济分类科目类级）</w:t>
      </w:r>
      <w:r>
        <w:rPr>
          <w:rFonts w:ascii="Times New Roman" w:hAnsi="Times New Roman" w:eastAsia="方正楷体_GBK" w:cs="Times New Roman"/>
          <w:sz w:val="32"/>
          <w:szCs w:val="32"/>
          <w:shd w:val="clear" w:color="auto" w:fill="FFFFFF"/>
        </w:rPr>
        <w:t>：</w:t>
      </w:r>
      <w:r>
        <w:rPr>
          <w:rFonts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（十五）商品和服务支出（支出经济分类科目类级）</w:t>
      </w:r>
      <w:r>
        <w:rPr>
          <w:rStyle w:val="9"/>
          <w:rFonts w:eastAsia="方正楷体_GBK"/>
        </w:rPr>
        <w:t>：</w:t>
      </w:r>
      <w:r>
        <w:rPr>
          <w:rFonts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（十六）对个人和家庭的补助（支出经济分类科目类级）</w:t>
      </w:r>
      <w:r>
        <w:rPr>
          <w:rStyle w:val="9"/>
          <w:rFonts w:eastAsia="方正楷体_GBK"/>
        </w:rPr>
        <w:t>：</w:t>
      </w:r>
      <w:r>
        <w:rPr>
          <w:rFonts w:ascii="Times New Roman" w:hAnsi="Times New Roman" w:eastAsia="方正仿宋_GBK" w:cs="Times New Roman"/>
          <w:sz w:val="32"/>
          <w:szCs w:val="32"/>
          <w:shd w:val="clear" w:color="auto" w:fill="FFFFFF"/>
        </w:rPr>
        <w:t>反映用于对个人和家庭的补助支出。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楷体_GBK"/>
          <w:b w:val="0"/>
          <w:sz w:val="32"/>
          <w:szCs w:val="32"/>
          <w:shd w:val="clear" w:color="auto" w:fill="FFFFFF"/>
        </w:rPr>
        <w:t>（十七）其他资本性支出（支出经济分类科目类级）</w:t>
      </w:r>
      <w:r>
        <w:rPr>
          <w:rStyle w:val="9"/>
          <w:rFonts w:eastAsia="方正楷体_GBK"/>
        </w:rPr>
        <w:t>：</w:t>
      </w:r>
      <w:r>
        <w:rPr>
          <w:rFonts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9"/>
          <w:rFonts w:eastAsia="方正黑体_GBK"/>
          <w:b w:val="0"/>
          <w:sz w:val="32"/>
          <w:szCs w:val="32"/>
          <w:shd w:val="clear" w:color="auto" w:fill="FFFFFF"/>
        </w:rPr>
        <w:t>七、决算公开联系方式及信息反馈渠道</w:t>
      </w:r>
    </w:p>
    <w:p>
      <w:pPr>
        <w:pStyle w:val="8"/>
        <w:widowControl w:val="0"/>
        <w:adjustRightInd w:val="0"/>
        <w:snapToGrid w:val="0"/>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本单位决算公开信息反馈和联系方式：023-73322447。</w:t>
      </w:r>
    </w:p>
    <w:p>
      <w:pPr>
        <w:widowControl w:val="0"/>
        <w:adjustRightInd w:val="0"/>
        <w:snapToGrid w:val="0"/>
        <w:rPr>
          <w:rFonts w:ascii="Times New Roman" w:hAnsi="Times New Roman" w:cs="Times New Roman"/>
        </w:rPr>
      </w:pPr>
    </w:p>
    <w:sectPr>
      <w:footerReference r:id="rId3" w:type="default"/>
      <w:footerReference r:id="rId4" w:type="even"/>
      <w:pgSz w:w="11907" w:h="16840"/>
      <w:pgMar w:top="1985" w:right="1446" w:bottom="1644" w:left="1446" w:header="851" w:footer="1474"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55077"/>
      <w:docPartObj>
        <w:docPartGallery w:val="autotext"/>
      </w:docPartObj>
    </w:sdtPr>
    <w:sdtContent>
      <w:p>
        <w:pPr>
          <w:pStyle w:val="2"/>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55078"/>
      <w:docPartObj>
        <w:docPartGallery w:val="autotext"/>
      </w:docPartObj>
    </w:sdtPr>
    <w:sdtContent>
      <w:p>
        <w:pPr>
          <w:pStyle w:val="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evenAndOddHeaders w:val="true"/>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kNmVhN2NjZWRhOTQ5OWQyZTdlZmMwNzk5NWQzNzQifQ=="/>
  </w:docVars>
  <w:rsids>
    <w:rsidRoot w:val="003F057F"/>
    <w:rsid w:val="003F057F"/>
    <w:rsid w:val="00772DAF"/>
    <w:rsid w:val="00E0589A"/>
    <w:rsid w:val="73A35067"/>
    <w:rsid w:val="7DCD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普通(网站) Char Char"/>
    <w:basedOn w:val="1"/>
    <w:qFormat/>
    <w:uiPriority w:val="0"/>
    <w:pPr>
      <w:spacing w:before="100" w:beforeAutospacing="1" w:after="100" w:afterAutospacing="1"/>
    </w:pPr>
  </w:style>
  <w:style w:type="character" w:customStyle="1" w:styleId="9">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6322</Words>
  <Characters>7153</Characters>
  <Lines>54</Lines>
  <Paragraphs>15</Paragraphs>
  <TotalTime>0</TotalTime>
  <ScaleCrop>false</ScaleCrop>
  <LinksUpToDate>false</LinksUpToDate>
  <CharactersWithSpaces>7206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2022-10-24T16:18:00Z</dcterms:created>
  <dc:creator>石柱县市场监管局</dc:creator>
  <cp:lastModifiedBy>user</cp:lastModifiedBy>
  <cp:lastPrinted>2022-10-24T16:55:00Z</cp:lastPrinted>
  <dcterms:modified xsi:type="dcterms:W3CDTF">2022-10-28T10:09:55Z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77EFA8F60C7047729DB73029BC67F8DE</vt:lpwstr>
  </property>
</Properties>
</file>