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1312;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pPr>
    </w:p>
    <w:p>
      <w:pPr>
        <w:jc w:val="center"/>
      </w:pPr>
    </w:p>
    <w:p>
      <w:pPr>
        <w:jc w:val="cente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0JBU7YAAAADAEA&#10;AA8AAAAAAAAAAQAgAAAAIgAAAGRycy9kb3ducmV2LnhtbFBLAQIUABQAAAAIAIdO4kATzqlw4QEA&#10;ANADAAAOAAAAAAAAAAEAIAAAACcBAABkcnMvZTJvRG9jLnhtbFBLBQYAAAAABgAGAFkBAAB6BQAA&#10;AAA=&#10;">
                <v:fill on="f" focussize="0,0"/>
                <v:stroke weight="1.75pt" color="#FF0000" joinstyle="round"/>
                <v:imagedata o:title=""/>
                <o:lock v:ext="edit" aspectratio="f"/>
              </v:line>
            </w:pict>
          </mc:Fallback>
        </mc:AlternateContent>
      </w:r>
      <w:r>
        <w:rPr>
          <w:rFonts w:hint="eastAsia"/>
        </w:rPr>
        <w:t>渝市监办发</w:t>
      </w:r>
      <w:r>
        <w:rPr>
          <w:color w:val="000000"/>
        </w:rPr>
        <w:t>〔</w:t>
      </w:r>
      <w:r>
        <w:rPr>
          <w:rFonts w:hint="eastAsia"/>
          <w:color w:val="000000"/>
        </w:rPr>
        <w:t>2021</w:t>
      </w:r>
      <w:r>
        <w:rPr>
          <w:color w:val="000000"/>
        </w:rPr>
        <w:t>〕</w:t>
      </w:r>
      <w:r>
        <w:rPr>
          <w:rFonts w:hint="eastAsia"/>
          <w:color w:val="000000"/>
        </w:rPr>
        <w:t>24</w:t>
      </w:r>
      <w:r>
        <w:rPr>
          <w:color w:val="000000"/>
        </w:rPr>
        <w:t>号</w:t>
      </w:r>
    </w:p>
    <w:p>
      <w:pPr>
        <w:tabs>
          <w:tab w:val="left" w:pos="3792"/>
        </w:tabs>
        <w:spacing w:beforeLines="0" w:afterLines="0"/>
      </w:pPr>
      <w:bookmarkStart w:id="0" w:name="zw"/>
      <w:bookmarkEnd w:id="0"/>
    </w:p>
    <w:p>
      <w:pPr>
        <w:tabs>
          <w:tab w:val="left" w:pos="3792"/>
        </w:tabs>
        <w:spacing w:beforeLines="0" w:afterLines="0"/>
      </w:pPr>
    </w:p>
    <w:p>
      <w:pPr>
        <w:adjustRightInd w:val="0"/>
        <w:snapToGrid w:val="0"/>
        <w:spacing w:line="720" w:lineRule="atLeast"/>
        <w:jc w:val="center"/>
        <w:textAlignment w:val="baseline"/>
        <w:rPr>
          <w:rFonts w:eastAsia="方正小标宋_GBK"/>
          <w:sz w:val="44"/>
          <w:szCs w:val="44"/>
        </w:rPr>
      </w:pPr>
      <w:r>
        <w:rPr>
          <w:rFonts w:hint="eastAsia" w:eastAsia="方正小标宋_GBK"/>
          <w:sz w:val="44"/>
          <w:szCs w:val="44"/>
        </w:rPr>
        <w:t>重庆市市场监督管理局办公室</w:t>
      </w:r>
    </w:p>
    <w:p>
      <w:pPr>
        <w:adjustRightInd w:val="0"/>
        <w:snapToGrid w:val="0"/>
        <w:spacing w:line="720" w:lineRule="atLeast"/>
        <w:jc w:val="center"/>
        <w:textAlignment w:val="baseline"/>
        <w:rPr>
          <w:rFonts w:eastAsia="方正小标宋_GBK"/>
          <w:sz w:val="44"/>
          <w:szCs w:val="44"/>
        </w:rPr>
      </w:pPr>
      <w:r>
        <w:rPr>
          <w:rFonts w:hint="eastAsia" w:eastAsia="方正小标宋_GBK"/>
          <w:sz w:val="44"/>
          <w:szCs w:val="44"/>
        </w:rPr>
        <w:t>关于印发</w:t>
      </w:r>
      <w:r>
        <w:rPr>
          <w:rFonts w:eastAsia="方正小标宋_GBK"/>
          <w:sz w:val="44"/>
          <w:szCs w:val="44"/>
        </w:rPr>
        <w:t>202</w:t>
      </w:r>
      <w:r>
        <w:rPr>
          <w:rFonts w:hint="eastAsia" w:eastAsia="方正小标宋_GBK"/>
          <w:sz w:val="44"/>
          <w:szCs w:val="44"/>
        </w:rPr>
        <w:t>1年度“双随机、一公开”</w:t>
      </w:r>
      <w:r>
        <w:rPr>
          <w:rFonts w:eastAsia="方正小标宋_GBK"/>
          <w:sz w:val="44"/>
          <w:szCs w:val="44"/>
        </w:rPr>
        <w:t xml:space="preserve"> </w:t>
      </w:r>
    </w:p>
    <w:p>
      <w:pPr>
        <w:adjustRightInd w:val="0"/>
        <w:snapToGrid w:val="0"/>
        <w:spacing w:line="720" w:lineRule="atLeast"/>
        <w:jc w:val="center"/>
        <w:textAlignment w:val="baseline"/>
        <w:rPr>
          <w:rFonts w:eastAsia="方正小标宋_GBK"/>
          <w:sz w:val="44"/>
          <w:szCs w:val="44"/>
        </w:rPr>
      </w:pPr>
      <w:r>
        <w:rPr>
          <w:rFonts w:hint="eastAsia" w:eastAsia="方正小标宋_GBK"/>
          <w:sz w:val="44"/>
          <w:szCs w:val="44"/>
        </w:rPr>
        <w:t>抽查工作计划的通知</w:t>
      </w:r>
    </w:p>
    <w:p>
      <w:pPr>
        <w:rPr>
          <w:rFonts w:cs="方正仿宋_GBK"/>
          <w:szCs w:val="32"/>
        </w:rPr>
      </w:pPr>
    </w:p>
    <w:p>
      <w:pPr>
        <w:rPr>
          <w:rFonts w:cs="方正仿宋_GBK"/>
          <w:szCs w:val="32"/>
        </w:rPr>
      </w:pPr>
      <w:bookmarkStart w:id="1" w:name="OLE_LINK3"/>
      <w:r>
        <w:rPr>
          <w:rFonts w:hint="eastAsia" w:cs="方正仿宋_GBK"/>
          <w:szCs w:val="32"/>
        </w:rPr>
        <w:t>市知识产权局</w:t>
      </w:r>
      <w:bookmarkEnd w:id="1"/>
      <w:r>
        <w:rPr>
          <w:rFonts w:hint="eastAsia" w:cs="方正仿宋_GBK"/>
          <w:szCs w:val="32"/>
        </w:rPr>
        <w:t>，各区县局，市局相关处室、直属单位：</w:t>
      </w:r>
    </w:p>
    <w:p>
      <w:pPr>
        <w:ind w:firstLine="632" w:firstLineChars="200"/>
        <w:rPr>
          <w:rFonts w:cs="方正仿宋_GBK"/>
          <w:szCs w:val="32"/>
        </w:rPr>
      </w:pPr>
      <w:r>
        <w:rPr>
          <w:rFonts w:hint="eastAsia" w:cs="方正仿宋_GBK"/>
          <w:snapToGrid w:val="0"/>
          <w:color w:val="000000"/>
          <w:szCs w:val="32"/>
        </w:rPr>
        <w:t>为贯彻落实党中央、</w:t>
      </w:r>
      <w:r>
        <w:rPr>
          <w:rFonts w:hint="eastAsia" w:cs="方正仿宋_GBK"/>
          <w:szCs w:val="32"/>
        </w:rPr>
        <w:t>国务院关于深化“放管服”改革优化营商环境决策部署，根据全市深化“放管服”改革优化营商环境工作会议精神、</w:t>
      </w:r>
      <w:r>
        <w:rPr>
          <w:rFonts w:hint="eastAsia" w:cs="方正仿宋_GBK"/>
          <w:snapToGrid w:val="0"/>
          <w:color w:val="000000"/>
          <w:szCs w:val="32"/>
        </w:rPr>
        <w:t>市场监管总局《关于全面推进“双随机、一公开”监管工作的通知》（国市监信〔2019〕38号）要求，按照</w:t>
      </w:r>
      <w:r>
        <w:rPr>
          <w:rFonts w:hint="eastAsia" w:cs="方正仿宋_GBK"/>
          <w:bCs/>
          <w:szCs w:val="32"/>
        </w:rPr>
        <w:t>《</w:t>
      </w:r>
      <w:r>
        <w:rPr>
          <w:rFonts w:hint="eastAsia" w:cs="方正仿宋_GBK"/>
          <w:color w:val="000000"/>
          <w:kern w:val="0"/>
          <w:szCs w:val="32"/>
        </w:rPr>
        <w:t>市场监管总局随机抽查事项清单（第一版）</w:t>
      </w:r>
      <w:r>
        <w:rPr>
          <w:rFonts w:hint="eastAsia" w:cs="方正仿宋_GBK"/>
          <w:bCs/>
          <w:szCs w:val="32"/>
        </w:rPr>
        <w:t>》，</w:t>
      </w:r>
      <w:r>
        <w:rPr>
          <w:rFonts w:hint="eastAsia" w:cs="方正仿宋_GBK"/>
          <w:snapToGrid w:val="0"/>
          <w:color w:val="000000"/>
          <w:szCs w:val="32"/>
        </w:rPr>
        <w:t>市局制定了</w:t>
      </w:r>
      <w:r>
        <w:rPr>
          <w:rFonts w:hint="eastAsia" w:cs="方正仿宋_GBK"/>
          <w:szCs w:val="32"/>
        </w:rPr>
        <w:t>《2021年度“双随机、一公开”抽查工作计划》（见附件），已经市局2021年第2次局长办公会审议通过。现印发你们，请按照以下工作要求，认真贯彻落实。</w:t>
      </w:r>
    </w:p>
    <w:p>
      <w:pPr>
        <w:ind w:firstLine="632" w:firstLineChars="200"/>
        <w:rPr>
          <w:rFonts w:cs="方正仿宋_GBK"/>
          <w:color w:val="000000"/>
          <w:kern w:val="0"/>
          <w:szCs w:val="32"/>
        </w:rPr>
      </w:pPr>
      <w:r>
        <w:rPr>
          <w:rFonts w:hint="eastAsia" w:eastAsia="方正黑体_GBK" w:cs="方正黑体_GBK"/>
          <w:szCs w:val="32"/>
        </w:rPr>
        <w:t>一、对标对表，符合要求。</w:t>
      </w:r>
      <w:r>
        <w:rPr>
          <w:rFonts w:hint="eastAsia" w:cs="方正仿宋_GBK"/>
          <w:color w:val="000000"/>
          <w:kern w:val="0"/>
          <w:szCs w:val="32"/>
        </w:rPr>
        <w:t>“双随机、一公开”监管覆盖率是营商环境考核指标之一，抽查企业总数不低2020年底全市企业总数（92.7万户）的3%（约2.8万户）是总局对各省市局市监工作考核指标之一。</w:t>
      </w:r>
      <w:bookmarkStart w:id="2" w:name="OLE_LINK1"/>
      <w:r>
        <w:rPr>
          <w:rFonts w:hint="eastAsia" w:cs="方正仿宋_GBK"/>
          <w:color w:val="000000"/>
          <w:kern w:val="0"/>
          <w:szCs w:val="32"/>
        </w:rPr>
        <w:t>各</w:t>
      </w:r>
      <w:bookmarkEnd w:id="2"/>
      <w:r>
        <w:rPr>
          <w:rFonts w:hint="eastAsia" w:cs="方正仿宋_GBK"/>
          <w:color w:val="000000"/>
          <w:kern w:val="0"/>
          <w:szCs w:val="32"/>
        </w:rPr>
        <w:t>单位务必要高度重视，不折不扣地抓好既定计划落实。不得擅自延期、取消抽查事项或减少抽取对象数量，共同保证“全市企业抽查比例”达到国家规定指标要求，主动加强与总局对口业务司局的工作联络沟通，及时掌握上级工作的新动向、新要求，统筹和协调相关处室按照上级市场监管部门工作要求，根据工作实际对计划进行动态调整。</w:t>
      </w:r>
    </w:p>
    <w:p>
      <w:pPr>
        <w:ind w:firstLine="632" w:firstLineChars="200"/>
        <w:rPr>
          <w:rFonts w:cs="方正仿宋_GBK"/>
          <w:snapToGrid w:val="0"/>
          <w:kern w:val="28"/>
          <w:szCs w:val="32"/>
        </w:rPr>
      </w:pPr>
      <w:r>
        <w:rPr>
          <w:rFonts w:hint="eastAsia" w:eastAsia="方正黑体_GBK" w:cs="方正黑体_GBK"/>
          <w:szCs w:val="32"/>
        </w:rPr>
        <w:t>二、结合实际，突出重点。</w:t>
      </w:r>
      <w:r>
        <w:rPr>
          <w:rFonts w:hint="eastAsia" w:cs="方正仿宋_GBK"/>
          <w:szCs w:val="32"/>
        </w:rPr>
        <w:t>各单位要按照计划中确定的</w:t>
      </w:r>
      <w:r>
        <w:rPr>
          <w:rFonts w:hint="eastAsia" w:cs="方正仿宋_GBK"/>
          <w:color w:val="333333"/>
          <w:szCs w:val="32"/>
        </w:rPr>
        <w:t>抽查事项认真制定抽查实施方案，科学确定由谁抽、怎么抽、查什么、怎么查，坚持问题导向，实施靶向精准监管。</w:t>
      </w:r>
      <w:r>
        <w:rPr>
          <w:rFonts w:hint="eastAsia" w:eastAsia="方正楷体_GBK" w:cs="方正楷体_GBK"/>
          <w:color w:val="333333"/>
          <w:szCs w:val="32"/>
        </w:rPr>
        <w:t>一是</w:t>
      </w:r>
      <w:r>
        <w:rPr>
          <w:rFonts w:hint="eastAsia" w:cs="方正仿宋_GBK"/>
          <w:color w:val="333333"/>
          <w:szCs w:val="32"/>
        </w:rPr>
        <w:t>要更多地针对问题多发区域、重点行业、重点企业开展有针对性的定向抽查。加大对涉及疫情防控企业的抽查力度，切实维护和稳定市场秩序，支持疫情防控工作。</w:t>
      </w:r>
      <w:r>
        <w:rPr>
          <w:rFonts w:hint="eastAsia" w:eastAsia="方正楷体_GBK" w:cs="方正楷体_GBK"/>
          <w:color w:val="333333"/>
          <w:szCs w:val="32"/>
        </w:rPr>
        <w:t>二是</w:t>
      </w:r>
      <w:r>
        <w:rPr>
          <w:rFonts w:hint="eastAsia" w:cs="方正仿宋_GBK"/>
          <w:szCs w:val="32"/>
        </w:rPr>
        <w:t>要结合企业信用风险状况，实施差异化抽查。将“双随机、一公开”监管与企业信用风险分类结果有机结合，提高检查的靶向性、精准性和</w:t>
      </w:r>
      <w:r>
        <w:rPr>
          <w:rFonts w:hint="eastAsia" w:cs="方正仿宋_GBK"/>
          <w:bCs/>
          <w:szCs w:val="32"/>
        </w:rPr>
        <w:t>问题发现率，发挥震慑违法的作用。</w:t>
      </w:r>
      <w:r>
        <w:rPr>
          <w:rFonts w:hint="eastAsia" w:eastAsia="方正楷体_GBK" w:cs="方正楷体_GBK"/>
          <w:color w:val="333333"/>
          <w:szCs w:val="32"/>
        </w:rPr>
        <w:t>三是</w:t>
      </w:r>
      <w:r>
        <w:rPr>
          <w:rFonts w:hint="eastAsia" w:cs="方正仿宋_GBK"/>
          <w:bCs/>
          <w:szCs w:val="32"/>
        </w:rPr>
        <w:t>要</w:t>
      </w:r>
      <w:r>
        <w:rPr>
          <w:rFonts w:hint="eastAsia" w:cs="方正仿宋_GBK"/>
          <w:szCs w:val="32"/>
        </w:rPr>
        <w:t>抽查结果全公开。</w:t>
      </w:r>
      <w:r>
        <w:rPr>
          <w:rFonts w:hint="eastAsia" w:cs="方正仿宋_GBK"/>
          <w:snapToGrid w:val="0"/>
          <w:kern w:val="28"/>
          <w:szCs w:val="32"/>
        </w:rPr>
        <w:t>通过“双随机、一公开”监管平台开展随机抽查，抽查结果自动上传到国家企业信用信息公示平台进行公示并记于企业名下。通过线下开展随机抽查，抽查结果要以表格形式在国家企业信用信息公示系统（重庆）地方频道双随机抽查公示栏进行抽查结果公示。</w:t>
      </w:r>
    </w:p>
    <w:p>
      <w:pPr>
        <w:ind w:firstLine="632" w:firstLineChars="200"/>
        <w:rPr>
          <w:rFonts w:cs="方正仿宋_GBK"/>
          <w:color w:val="000000"/>
          <w:szCs w:val="32"/>
        </w:rPr>
      </w:pPr>
      <w:r>
        <w:rPr>
          <w:rFonts w:hint="eastAsia" w:eastAsia="方正黑体_GBK" w:cs="方正黑体_GBK"/>
          <w:szCs w:val="32"/>
        </w:rPr>
        <w:t>三、求真务实，讲究实效。</w:t>
      </w:r>
      <w:r>
        <w:rPr>
          <w:rFonts w:hint="eastAsia" w:cs="方正仿宋_GBK"/>
          <w:color w:val="000000"/>
          <w:szCs w:val="32"/>
        </w:rPr>
        <w:t>各单位要按照计划和抽查实施方案确定的抽查对象数量、抽查内容、时间节点和工作要求等，按时、高质量的推进工作。</w:t>
      </w:r>
      <w:bookmarkStart w:id="3" w:name="OLE_LINK2"/>
      <w:r>
        <w:rPr>
          <w:rFonts w:hint="eastAsia" w:cs="方正仿宋_GBK"/>
          <w:color w:val="000000"/>
          <w:szCs w:val="32"/>
        </w:rPr>
        <w:t>市知识产权局、市局相关处室要</w:t>
      </w:r>
      <w:bookmarkEnd w:id="3"/>
      <w:r>
        <w:rPr>
          <w:rFonts w:hint="eastAsia" w:cs="方正仿宋_GBK"/>
          <w:color w:val="000000"/>
          <w:szCs w:val="32"/>
        </w:rPr>
        <w:t>严格按照</w:t>
      </w:r>
      <w:r>
        <w:rPr>
          <w:rFonts w:hint="eastAsia" w:cs="方正仿宋_GBK"/>
          <w:szCs w:val="32"/>
          <w:lang w:val="zh-TW"/>
        </w:rPr>
        <w:t>《重庆市市场监管局“双随机、一公开”监管实施办法》，</w:t>
      </w:r>
      <w:r>
        <w:rPr>
          <w:rFonts w:hint="eastAsia" w:cs="方正仿宋_GBK"/>
          <w:color w:val="000000"/>
          <w:szCs w:val="32"/>
        </w:rPr>
        <w:t>加强工作跟踪指导和督查考核，</w:t>
      </w:r>
      <w:r>
        <w:rPr>
          <w:rFonts w:hint="eastAsia" w:cs="方正仿宋_GBK"/>
          <w:color w:val="333333"/>
          <w:szCs w:val="32"/>
        </w:rPr>
        <w:t>落实抽查监管责任，</w:t>
      </w:r>
      <w:r>
        <w:rPr>
          <w:rFonts w:hint="eastAsia" w:cs="方正仿宋_GBK"/>
          <w:color w:val="000000"/>
          <w:szCs w:val="32"/>
        </w:rPr>
        <w:t>切实提高问题发现率，避免检查流于形式。委托第三方专业机构实施抽查的，要加强对相关机构的指导和监督考核。各单位要统筹掌握工作进度，注意发现、解决工作中存在的问题，注意收集提炼经验做法和工作成效，市局将适时对计划的实施情况进行评估。请市知识产权局、市局相关处室于每季度最后一个月的25日前将前期工作情况（含本业务领域由区县局实施的）反馈市局风管处。</w:t>
      </w:r>
    </w:p>
    <w:p>
      <w:pPr>
        <w:ind w:firstLine="640"/>
        <w:rPr>
          <w:rFonts w:cs="方正仿宋_GBK"/>
          <w:szCs w:val="32"/>
        </w:rPr>
      </w:pPr>
      <w:bookmarkStart w:id="4" w:name="_GoBack"/>
      <w:bookmarkEnd w:id="4"/>
    </w:p>
    <w:p>
      <w:pPr>
        <w:ind w:firstLine="4108" w:firstLineChars="1300"/>
        <w:rPr>
          <w:rFonts w:cs="方正仿宋_GBK"/>
          <w:szCs w:val="32"/>
        </w:rPr>
      </w:pPr>
      <w:r>
        <w:rPr>
          <w:rFonts w:hint="eastAsia" w:cs="方正仿宋_GBK"/>
          <w:szCs w:val="32"/>
        </w:rPr>
        <w:t>重庆市市场监督管理局办公室</w:t>
      </w:r>
    </w:p>
    <w:p>
      <w:pPr>
        <w:ind w:firstLine="4740" w:firstLineChars="1500"/>
        <w:rPr>
          <w:rFonts w:cs="方正仿宋_GBK"/>
          <w:szCs w:val="32"/>
        </w:rPr>
      </w:pPr>
      <w:r>
        <w:rPr>
          <w:rFonts w:hint="eastAsia" w:cs="方正仿宋_GBK"/>
          <w:szCs w:val="32"/>
        </w:rPr>
        <w:t>2021年2月8日</w:t>
      </w:r>
    </w:p>
    <w:p>
      <w:pPr>
        <w:ind w:firstLine="632" w:firstLineChars="200"/>
        <w:rPr>
          <w:rFonts w:hint="eastAsia" w:cs="方正仿宋_GBK"/>
          <w:szCs w:val="32"/>
        </w:rPr>
      </w:pPr>
      <w:r>
        <w:rPr>
          <w:rFonts w:hint="eastAsia" w:cs="方正仿宋_GBK"/>
          <w:szCs w:val="32"/>
        </w:rPr>
        <w:t>（此件公开发布）</w:t>
      </w:r>
    </w:p>
    <w:p>
      <w:pPr>
        <w:ind w:firstLine="632" w:firstLineChars="200"/>
        <w:rPr>
          <w:rFonts w:hint="eastAsia" w:cs="方正仿宋_GBK"/>
          <w:szCs w:val="32"/>
        </w:rPr>
        <w:sectPr>
          <w:footerReference r:id="rId3" w:type="default"/>
          <w:pgSz w:w="11906" w:h="16838"/>
          <w:pgMar w:top="2098" w:right="1531" w:bottom="1985" w:left="1531" w:header="851" w:footer="1474" w:gutter="0"/>
          <w:pgNumType w:fmt="decimal"/>
          <w:cols w:space="720" w:num="1"/>
          <w:docGrid w:type="linesAndChars" w:linePitch="579" w:charSpace="-849"/>
        </w:sectPr>
      </w:pPr>
    </w:p>
    <w:p>
      <w:pPr>
        <w:rPr>
          <w:rFonts w:ascii="Times New Roman" w:hAnsi="Times New Roman" w:eastAsia="方正黑体_GBK" w:cs="方正黑体_GBK"/>
        </w:rPr>
      </w:pPr>
      <w:r>
        <w:rPr>
          <w:rFonts w:hint="eastAsia" w:ascii="Times New Roman" w:hAnsi="Times New Roman" w:eastAsia="方正黑体_GBK" w:cs="方正黑体_GBK"/>
        </w:rPr>
        <w:t>附件</w:t>
      </w:r>
    </w:p>
    <w:p>
      <w:pPr>
        <w:spacing w:line="240" w:lineRule="exact"/>
        <w:rPr>
          <w:rFonts w:ascii="Times New Roman" w:hAnsi="Times New Roman"/>
        </w:rPr>
      </w:pPr>
    </w:p>
    <w:p>
      <w:pPr>
        <w:snapToGrid w:val="0"/>
        <w:spacing w:line="720" w:lineRule="atLeas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2021年度“双随机、一公开”抽查工作计划</w:t>
      </w:r>
    </w:p>
    <w:tbl>
      <w:tblPr>
        <w:tblStyle w:val="7"/>
        <w:tblW w:w="16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
        <w:gridCol w:w="1875"/>
        <w:gridCol w:w="2415"/>
        <w:gridCol w:w="2510"/>
        <w:gridCol w:w="1185"/>
        <w:gridCol w:w="1184"/>
        <w:gridCol w:w="760"/>
        <w:gridCol w:w="1004"/>
        <w:gridCol w:w="1192"/>
        <w:gridCol w:w="825"/>
        <w:gridCol w:w="751"/>
        <w:gridCol w:w="92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序号</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计划名称</w:t>
            </w:r>
          </w:p>
        </w:tc>
        <w:tc>
          <w:tcPr>
            <w:tcW w:w="2415"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抽查事项</w:t>
            </w:r>
          </w:p>
        </w:tc>
        <w:tc>
          <w:tcPr>
            <w:tcW w:w="2510"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抽查对象范围</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抽查类别</w:t>
            </w:r>
          </w:p>
        </w:tc>
        <w:tc>
          <w:tcPr>
            <w:tcW w:w="1184" w:type="dxa"/>
            <w:shd w:val="clear" w:color="auto" w:fill="auto"/>
            <w:vAlign w:val="center"/>
          </w:tcPr>
          <w:p>
            <w:pPr>
              <w:widowControl/>
              <w:spacing w:beforeLines="0" w:afterLines="0" w:line="240" w:lineRule="exact"/>
              <w:jc w:val="center"/>
              <w:textAlignment w:val="center"/>
              <w:rPr>
                <w:rFonts w:hint="eastAsia" w:ascii="Times New Roman" w:hAnsi="Times New Roman" w:eastAsia="方正黑体_GBK" w:cs="方正黑体_GBK"/>
                <w:bCs/>
                <w:color w:val="000000"/>
                <w:kern w:val="0"/>
                <w:sz w:val="21"/>
                <w:szCs w:val="21"/>
                <w:lang w:bidi="ar"/>
              </w:rPr>
            </w:pPr>
            <w:r>
              <w:rPr>
                <w:rFonts w:hint="eastAsia" w:ascii="Times New Roman" w:hAnsi="Times New Roman" w:eastAsia="方正黑体_GBK" w:cs="方正黑体_GBK"/>
                <w:bCs/>
                <w:color w:val="000000"/>
                <w:kern w:val="0"/>
                <w:sz w:val="21"/>
                <w:szCs w:val="21"/>
                <w:lang w:bidi="ar"/>
              </w:rPr>
              <w:t>抽取对象</w:t>
            </w:r>
          </w:p>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数量（户）</w:t>
            </w:r>
          </w:p>
        </w:tc>
        <w:tc>
          <w:tcPr>
            <w:tcW w:w="760" w:type="dxa"/>
            <w:shd w:val="clear" w:color="auto" w:fill="auto"/>
            <w:vAlign w:val="center"/>
          </w:tcPr>
          <w:p>
            <w:pPr>
              <w:widowControl/>
              <w:spacing w:beforeLines="0" w:afterLines="0" w:line="240" w:lineRule="exact"/>
              <w:jc w:val="center"/>
              <w:textAlignment w:val="center"/>
              <w:rPr>
                <w:rFonts w:hint="eastAsia" w:ascii="Times New Roman" w:hAnsi="Times New Roman" w:eastAsia="方正黑体_GBK" w:cs="方正黑体_GBK"/>
                <w:bCs/>
                <w:color w:val="000000"/>
                <w:kern w:val="0"/>
                <w:sz w:val="21"/>
                <w:szCs w:val="21"/>
                <w:lang w:bidi="ar"/>
              </w:rPr>
            </w:pPr>
            <w:r>
              <w:rPr>
                <w:rFonts w:hint="eastAsia" w:ascii="Times New Roman" w:hAnsi="Times New Roman" w:eastAsia="方正黑体_GBK" w:cs="方正黑体_GBK"/>
                <w:bCs/>
                <w:color w:val="000000"/>
                <w:kern w:val="0"/>
                <w:sz w:val="21"/>
                <w:szCs w:val="21"/>
                <w:lang w:bidi="ar"/>
              </w:rPr>
              <w:t>抽查</w:t>
            </w:r>
          </w:p>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比例</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抽查时间</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检查主体</w:t>
            </w:r>
          </w:p>
        </w:tc>
        <w:tc>
          <w:tcPr>
            <w:tcW w:w="825" w:type="dxa"/>
            <w:shd w:val="clear" w:color="auto" w:fill="auto"/>
            <w:vAlign w:val="center"/>
          </w:tcPr>
          <w:p>
            <w:pPr>
              <w:widowControl/>
              <w:spacing w:beforeLines="0" w:afterLines="0" w:line="240" w:lineRule="exact"/>
              <w:jc w:val="left"/>
              <w:textAlignment w:val="center"/>
              <w:rPr>
                <w:rFonts w:ascii="Times New Roman" w:hAnsi="Times New Roman" w:eastAsia="方正黑体_GBK" w:cs="方正黑体_GBK"/>
                <w:bCs/>
                <w:color w:val="000000"/>
                <w:spacing w:val="-11"/>
                <w:sz w:val="21"/>
                <w:szCs w:val="21"/>
              </w:rPr>
            </w:pPr>
            <w:r>
              <w:rPr>
                <w:rFonts w:hint="eastAsia" w:ascii="Times New Roman" w:hAnsi="Times New Roman" w:eastAsia="方正黑体_GBK" w:cs="方正黑体_GBK"/>
                <w:bCs/>
                <w:color w:val="000000"/>
                <w:spacing w:val="-11"/>
                <w:kern w:val="0"/>
                <w:sz w:val="21"/>
                <w:szCs w:val="21"/>
                <w:lang w:bidi="ar"/>
              </w:rPr>
              <w:t>意向联合的处室</w:t>
            </w:r>
          </w:p>
        </w:tc>
        <w:tc>
          <w:tcPr>
            <w:tcW w:w="751" w:type="dxa"/>
            <w:shd w:val="clear" w:color="auto" w:fill="auto"/>
            <w:vAlign w:val="center"/>
          </w:tcPr>
          <w:p>
            <w:pPr>
              <w:widowControl/>
              <w:spacing w:beforeLines="0" w:afterLines="0" w:line="240" w:lineRule="exact"/>
              <w:jc w:val="left"/>
              <w:textAlignment w:val="center"/>
              <w:rPr>
                <w:rFonts w:ascii="Times New Roman" w:hAnsi="Times New Roman" w:eastAsia="方正黑体_GBK" w:cs="方正黑体_GBK"/>
                <w:bCs/>
                <w:color w:val="000000"/>
                <w:spacing w:val="-11"/>
                <w:sz w:val="21"/>
                <w:szCs w:val="21"/>
              </w:rPr>
            </w:pPr>
            <w:r>
              <w:rPr>
                <w:rFonts w:hint="eastAsia" w:ascii="Times New Roman" w:hAnsi="Times New Roman" w:eastAsia="方正黑体_GBK" w:cs="方正黑体_GBK"/>
                <w:bCs/>
                <w:color w:val="000000"/>
                <w:spacing w:val="-14"/>
                <w:kern w:val="0"/>
                <w:sz w:val="21"/>
                <w:szCs w:val="21"/>
                <w:lang w:bidi="ar"/>
              </w:rPr>
              <w:t>是否意向跨部门</w:t>
            </w:r>
          </w:p>
        </w:tc>
        <w:tc>
          <w:tcPr>
            <w:tcW w:w="927" w:type="dxa"/>
            <w:shd w:val="clear" w:color="auto" w:fill="auto"/>
            <w:vAlign w:val="center"/>
          </w:tcPr>
          <w:p>
            <w:pPr>
              <w:widowControl/>
              <w:spacing w:beforeLines="0" w:afterLines="0" w:line="240" w:lineRule="exact"/>
              <w:jc w:val="left"/>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承办处室（单位）</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食品相关产品生产企业监督抽查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食品相关产品生产企业监督检查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食品相关产品生产获证企业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食品生产处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食品生产企业监督抽查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食品生产企业监督检查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肉制品，酒类，食品植物油、油脂及其制品，蜂产品，饮料，方便食品，罐头，速冻食品，蔬菜食品，糕点，食品添加剂生产获证企业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119</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食品生产企业监督检查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52</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kern w:val="0"/>
                <w:sz w:val="21"/>
                <w:szCs w:val="21"/>
                <w:lang w:bidi="ar"/>
              </w:rPr>
            </w:pPr>
            <w:r>
              <w:rPr>
                <w:rFonts w:hint="eastAsia" w:ascii="Times New Roman" w:hAnsi="Times New Roman" w:cs="方正仿宋_GBK"/>
                <w:color w:val="000000"/>
                <w:kern w:val="0"/>
                <w:sz w:val="21"/>
                <w:szCs w:val="21"/>
                <w:lang w:bidi="ar"/>
              </w:rPr>
              <w:t>市场类标准监督</w:t>
            </w:r>
          </w:p>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企业标准自我声明监督检查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各区县企业在“企业标准信息公共服务平台”自我声明公开的现行有效的企业标准</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标准化处、各区县市场监管部门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标准化处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团体标准自我声明监督检查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社会团体在“全国团体标准信息平台”自我声明公开的现行有效的团体标准</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标准化处、各区县市场监管部门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餐饮服务监督检查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除学校（含幼儿园）食堂、养老机构食堂之外的其他食堂</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除学校（含幼儿园）食堂、养老机构食堂之外的其他食堂</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餐饮处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r>
              <w:rPr>
                <w:rFonts w:hint="eastAsia" w:ascii="Times New Roman" w:hAnsi="Times New Roman" w:cs="方正仿宋_GBK"/>
                <w:color w:val="000000"/>
                <w:sz w:val="21"/>
                <w:szCs w:val="21"/>
              </w:rPr>
              <w:t>增加</w:t>
            </w:r>
            <w:r>
              <w:rPr>
                <w:rFonts w:ascii="Times New Roman" w:hAnsi="Times New Roman" w:cs="方正仿宋_GBK"/>
                <w:color w:val="000000"/>
                <w:sz w:val="21"/>
                <w:szCs w:val="21"/>
              </w:rPr>
              <w:t>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社会餐饮服务日常监督检查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特大、大、中、小、微型餐饮服务提供者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5800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875"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特种设备使用单位监督检查</w:t>
            </w:r>
          </w:p>
        </w:tc>
        <w:tc>
          <w:tcPr>
            <w:tcW w:w="2415" w:type="dxa"/>
            <w:shd w:val="clear" w:color="auto" w:fill="FFFFFF"/>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特种设备使用单位监督检查</w:t>
            </w:r>
          </w:p>
        </w:tc>
        <w:tc>
          <w:tcPr>
            <w:tcW w:w="2510" w:type="dxa"/>
            <w:shd w:val="clear" w:color="auto" w:fill="FFFFFF"/>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特种设备使用单位（优先安排重点监督检查的使用单位）</w:t>
            </w:r>
          </w:p>
        </w:tc>
        <w:tc>
          <w:tcPr>
            <w:tcW w:w="1185"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2057</w:t>
            </w:r>
          </w:p>
        </w:tc>
        <w:tc>
          <w:tcPr>
            <w:tcW w:w="760"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2-12月</w:t>
            </w:r>
          </w:p>
        </w:tc>
        <w:tc>
          <w:tcPr>
            <w:tcW w:w="1192"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FFFFFF"/>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FFFFFF"/>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机电处、承压处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承压特种设备获证生产企业证后监督检查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承压特种设备获证生产企业监督检查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全市承压特种设备获证生产企业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特种设备检验检测机构交叉检查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特种设备检验检测机构交叉检查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全市气瓶、安全阀检验检测机构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产品质量监督抽查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生产领域产品质量监督抽查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全市工业产品生产企业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质监处、各区县市场监管部门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质监处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kern w:val="0"/>
                <w:sz w:val="21"/>
                <w:szCs w:val="21"/>
                <w:lang w:bidi="ar"/>
              </w:rPr>
            </w:pPr>
            <w:r>
              <w:rPr>
                <w:rFonts w:hint="eastAsia" w:ascii="Times New Roman" w:hAnsi="Times New Roman" w:cs="方正仿宋_GBK"/>
                <w:color w:val="000000"/>
                <w:kern w:val="0"/>
                <w:sz w:val="21"/>
                <w:szCs w:val="21"/>
                <w:lang w:bidi="ar"/>
              </w:rPr>
              <w:t>工业产品生产许可证产品生产企业</w:t>
            </w:r>
          </w:p>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重点产品质量安全隐患排查及专项整治</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危险化学品、危险化学品包装物、危险化学品车载罐体等重点工业产品生产许可获证企业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市局自定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钢铁、水泥产品生产许可获证企业专项监督检查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钢铁、水泥产品生产许可获证企业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工业产品生产许可获证企业日常检查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工业产品生产许可获证企业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一般事项检查</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ascii="Times New Roman" w:hAnsi="Times New Roman" w:cs="方正仿宋_GBK"/>
                <w:color w:val="000000"/>
                <w:kern w:val="0"/>
                <w:sz w:val="21"/>
                <w:szCs w:val="21"/>
                <w:lang w:bidi="ar"/>
              </w:rPr>
              <w:t>3-</w:t>
            </w:r>
            <w:r>
              <w:rPr>
                <w:rFonts w:hint="eastAsia" w:ascii="Times New Roman" w:hAnsi="Times New Roman" w:cs="方正仿宋_GBK"/>
                <w:color w:val="000000"/>
                <w:kern w:val="0"/>
                <w:sz w:val="21"/>
                <w:szCs w:val="21"/>
                <w:lang w:bidi="ar"/>
              </w:rPr>
              <w:t>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机电类特种设备生产单位监督检查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机电类特种设备生产单位监督检查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市局发证的机电类特种设备生产单位</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一般事项检查</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机电处</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食品销售监督检查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校园及周边食品销售监督检查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校园及校园周边食品销售者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9719</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特殊食品处</w:t>
            </w: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食品经营处</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总局要求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较高和高风险食品销售监督检查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风险等级为B、C、D级的食品销售者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6523</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特殊食品处</w:t>
            </w: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一般风险食品销售监督检查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风险等级为A级的食品销售者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4753</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特殊食品处</w:t>
            </w: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网络食品销售监督检查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已备案的网络食品交易第三方平台</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总局要求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入网食品销售者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495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12</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食用农产品市场销售质量安全检查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食用农产品集中交易市场监督检查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食用农产品集中交易市场（含批发市场和农贸市场）</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1094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总局要求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食用农产品销售企业（者）监督检查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食用农产品批发经营者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4001</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食用农产品零售经营者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1115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特殊食品生产经营监督检查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保健食品生产监督检查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本地保健食品生产企业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特殊食品处</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总局要求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特殊食品专营监督检查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专营特殊食品的经营者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338</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特殊食品药店经营监督检查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经营特殊食品的药店</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1685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特殊食品商超经营监督检查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经营特殊食品的商超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295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特殊食品贸易商经营监督检查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经营特殊食品的贸易商</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189</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特殊食品销售者、食杂店、便利店经营监督检查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经营特殊食品的销售者、食杂店、便利店</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3798</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14</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在用计量器具监督检查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企业、事业单位、个体工商户及其他经营者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法定计量检定机构专项监督检查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法定计量检定机构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计量处、有关区县市场监管部门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法定计量单位使用情况专项监督检查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宣传出版、文化教育、市场交易等领域</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定量包装商品净含量、商品包装计量监督专项抽查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企业、个体工商户及其他经营者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型式批准监督检查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企业、事业单位、个体工商户及其他经营者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23.8%</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计量处、有关区县市场监管部门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计量标准器核准监督检查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计量检定机构、建标工业企业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计量处、有关区县市场监管部门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能效标识计量专项监督检查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3-9月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水效标识计量专项监督检查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3-9月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有关区县市场监管部门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5"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15</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电子商务经营行为监督</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电子商务平台经营者履行主体责任的检查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本市网络交易平台</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ascii="Times New Roman" w:hAnsi="Times New Roman" w:cs="方正仿宋_GBK"/>
                <w:color w:val="000000"/>
                <w:kern w:val="0"/>
                <w:sz w:val="21"/>
                <w:szCs w:val="21"/>
                <w:lang w:bidi="ar"/>
              </w:rPr>
              <w:t>58</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ascii="Times New Roman" w:hAnsi="Times New Roman" w:cs="方正仿宋_GBK"/>
                <w:color w:val="000000"/>
                <w:kern w:val="0"/>
                <w:sz w:val="21"/>
                <w:szCs w:val="21"/>
                <w:lang w:bidi="ar"/>
              </w:rPr>
              <w:t>100</w:t>
            </w:r>
            <w:r>
              <w:rPr>
                <w:rFonts w:hint="eastAsia" w:ascii="Times New Roman" w:hAnsi="Times New Roman" w:cs="方正仿宋_GBK"/>
                <w:color w:val="000000"/>
                <w:kern w:val="0"/>
                <w:sz w:val="21"/>
                <w:szCs w:val="21"/>
                <w:lang w:bidi="ar"/>
              </w:rPr>
              <w:t>%</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有关各区县市场监管部门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网监处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16</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拍卖领域市场规范管理</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拍卖活动经营资格的检查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企业经营范围中包含“拍卖”且尚未取得商委许可的企业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ascii="Times New Roman" w:hAnsi="Times New Roman" w:cs="方正仿宋_GBK"/>
                <w:color w:val="000000"/>
                <w:kern w:val="0"/>
                <w:sz w:val="21"/>
                <w:szCs w:val="21"/>
                <w:lang w:bidi="ar"/>
              </w:rPr>
              <w:t>54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17</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检验检测机构检查</w:t>
            </w:r>
          </w:p>
        </w:tc>
        <w:tc>
          <w:tcPr>
            <w:tcW w:w="2415"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检验检测机构检查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生态环境监测机构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市生态环境局</w:t>
            </w: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机动车检验机构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市生态环境局、市公安局</w:t>
            </w: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建设类检验机构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其他检验检测机构（除生态环境监测、机动车检验、建设类检验机构）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机动车检验机构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87%</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restart"/>
            <w:shd w:val="clear" w:color="auto" w:fill="auto"/>
            <w:vAlign w:val="center"/>
          </w:tcPr>
          <w:p>
            <w:pPr>
              <w:widowControl/>
              <w:spacing w:beforeLines="0" w:afterLines="0" w:line="240" w:lineRule="exac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市局抽查的，区县局不重复抽查。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其他检验检测机构(除机动车检验机构以外)</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207</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18</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获证产品认证有效性检查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CCC认证产品认证有效性抽查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CCC认证目录内的获证组织</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CCC认证产品监督抽查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CCC认证目录内的获证产品</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294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认监处、质监处</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认监处、质监处</w:t>
            </w:r>
          </w:p>
        </w:tc>
        <w:tc>
          <w:tcPr>
            <w:tcW w:w="1069"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r>
              <w:rPr>
                <w:rFonts w:hint="eastAsia" w:ascii="Times New Roman" w:hAnsi="Times New Roman" w:cs="方正仿宋_GBK"/>
                <w:color w:val="000000"/>
                <w:sz w:val="21"/>
                <w:szCs w:val="21"/>
              </w:rPr>
              <w:t>质监处提供监督抽查数据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CCC认证产品认证有效</w:t>
            </w:r>
            <w:r>
              <w:rPr>
                <w:rFonts w:ascii="Times New Roman" w:hAnsi="Times New Roman" w:cs="方正仿宋_GBK"/>
                <w:color w:val="000000"/>
                <w:kern w:val="0"/>
                <w:sz w:val="21"/>
                <w:szCs w:val="21"/>
                <w:lang w:bidi="ar"/>
              </w:rPr>
              <w:t>性</w:t>
            </w:r>
            <w:r>
              <w:rPr>
                <w:rFonts w:hint="eastAsia" w:ascii="Times New Roman" w:hAnsi="Times New Roman" w:cs="方正仿宋_GBK"/>
                <w:color w:val="000000"/>
                <w:kern w:val="0"/>
                <w:sz w:val="21"/>
                <w:szCs w:val="21"/>
                <w:lang w:bidi="ar"/>
              </w:rPr>
              <w:t>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CCC认证目录内的获证组织</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196</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有机认证产品认证有效性抽查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有机认证目录内的获证组织</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认监处、有关区县市场监管部门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管理体系认证有效性抽查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管理体系认证获证组织</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86</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19</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广告行为检查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广告经营者、广告发布者建立、健全广告业务的承接登记、审核、档案管理制度情况的检查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企业、个体工商户及其它经营单位</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1372</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7—9月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广告处</w:t>
            </w:r>
          </w:p>
        </w:tc>
        <w:tc>
          <w:tcPr>
            <w:tcW w:w="1069"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纳入《2021年综合抽查任务》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广告发布登记情况的检查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企业、个体工商户及其它经营单位</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药品、医疗器械、保健食品、特殊医学用途配方食品广告主发布相关广告的审查批准情况的检查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企业、个体工商户及其它经营单位</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8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登记事项、年报公示信息检查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登记事项检查8项：营业执照（登记证）规范使用情况的检查、名称规范使用情况的检查、经营（驻在）期 限的检查、经营（业务）范 围中无需审批的 经营（业务）项目的检查、住所（经营范围）或驻在场所的检查、注册资本实缴情况的检查、法定代表人（负责人）任职情况的检查、法定代表人、自然人股东身份真实性的检查、年度报告公示信息的检查、即时公示信息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已报送2020年度年报的企业（2020年已抽查的企业除外）</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企业处</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企业3%，23340户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拍卖等重要领域市场规范管理检查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文物经营活动经营资格</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消保处</w:t>
            </w:r>
          </w:p>
        </w:tc>
        <w:tc>
          <w:tcPr>
            <w:tcW w:w="1069"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纳入《2021年综合抽查任务》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为非法经营野生动物提供服务</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22</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价格行为检查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执行政府定价、政府指导价情况，明码标价情况及其他价格行为的检查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《价格法》规定的经营者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双反处、各区县市场监管部门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双反处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直销行为检查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重大变更、直销员报酬支付、信息报备和披露的情况的检查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直销企业总公司</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双反处</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市局自定     纳入《2021年综合抽查任务》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24</w:t>
            </w:r>
          </w:p>
        </w:tc>
        <w:tc>
          <w:tcPr>
            <w:tcW w:w="1875" w:type="dxa"/>
            <w:vMerge w:val="restart"/>
            <w:shd w:val="clear" w:color="auto" w:fill="auto"/>
            <w:vAlign w:val="center"/>
          </w:tcPr>
          <w:p>
            <w:pPr>
              <w:widowControl/>
              <w:spacing w:beforeLines="0" w:afterLines="0" w:line="240" w:lineRule="exact"/>
              <w:jc w:val="center"/>
              <w:textAlignment w:val="top"/>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br w:type="textWrapping"/>
            </w:r>
            <w:r>
              <w:rPr>
                <w:rFonts w:hint="eastAsia" w:ascii="Times New Roman" w:hAnsi="Times New Roman" w:cs="方正仿宋_GBK"/>
                <w:color w:val="000000"/>
                <w:kern w:val="0"/>
                <w:sz w:val="21"/>
                <w:szCs w:val="21"/>
                <w:lang w:bidi="ar"/>
              </w:rPr>
              <w:t>专利真实性监督检查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专利证书、专利文件或专利申请文件真实性的检查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市知识产权局</w:t>
            </w:r>
          </w:p>
        </w:tc>
        <w:tc>
          <w:tcPr>
            <w:tcW w:w="1069"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纳入《2021年综合抽查任务》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产品专利宣传真实性的检查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25</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商标使用行为的检查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商标使用行为的检查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集体商标、证明商标（含地理标志）使用行为的检查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商标印刷行为的检查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26</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专利代理机构主体资格和执业资质检查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9-11月</w:t>
            </w:r>
          </w:p>
        </w:tc>
        <w:tc>
          <w:tcPr>
            <w:tcW w:w="1192"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市知识产权局</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专利代理机构设立、变更、注销办事机构情况的检查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9-11月</w:t>
            </w:r>
          </w:p>
        </w:tc>
        <w:tc>
          <w:tcPr>
            <w:tcW w:w="1192"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r>
              <w:rPr>
                <w:rFonts w:hint="eastAsia" w:ascii="Times New Roman" w:hAnsi="Times New Roman" w:cs="方正仿宋_GBK"/>
                <w:color w:val="000000"/>
                <w:kern w:val="0"/>
                <w:sz w:val="21"/>
                <w:szCs w:val="21"/>
                <w:lang w:bidi="ar"/>
              </w:rPr>
              <w:br w:type="textWrapping"/>
            </w:r>
            <w:r>
              <w:rPr>
                <w:rFonts w:hint="eastAsia" w:ascii="Times New Roman" w:hAnsi="Times New Roman" w:cs="方正仿宋_GBK"/>
                <w:color w:val="000000"/>
                <w:kern w:val="0"/>
                <w:sz w:val="21"/>
                <w:szCs w:val="21"/>
                <w:lang w:bidi="ar"/>
              </w:rPr>
              <w:t>专利代理人执业行为检查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1004"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9-11月</w:t>
            </w:r>
          </w:p>
        </w:tc>
        <w:tc>
          <w:tcPr>
            <w:tcW w:w="1192"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专利代理人</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192"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专利代理机构年度报告和信息公示情况核查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9-11月</w:t>
            </w:r>
          </w:p>
        </w:tc>
        <w:tc>
          <w:tcPr>
            <w:tcW w:w="1192"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16027" w:type="dxa"/>
            <w:gridSpan w:val="13"/>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说明：抽查计划26个，抽查事项60项，其中重点抽查事项24项，一般抽查事项36项。市场主体平均抽查比例2.5%，抽取对象73,305户。</w:t>
            </w:r>
          </w:p>
        </w:tc>
      </w:tr>
    </w:tbl>
    <w:p>
      <w:pPr>
        <w:spacing w:line="100" w:lineRule="exact"/>
        <w:jc w:val="center"/>
        <w:rPr>
          <w:rFonts w:ascii="Times New Roman" w:hAnsi="Times New Roman" w:eastAsia="方正小标宋_GBK" w:cs="方正小标宋_GBK"/>
          <w:sz w:val="44"/>
          <w:szCs w:val="44"/>
        </w:rPr>
      </w:pPr>
    </w:p>
    <w:p>
      <w:pPr>
        <w:spacing w:beforeLines="0" w:afterLines="0" w:line="100" w:lineRule="exact"/>
        <w:ind w:firstLine="0" w:firstLineChars="0"/>
        <w:rPr>
          <w:rFonts w:hint="eastAsia" w:cs="方正仿宋_GBK"/>
          <w:szCs w:val="32"/>
        </w:rPr>
        <w:sectPr>
          <w:pgSz w:w="16838" w:h="11906" w:orient="landscape"/>
          <w:pgMar w:top="1531" w:right="2098" w:bottom="1531" w:left="1985" w:header="851" w:footer="1474" w:gutter="0"/>
          <w:pgNumType w:fmt="decimal"/>
          <w:cols w:space="0" w:num="1"/>
          <w:rtlGutter w:val="0"/>
          <w:docGrid w:type="linesAndChars" w:linePitch="589" w:charSpace="-849"/>
        </w:sectPr>
      </w:pPr>
    </w:p>
    <w:p>
      <w:pPr>
        <w:spacing w:beforeLines="0" w:afterLines="0" w:line="100" w:lineRule="exact"/>
        <w:ind w:firstLine="0" w:firstLineChars="0"/>
        <w:rPr>
          <w:rFonts w:hint="eastAsia" w:cs="方正仿宋_GBK"/>
          <w:szCs w:val="32"/>
        </w:rPr>
      </w:pPr>
    </w:p>
    <w:p>
      <w:pPr>
        <w:ind w:firstLine="632" w:firstLineChars="200"/>
        <w:rPr>
          <w:rFonts w:hint="eastAsia" w:cs="方正仿宋_GBK"/>
          <w:szCs w:val="32"/>
        </w:rPr>
      </w:pPr>
    </w:p>
    <w:p>
      <w:pPr>
        <w:rPr>
          <w:rFonts w:cs="方正仿宋_GBK"/>
          <w:szCs w:val="32"/>
        </w:rPr>
      </w:pPr>
      <w:r>
        <w:rPr>
          <w:rFonts w:hint="eastAsia" w:cs="方正仿宋_GBK"/>
          <w:szCs w:val="32"/>
        </w:rPr>
        <w:br w:type="page"/>
      </w:r>
    </w:p>
    <w:p>
      <w:pPr>
        <w:rPr>
          <w:rFonts w:cs="方正仿宋_GBK"/>
          <w:szCs w:val="32"/>
        </w:rPr>
      </w:pPr>
    </w:p>
    <w:p/>
    <w:p/>
    <w:p/>
    <w:p/>
    <w:p/>
    <w:p/>
    <w:p/>
    <w:p/>
    <w:p/>
    <w:p/>
    <w:p/>
    <w:p/>
    <w:p/>
    <w:p/>
    <w:p/>
    <w:p>
      <w:pPr>
        <w:spacing w:line="570" w:lineRule="exact"/>
        <w:ind w:firstLine="276" w:firstLineChars="100"/>
        <w:rPr>
          <w:sz w:val="28"/>
          <w:szCs w:val="28"/>
        </w:rPr>
      </w:pPr>
    </w:p>
    <w:p>
      <w:pPr>
        <w:spacing w:beforeLines="0" w:afterLines="0" w:line="300" w:lineRule="exact"/>
        <w:rPr>
          <w:rFonts w:hint="eastAsia"/>
          <w:sz w:val="28"/>
          <w:szCs w:val="28"/>
          <w:lang w:val="en-US"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ge">
                  <wp:posOffset>7833995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616.85pt;height:0pt;width:441pt;mso-position-horizontal-relative:margin;mso-position-vertical-relative:page;z-index:251663360;mso-width-relative:page;mso-height-relative:page;" filled="f" stroked="t" coordsize="21600,21600" o:gfxdata="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nmzJ1gAAAAoBAAAPAAAA&#10;AAAAAAEAIAAAACIAAABkcnMvZG93bnJldi54bWxQSwECFAAUAAAACACHTuJAZfw0Ad4BAADRAwAA&#10;DgAAAAAAAAABACAAAAAlAQAAZHJzL2Uyb0RvYy54bWxQSwUGAAAAAAYABgBZAQAAdQUAAAAA&#10;">
                <v:fill on="f" focussize="0,0"/>
                <v:stroke weight="1pt" color="#000000" joinstyle="round"/>
                <v:imagedata o:title=""/>
                <o:lock v:ext="edit" aspectratio="f"/>
              </v:line>
            </w:pict>
          </mc:Fallback>
        </mc:AlternateContent>
      </w:r>
      <w:r>
        <w:rPr>
          <w:rFonts w:hint="eastAsia"/>
          <w:sz w:val="28"/>
          <w:szCs w:val="28"/>
          <w:lang w:val="en-US" w:eastAsia="zh-CN"/>
        </w:rPr>
        <w:t xml:space="preserve"> </w:t>
      </w:r>
    </w:p>
    <w:p>
      <w:pPr>
        <w:spacing w:line="570" w:lineRule="exact"/>
        <w:rPr>
          <w:rFonts w:hint="eastAsia"/>
          <w:sz w:val="28"/>
          <w:szCs w:val="28"/>
          <w:lang w:val="en-US" w:eastAsia="zh-CN"/>
        </w:rPr>
      </w:pPr>
      <w:r>
        <w:rPr>
          <w:rFonts w:hint="eastAsia"/>
          <w:sz w:val="28"/>
          <w:szCs w:val="28"/>
          <w:lang w:val="en-US" w:eastAsia="zh-CN"/>
        </w:rPr>
        <w:t xml:space="preserve">  主送：食品生产处、食品经营处、餐饮处、特殊食品处、质监处、机</w:t>
      </w:r>
    </w:p>
    <w:p>
      <w:pPr>
        <w:spacing w:line="570" w:lineRule="exact"/>
        <w:ind w:firstLine="1080" w:firstLineChars="400"/>
        <w:rPr>
          <w:rFonts w:hint="eastAsia"/>
          <w:spacing w:val="-3"/>
          <w:sz w:val="28"/>
          <w:szCs w:val="28"/>
          <w:lang w:val="en-US" w:eastAsia="zh-CN"/>
        </w:rPr>
      </w:pPr>
      <w:r>
        <w:rPr>
          <w:rFonts w:hint="eastAsia"/>
          <w:spacing w:val="-3"/>
          <w:sz w:val="28"/>
          <w:szCs w:val="28"/>
          <w:lang w:val="en-US" w:eastAsia="zh-CN"/>
        </w:rPr>
        <w:t>电处、承压处、风管处、双反处、消保处、计量处、标准化处、</w:t>
      </w:r>
    </w:p>
    <w:p>
      <w:pPr>
        <w:spacing w:line="570" w:lineRule="exact"/>
        <w:ind w:firstLine="1104" w:firstLineChars="400"/>
        <w:rPr>
          <w:rFonts w:hint="eastAsia"/>
          <w:sz w:val="28"/>
          <w:szCs w:val="28"/>
          <w:lang w:val="en-US" w:eastAsia="zh-CN"/>
        </w:rPr>
      </w:pPr>
      <w:r>
        <w:rPr>
          <w:sz w:val="28"/>
          <w:szCs w:val="28"/>
        </w:rPr>
        <mc:AlternateContent>
          <mc:Choice Requires="wps">
            <w:drawing>
              <wp:anchor distT="0" distB="0" distL="114935" distR="114935" simplePos="0" relativeHeight="251664384" behindDoc="0" locked="0" layoutInCell="1" allowOverlap="1">
                <wp:simplePos x="0" y="0"/>
                <wp:positionH relativeFrom="margin">
                  <wp:posOffset>0</wp:posOffset>
                </wp:positionH>
                <wp:positionV relativeFrom="page">
                  <wp:posOffset>8999220</wp:posOffset>
                </wp:positionV>
                <wp:extent cx="5600700" cy="0"/>
                <wp:effectExtent l="0" t="0" r="0" b="0"/>
                <wp:wrapNone/>
                <wp:docPr id="7" name="直线 20"/>
                <wp:cNvGraphicFramePr/>
                <a:graphic xmlns:a="http://schemas.openxmlformats.org/drawingml/2006/main">
                  <a:graphicData uri="http://schemas.microsoft.com/office/word/2010/wordprocessingShape">
                    <wps:wsp>
                      <wps:cNvCnPr/>
                      <wps:spPr>
                        <a:xfrm>
                          <a:off x="0" y="0"/>
                          <a:ext cx="5600700" cy="0"/>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0pt;margin-top:708.6pt;height:0pt;width:441pt;mso-position-horizontal-relative:margin;mso-position-vertical-relative:page;z-index:251664384;mso-width-relative:page;mso-height-relative:page;" filled="f" stroked="t" coordsize="21600,21600" o:gfxdata="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Jn9Y9cA&#10;AAAKAQAADwAAAAAAAAABACAAAAAiAAAAZHJzL2Rvd25yZXYueG1sUEsBAhQAFAAAAAgAh07iQLeF&#10;i27nAQAA3AMAAA4AAAAAAAAAAQAgAAAAJgEAAGRycy9lMm9Eb2MueG1sUEsFBgAAAAAGAAYAWQEA&#10;AH8FAAAAAA==&#10;">
                <v:fill on="f" focussize="0,0"/>
                <v:stroke weight="0.7pt" color="#000000" joinstyle="round"/>
                <v:imagedata o:title=""/>
                <o:lock v:ext="edit" aspectratio="f"/>
              </v:line>
            </w:pict>
          </mc:Fallback>
        </mc:AlternateContent>
      </w:r>
      <w:r>
        <w:rPr>
          <w:rFonts w:hint="eastAsia"/>
          <w:sz w:val="28"/>
          <w:szCs w:val="28"/>
          <w:lang w:val="en-US" w:eastAsia="zh-CN"/>
        </w:rPr>
        <w:t>网监处、广告处、认监处、企业处。</w:t>
      </w: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23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EpS81gAAAAoBAAAP&#10;AAAAAAAAAAEAIAAAACIAAABkcnMvZG93bnJldi54bWxQSwECFAAUAAAACACHTuJAE7Iqa+EBAADR&#10;AwAADgAAAAAAAAABACAAAAAlAQAAZHJzL2Uyb0RvYy54bWxQSwUGAAAAAAYABgBZAQAAeAU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2021年2月8日</w:t>
      </w:r>
      <w:r>
        <w:rPr>
          <w:sz w:val="28"/>
          <w:szCs w:val="28"/>
        </w:rPr>
        <w:t>印发</w:t>
      </w:r>
    </w:p>
    <w:sectPr>
      <w:footerReference r:id="rId4" w:type="default"/>
      <w:pgSz w:w="11906" w:h="16838"/>
      <w:pgMar w:top="2098" w:right="1531" w:bottom="1984" w:left="1531" w:header="851" w:footer="1474"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3</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3</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revisionView w:markup="0"/>
  <w:trackRevisions w:val="1"/>
  <w:documentProtection w:enforcement="0"/>
  <w:defaultTabStop w:val="425"/>
  <w:doNotHyphenateCaps/>
  <w:drawingGridHorizontalSpacing w:val="158"/>
  <w:drawingGridVerticalSpacing w:val="29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zc4MzY3MzhmNDUxMWFhMmM0ZjQ1YmEyMjIwMTQifQ=="/>
  </w:docVars>
  <w:rsids>
    <w:rsidRoot w:val="00CE3AB1"/>
    <w:rsid w:val="00000382"/>
    <w:rsid w:val="00003093"/>
    <w:rsid w:val="0000329F"/>
    <w:rsid w:val="00007FC6"/>
    <w:rsid w:val="000116DA"/>
    <w:rsid w:val="00013335"/>
    <w:rsid w:val="000134F9"/>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18CD"/>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069F"/>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D7778"/>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0C2"/>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335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C2C272F"/>
    <w:rsid w:val="0C9F6CEF"/>
    <w:rsid w:val="0FDA194E"/>
    <w:rsid w:val="14365A7C"/>
    <w:rsid w:val="1C205163"/>
    <w:rsid w:val="20264985"/>
    <w:rsid w:val="235B1C57"/>
    <w:rsid w:val="26AA0D23"/>
    <w:rsid w:val="27854499"/>
    <w:rsid w:val="320E1020"/>
    <w:rsid w:val="34DC344C"/>
    <w:rsid w:val="3D0D5C68"/>
    <w:rsid w:val="3E350F4E"/>
    <w:rsid w:val="43CA1391"/>
    <w:rsid w:val="4924337C"/>
    <w:rsid w:val="4B161173"/>
    <w:rsid w:val="50407AE2"/>
    <w:rsid w:val="52BE2942"/>
    <w:rsid w:val="53087649"/>
    <w:rsid w:val="5C792E0E"/>
    <w:rsid w:val="5EBF11A9"/>
    <w:rsid w:val="5EC24359"/>
    <w:rsid w:val="61C112D7"/>
    <w:rsid w:val="6F1B5E88"/>
    <w:rsid w:val="7457279E"/>
    <w:rsid w:val="7A2110D0"/>
    <w:rsid w:val="7C003CA8"/>
    <w:rsid w:val="7E7535BB"/>
    <w:rsid w:val="DE9F9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rPr>
      <w:rFonts w:cs="Times New Roman"/>
    </w:rPr>
  </w:style>
  <w:style w:type="character" w:styleId="10">
    <w:name w:val="FollowedHyperlink"/>
    <w:basedOn w:val="8"/>
    <w:qFormat/>
    <w:uiPriority w:val="0"/>
    <w:rPr>
      <w:color w:val="004080"/>
      <w:u w:val="single"/>
    </w:rPr>
  </w:style>
  <w:style w:type="character" w:styleId="11">
    <w:name w:val="Hyperlink"/>
    <w:basedOn w:val="8"/>
    <w:qFormat/>
    <w:uiPriority w:val="0"/>
    <w:rPr>
      <w:color w:val="0000FF"/>
      <w:u w:val="single"/>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3">
    <w:name w:val="font91"/>
    <w:basedOn w:val="8"/>
    <w:uiPriority w:val="0"/>
    <w:rPr>
      <w:rFonts w:hint="eastAsia" w:ascii="宋体" w:hAnsi="宋体" w:eastAsia="宋体" w:cs="宋体"/>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5296</Words>
  <Characters>5859</Characters>
  <Lines>10</Lines>
  <Paragraphs>2</Paragraphs>
  <TotalTime>0</TotalTime>
  <ScaleCrop>false</ScaleCrop>
  <LinksUpToDate>false</LinksUpToDate>
  <CharactersWithSpaces>5886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燊</cp:lastModifiedBy>
  <cp:lastPrinted>2019-08-28T10:07:00Z</cp:lastPrinted>
  <dcterms:modified xsi:type="dcterms:W3CDTF">2023-03-27T03:56:18Z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6C19153A209B44A7A65B03F66675D54F</vt:lpwstr>
  </property>
</Properties>
</file>