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7017" w:type="dxa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重庆市发展和改革委员会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重庆市教育委员会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tbl>
            <w:tblPr>
              <w:tblStyle w:val="16"/>
              <w:tblW w:w="701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1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7017" w:type="dxa"/>
                  <w:vAlign w:val="center"/>
                </w:tcPr>
                <w:p>
                  <w:pPr>
                    <w:spacing w:line="380" w:lineRule="exact"/>
                    <w:jc w:val="distribute"/>
                    <w:rPr>
                      <w:rFonts w:eastAsia="方正小标宋_GBK"/>
                      <w:color w:val="FF0000"/>
                      <w:spacing w:val="-20"/>
                      <w:w w:val="75"/>
                      <w:kern w:val="0"/>
                      <w:sz w:val="38"/>
                      <w:szCs w:val="38"/>
                    </w:rPr>
                  </w:pPr>
                  <w:r>
                    <w:rPr>
                      <w:rFonts w:hint="eastAsia" w:eastAsia="方正小标宋_GBK"/>
                      <w:color w:val="FF0000"/>
                      <w:w w:val="75"/>
                      <w:kern w:val="0"/>
                      <w:sz w:val="38"/>
                      <w:szCs w:val="38"/>
                    </w:rPr>
                    <w:t>重庆市经济和信息化委员会</w:t>
                  </w:r>
                </w:p>
              </w:tc>
            </w:tr>
          </w:tbl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重庆市公安局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重庆市人力资源和社会保障局</w:t>
            </w:r>
            <w:r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4565015</wp:posOffset>
                      </wp:positionH>
                      <wp:positionV relativeFrom="paragraph">
                        <wp:posOffset>135255</wp:posOffset>
                      </wp:positionV>
                      <wp:extent cx="1214755" cy="1215390"/>
                      <wp:effectExtent l="0" t="0" r="0" b="3810"/>
                      <wp:wrapNone/>
                      <wp:docPr id="4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755" cy="1215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600" w:lineRule="exact"/>
                                  </w:pPr>
                                  <w:r>
                                    <w:rPr>
                                      <w:rFonts w:hint="eastAsia" w:ascii="方正小标宋_GBK" w:eastAsia="方正小标宋_GBK"/>
                                      <w:color w:val="FF0000"/>
                                      <w:spacing w:val="40"/>
                                      <w:w w:val="48"/>
                                      <w:sz w:val="126"/>
                                      <w:szCs w:val="126"/>
                                    </w:rPr>
                                    <w:t>文</w:t>
                                  </w:r>
                                  <w:r>
                                    <w:rPr>
                                      <w:rFonts w:hint="eastAsia" w:ascii="方正小标宋_GBK" w:eastAsia="方正小标宋_GBK"/>
                                      <w:color w:val="FF0000"/>
                                      <w:spacing w:val="40"/>
                                      <w:w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小标宋_GBK" w:eastAsia="方正小标宋_GBK"/>
                                      <w:color w:val="FF0000"/>
                                      <w:spacing w:val="40"/>
                                      <w:w w:val="48"/>
                                      <w:sz w:val="126"/>
                                      <w:szCs w:val="126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359.45pt;margin-top:10.65pt;height:95.7pt;width:95.65pt;z-index:-251659264;mso-width-relative:page;mso-height-relative:page;" filled="f" stroked="f" coordsize="21600,21600" o:gfxdata="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PlwVXXAAAACgEAAA8AAAAAAAAA&#10;AQAgAAAAIgAAAGRycy9kb3ducmV2LnhtbFBLAQIUABQAAAAIAIdO4kCRJfJMoAEAABkDAAAOAAAA&#10;AAAAAAEAIAAAACYBAABkcnMvZTJvRG9jLnhtbFBLBQYAAAAABgAGAFkBAAA4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600" w:lineRule="exact"/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40"/>
                                <w:w w:val="48"/>
                                <w:sz w:val="126"/>
                                <w:szCs w:val="126"/>
                              </w:rPr>
                              <w:t>文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40"/>
                                <w:w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40"/>
                                <w:w w:val="48"/>
                                <w:sz w:val="126"/>
                                <w:szCs w:val="126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重庆市生态环境局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  <w:t>重庆市住房和城乡建设委员会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重庆市交通局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重庆市农业农村委员会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重庆市商务委员会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  <w:t>重庆市文化和旅游发展委员会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重庆市卫生健康委员会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重庆市应急管理局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重庆市公共资源交易监督管理局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国家税务总局重庆市税务局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textDirection w:val="lrTb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  <w:lang w:eastAsia="zh-CN"/>
              </w:rPr>
              <w:t>中华人民共和国</w:t>
            </w: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重庆海关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17" w:type="dxa"/>
            <w:vAlign w:val="center"/>
          </w:tcPr>
          <w:p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hint="eastAsia" w:eastAsia="方正小标宋_GBK"/>
                <w:color w:val="FF0000"/>
                <w:w w:val="75"/>
                <w:kern w:val="0"/>
                <w:sz w:val="38"/>
                <w:szCs w:val="38"/>
              </w:rPr>
              <w:t>重庆市消防救援总队</w:t>
            </w:r>
          </w:p>
        </w:tc>
      </w:tr>
    </w:tbl>
    <w:p>
      <w:pPr>
        <w:snapToGrid w:val="0"/>
        <w:spacing w:line="560" w:lineRule="exact"/>
      </w:pPr>
    </w:p>
    <w:p>
      <w:pPr>
        <w:snapToGrid w:val="0"/>
        <w:spacing w:line="560" w:lineRule="exact"/>
        <w:ind w:left="-14"/>
        <w:jc w:val="center"/>
        <w:rPr>
          <w:szCs w:val="32"/>
        </w:rPr>
      </w:pPr>
      <w:r>
        <w:rPr>
          <w:rFonts w:hint="eastAsia"/>
          <w:szCs w:val="32"/>
        </w:rPr>
        <w:t>渝市监发〔2020〕91号</w:t>
      </w:r>
    </w:p>
    <w:p>
      <w:pPr>
        <w:snapToGrid w:val="0"/>
        <w:spacing w:line="560" w:lineRule="exact"/>
        <w:ind w:left="-14"/>
        <w:jc w:val="center"/>
        <w:rPr>
          <w:rFonts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5615940" cy="0"/>
                <wp:effectExtent l="0" t="0" r="22860" b="19050"/>
                <wp:wrapTopAndBottom/>
                <wp:docPr id="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0.75pt;margin-top:6.05pt;height:0pt;width:442.2pt;mso-wrap-distance-bottom:0pt;mso-wrap-distance-top:0pt;z-index:251658240;mso-width-relative:page;mso-height-relative:page;" filled="f" stroked="t" coordsize="21600,21600" o:gfxdata="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72Huh1AAAAAcBAAAPAAAAAAAAAAEAIAAAACIAAABkcnMv&#10;ZG93bnJldi54bWxQSwECFAAUAAAACACHTuJAUI4vRs4BAACQAwAADgAAAAAAAAABACAAAAAjAQAA&#10;ZHJzL2Uyb0RvYy54bWxQSwUGAAAAAAYABgBZAQAAYw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djustRightInd w:val="0"/>
        <w:snapToGrid w:val="0"/>
        <w:spacing w:line="66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重庆市市场监督管理局等19部门</w:t>
      </w:r>
    </w:p>
    <w:p>
      <w:pPr>
        <w:adjustRightInd w:val="0"/>
        <w:snapToGrid w:val="0"/>
        <w:spacing w:line="66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关于印发重庆市市场监管领域部门联合抽查事项清单（第一版）的通知</w:t>
      </w:r>
    </w:p>
    <w:p>
      <w:pPr>
        <w:spacing w:line="520" w:lineRule="exact"/>
        <w:rPr>
          <w:rFonts w:ascii="方正仿宋_GBK"/>
          <w:szCs w:val="32"/>
        </w:rPr>
      </w:pPr>
    </w:p>
    <w:p>
      <w:pPr>
        <w:spacing w:line="52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为贯彻落实《国务院关于在市场监管领域全面推行部门联合“双随机、一公开”监管的意见》（国</w:t>
      </w:r>
      <w:r>
        <w:rPr>
          <w:szCs w:val="32"/>
        </w:rPr>
        <w:t>发〔2019〕5</w:t>
      </w:r>
      <w:r>
        <w:rPr>
          <w:rFonts w:hint="eastAsia" w:ascii="方正仿宋_GBK"/>
          <w:szCs w:val="32"/>
        </w:rPr>
        <w:t>号）、《国家市场监管总局</w:t>
      </w:r>
      <w:r>
        <w:rPr>
          <w:szCs w:val="32"/>
        </w:rPr>
        <w:t>等 16 部门关于印发〈市场监管领域部门联合抽查事项清单（第一版）〉的通知》（国市监信〔2020〕 111 号）要求，市市场监管局等1</w:t>
      </w:r>
      <w:r>
        <w:rPr>
          <w:rFonts w:hint="eastAsia"/>
          <w:szCs w:val="32"/>
        </w:rPr>
        <w:t>9</w:t>
      </w:r>
      <w:r>
        <w:rPr>
          <w:szCs w:val="32"/>
        </w:rPr>
        <w:t>个部门参</w:t>
      </w:r>
      <w:r>
        <w:rPr>
          <w:rFonts w:hint="eastAsia"/>
          <w:szCs w:val="32"/>
        </w:rPr>
        <w:t>照</w:t>
      </w:r>
      <w:r>
        <w:rPr>
          <w:rFonts w:hint="eastAsia" w:ascii="方正仿宋_GBK"/>
          <w:szCs w:val="32"/>
        </w:rPr>
        <w:t>国家层面的清单内容，按照检查领域、检查对象一致的原则，</w:t>
      </w:r>
      <w:r>
        <w:rPr>
          <w:rFonts w:ascii="方正仿宋_GBK"/>
          <w:szCs w:val="32"/>
        </w:rPr>
        <w:t>共同</w:t>
      </w:r>
      <w:r>
        <w:rPr>
          <w:rFonts w:hint="eastAsia" w:ascii="方正仿宋_GBK"/>
          <w:szCs w:val="32"/>
        </w:rPr>
        <w:t>研究制定了《重庆市市场监管领域部门联合抽查事项清单（第一版）》，经</w:t>
      </w:r>
      <w:r>
        <w:rPr>
          <w:rFonts w:hint="eastAsia" w:ascii="方正仿宋_GBK" w:cs="方正仿宋_GBK"/>
          <w:szCs w:val="32"/>
        </w:rPr>
        <w:t>市级市场监管领域部门联合“双随机、一公开”监管联席会议第</w:t>
      </w:r>
      <w:r>
        <w:rPr>
          <w:rFonts w:ascii="方正仿宋_GBK" w:cs="方正仿宋_GBK"/>
          <w:szCs w:val="32"/>
        </w:rPr>
        <w:t>二次会议审议通过，</w:t>
      </w:r>
      <w:r>
        <w:rPr>
          <w:rFonts w:hint="eastAsia" w:ascii="方正仿宋_GBK" w:cs="方正仿宋_GBK"/>
          <w:szCs w:val="32"/>
        </w:rPr>
        <w:t>现</w:t>
      </w:r>
      <w:r>
        <w:rPr>
          <w:rFonts w:hint="eastAsia" w:ascii="方正仿宋_GBK"/>
          <w:szCs w:val="32"/>
        </w:rPr>
        <w:t>印发《重庆市市场监管领域部门联合抽查事项清单（第一版）》，请</w:t>
      </w:r>
      <w:r>
        <w:rPr>
          <w:rFonts w:ascii="方正仿宋_GBK"/>
          <w:szCs w:val="32"/>
        </w:rPr>
        <w:t>各相关</w:t>
      </w:r>
      <w:r>
        <w:rPr>
          <w:rFonts w:hint="eastAsia" w:ascii="方正仿宋_GBK"/>
          <w:szCs w:val="32"/>
        </w:rPr>
        <w:t>部门</w:t>
      </w:r>
      <w:r>
        <w:rPr>
          <w:rFonts w:ascii="方正仿宋_GBK"/>
          <w:szCs w:val="32"/>
        </w:rPr>
        <w:t>依照清单内容，制定联合抽查计划，开展部门联合</w:t>
      </w:r>
      <w:r>
        <w:rPr>
          <w:rFonts w:hint="eastAsia" w:ascii="方正仿宋_GBK"/>
          <w:szCs w:val="32"/>
        </w:rPr>
        <w:t>“双随机、一公开”监管工作</w:t>
      </w:r>
      <w:r>
        <w:rPr>
          <w:rFonts w:ascii="方正仿宋_GBK"/>
          <w:szCs w:val="32"/>
        </w:rPr>
        <w:t>。</w:t>
      </w:r>
    </w:p>
    <w:p>
      <w:pPr>
        <w:ind w:firstLine="632" w:firstLineChars="200"/>
        <w:rPr>
          <w:rFonts w:ascii="方正仿宋_GBK"/>
          <w:szCs w:val="32"/>
        </w:rPr>
      </w:pP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附件</w:t>
      </w:r>
      <w:r>
        <w:rPr>
          <w:rFonts w:ascii="方正仿宋_GBK"/>
          <w:szCs w:val="32"/>
        </w:rPr>
        <w:t>：</w:t>
      </w:r>
      <w:r>
        <w:rPr>
          <w:rFonts w:hint="eastAsia" w:ascii="方正仿宋_GBK"/>
          <w:spacing w:val="-7"/>
          <w:szCs w:val="32"/>
        </w:rPr>
        <w:t>重庆市市场监管领域部门联合抽查事项清单（第一版）</w:t>
      </w:r>
    </w:p>
    <w:p>
      <w:pPr>
        <w:rPr>
          <w:rFonts w:ascii="方正仿宋_GBK"/>
          <w:szCs w:val="32"/>
        </w:rPr>
      </w:pPr>
    </w:p>
    <w:p>
      <w:pPr>
        <w:pStyle w:val="2"/>
        <w:spacing w:after="0" w:line="240" w:lineRule="auto"/>
        <w:ind w:left="632"/>
        <w:rPr>
          <w:sz w:val="32"/>
          <w:szCs w:val="32"/>
        </w:rPr>
      </w:pPr>
    </w:p>
    <w:p>
      <w:pPr>
        <w:rPr>
          <w:rFonts w:ascii="方正仿宋_GBK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 xml:space="preserve">市市场监管局  </w:t>
      </w:r>
      <w:r>
        <w:rPr>
          <w:rFonts w:ascii="方正仿宋_GBK"/>
          <w:spacing w:val="-20"/>
          <w:szCs w:val="32"/>
        </w:rPr>
        <w:t xml:space="preserve">  </w:t>
      </w:r>
      <w:r>
        <w:rPr>
          <w:rFonts w:hint="eastAsia" w:ascii="方正仿宋_GBK"/>
          <w:spacing w:val="-20"/>
          <w:szCs w:val="32"/>
        </w:rPr>
        <w:t xml:space="preserve">  </w:t>
      </w:r>
      <w:r>
        <w:rPr>
          <w:rFonts w:ascii="方正仿宋_GBK"/>
          <w:spacing w:val="-20"/>
          <w:szCs w:val="32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    市发展改革委       </w:t>
      </w:r>
      <w:r>
        <w:rPr>
          <w:rFonts w:ascii="方正仿宋_GBK"/>
          <w:spacing w:val="-20"/>
          <w:szCs w:val="32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 </w:t>
      </w:r>
      <w:r>
        <w:rPr>
          <w:rFonts w:ascii="方正仿宋_GBK"/>
          <w:spacing w:val="-20"/>
          <w:szCs w:val="32"/>
        </w:rPr>
        <w:t xml:space="preserve">   </w:t>
      </w:r>
      <w:r>
        <w:rPr>
          <w:rFonts w:hint="eastAsia" w:ascii="方正仿宋_GBK"/>
          <w:spacing w:val="-20"/>
          <w:szCs w:val="32"/>
        </w:rPr>
        <w:t>市教委</w:t>
      </w:r>
    </w:p>
    <w:p>
      <w:pPr>
        <w:rPr>
          <w:rFonts w:ascii="方正仿宋_GBK"/>
          <w:szCs w:val="32"/>
        </w:rPr>
      </w:pPr>
    </w:p>
    <w:p>
      <w:pPr>
        <w:rPr>
          <w:rFonts w:ascii="方正仿宋_GBK"/>
          <w:szCs w:val="32"/>
        </w:rPr>
      </w:pPr>
    </w:p>
    <w:p>
      <w:pPr>
        <w:rPr>
          <w:rFonts w:ascii="方正仿宋_GBK"/>
          <w:szCs w:val="32"/>
        </w:rPr>
      </w:pPr>
    </w:p>
    <w:p>
      <w:pPr>
        <w:pStyle w:val="2"/>
        <w:spacing w:after="0" w:line="240" w:lineRule="auto"/>
        <w:ind w:left="632"/>
        <w:rPr>
          <w:sz w:val="32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zCs w:val="32"/>
        </w:rPr>
      </w:pPr>
      <w:r>
        <w:rPr>
          <w:rFonts w:hint="eastAsia" w:ascii="方正仿宋_GBK"/>
          <w:spacing w:val="-20"/>
          <w:szCs w:val="32"/>
        </w:rPr>
        <w:t>市</w:t>
      </w:r>
      <w:r>
        <w:rPr>
          <w:rFonts w:ascii="方正仿宋_GBK"/>
          <w:spacing w:val="-20"/>
          <w:szCs w:val="32"/>
        </w:rPr>
        <w:t>经济信息委</w:t>
      </w:r>
      <w:r>
        <w:rPr>
          <w:rFonts w:hint="eastAsia" w:ascii="方正仿宋_GBK"/>
          <w:spacing w:val="-20"/>
          <w:szCs w:val="32"/>
        </w:rPr>
        <w:t xml:space="preserve">   </w:t>
      </w:r>
      <w:r>
        <w:rPr>
          <w:rFonts w:ascii="方正仿宋_GBK"/>
          <w:spacing w:val="-20"/>
          <w:szCs w:val="32"/>
        </w:rPr>
        <w:t xml:space="preserve">   </w:t>
      </w:r>
      <w:r>
        <w:rPr>
          <w:rFonts w:hint="eastAsia" w:ascii="方正仿宋_GBK"/>
          <w:spacing w:val="-20"/>
          <w:szCs w:val="32"/>
        </w:rPr>
        <w:t xml:space="preserve"> </w:t>
      </w:r>
      <w:r>
        <w:rPr>
          <w:rFonts w:ascii="方正仿宋_GBK"/>
          <w:spacing w:val="-20"/>
          <w:szCs w:val="32"/>
        </w:rPr>
        <w:t xml:space="preserve">        </w:t>
      </w:r>
      <w:r>
        <w:rPr>
          <w:rFonts w:hint="eastAsia" w:ascii="方正仿宋_GBK"/>
          <w:spacing w:val="-20"/>
          <w:szCs w:val="32"/>
        </w:rPr>
        <w:t>市公安局            市人力社保局</w:t>
      </w:r>
    </w:p>
    <w:p>
      <w:pPr>
        <w:rPr>
          <w:rFonts w:ascii="方正仿宋_GBK"/>
          <w:spacing w:val="-20"/>
          <w:szCs w:val="32"/>
        </w:rPr>
      </w:pPr>
    </w:p>
    <w:p>
      <w:pPr>
        <w:pStyle w:val="2"/>
      </w:pPr>
    </w:p>
    <w:p>
      <w:pPr>
        <w:ind w:firstLine="552" w:firstLineChars="200"/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 xml:space="preserve">市生态环境局          </w:t>
      </w:r>
      <w:r>
        <w:rPr>
          <w:rFonts w:ascii="方正仿宋_GBK"/>
          <w:spacing w:val="-20"/>
          <w:szCs w:val="32"/>
        </w:rPr>
        <w:t xml:space="preserve">   </w:t>
      </w:r>
      <w:r>
        <w:rPr>
          <w:rFonts w:hint="eastAsia" w:ascii="方正仿宋_GBK"/>
          <w:spacing w:val="-20"/>
          <w:szCs w:val="32"/>
        </w:rPr>
        <w:t>市住房城乡建委          市交通局</w:t>
      </w:r>
    </w:p>
    <w:p>
      <w:pPr>
        <w:rPr>
          <w:rFonts w:ascii="方正仿宋_GBK"/>
          <w:spacing w:val="-20"/>
          <w:szCs w:val="32"/>
        </w:rPr>
      </w:pPr>
    </w:p>
    <w:p>
      <w:pPr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 xml:space="preserve">市农业农村委  </w:t>
      </w:r>
      <w:r>
        <w:rPr>
          <w:rFonts w:ascii="方正仿宋_GBK"/>
          <w:spacing w:val="-20"/>
          <w:szCs w:val="32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           市商务委             市文化旅游委</w:t>
      </w:r>
    </w:p>
    <w:p>
      <w:pPr>
        <w:rPr>
          <w:rFonts w:ascii="方正仿宋_GBK"/>
          <w:spacing w:val="-20"/>
          <w:szCs w:val="32"/>
        </w:rPr>
      </w:pPr>
    </w:p>
    <w:p>
      <w:pPr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 xml:space="preserve">市卫生健康委   </w:t>
      </w:r>
      <w:r>
        <w:rPr>
          <w:rFonts w:ascii="方正仿宋_GBK"/>
          <w:spacing w:val="-20"/>
          <w:szCs w:val="32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        市应急局     </w:t>
      </w:r>
      <w:r>
        <w:rPr>
          <w:rFonts w:hint="eastAsia" w:ascii="方正仿宋_GBK"/>
          <w:spacing w:val="-20"/>
          <w:szCs w:val="32"/>
          <w:lang w:val="en-US" w:eastAsia="zh-CN"/>
        </w:rPr>
        <w:t xml:space="preserve">   </w:t>
      </w:r>
      <w:r>
        <w:rPr>
          <w:rFonts w:hint="eastAsia" w:ascii="方正仿宋_GBK"/>
          <w:spacing w:val="-20"/>
          <w:szCs w:val="32"/>
        </w:rPr>
        <w:t xml:space="preserve">     市统计局</w:t>
      </w: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hint="eastAsia" w:ascii="方正仿宋_GBK"/>
          <w:spacing w:val="-20"/>
          <w:szCs w:val="32"/>
        </w:rPr>
      </w:pPr>
    </w:p>
    <w:p>
      <w:pPr>
        <w:ind w:firstLine="552" w:firstLineChars="200"/>
        <w:rPr>
          <w:rFonts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 xml:space="preserve">市公共资源交易监管局     </w:t>
      </w:r>
      <w:r>
        <w:rPr>
          <w:rFonts w:hint="eastAsia" w:ascii="方正仿宋_GBK"/>
          <w:spacing w:val="-20"/>
          <w:szCs w:val="32"/>
          <w:lang w:val="en-US" w:eastAsia="zh-CN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重庆市税务局 </w:t>
      </w:r>
      <w:r>
        <w:rPr>
          <w:rFonts w:hint="eastAsia" w:ascii="方正仿宋_GBK"/>
          <w:spacing w:val="-20"/>
          <w:szCs w:val="32"/>
          <w:lang w:val="en-US" w:eastAsia="zh-CN"/>
        </w:rPr>
        <w:t xml:space="preserve">       </w:t>
      </w:r>
      <w:r>
        <w:rPr>
          <w:rFonts w:hint="eastAsia" w:ascii="方正仿宋_GBK"/>
          <w:spacing w:val="-20"/>
          <w:szCs w:val="32"/>
        </w:rPr>
        <w:t xml:space="preserve">重庆海关         </w:t>
      </w:r>
      <w:r>
        <w:rPr>
          <w:rFonts w:ascii="方正仿宋_GBK"/>
          <w:spacing w:val="-20"/>
          <w:szCs w:val="32"/>
        </w:rPr>
        <w:t xml:space="preserve"> </w:t>
      </w:r>
      <w:r>
        <w:rPr>
          <w:rFonts w:hint="eastAsia" w:ascii="方正仿宋_GBK"/>
          <w:spacing w:val="-20"/>
          <w:szCs w:val="32"/>
        </w:rPr>
        <w:t xml:space="preserve"> </w:t>
      </w:r>
      <w:r>
        <w:rPr>
          <w:rFonts w:ascii="方正仿宋_GBK"/>
          <w:spacing w:val="-20"/>
          <w:szCs w:val="32"/>
        </w:rPr>
        <w:t xml:space="preserve">    </w:t>
      </w:r>
      <w:r>
        <w:rPr>
          <w:rFonts w:hint="eastAsia" w:ascii="方正仿宋_GBK"/>
          <w:spacing w:val="-20"/>
          <w:szCs w:val="32"/>
        </w:rPr>
        <w:t xml:space="preserve">    </w:t>
      </w:r>
      <w:r>
        <w:rPr>
          <w:rFonts w:ascii="方正仿宋_GBK"/>
          <w:spacing w:val="-20"/>
          <w:szCs w:val="32"/>
        </w:rPr>
        <w:t xml:space="preserve"> </w:t>
      </w:r>
    </w:p>
    <w:p>
      <w:pPr>
        <w:ind w:firstLine="552" w:firstLineChars="200"/>
        <w:rPr>
          <w:rFonts w:ascii="方正仿宋_GBK"/>
          <w:spacing w:val="-20"/>
          <w:szCs w:val="32"/>
        </w:rPr>
      </w:pPr>
      <w:r>
        <w:rPr>
          <w:rFonts w:ascii="方正仿宋_GBK"/>
          <w:spacing w:val="-20"/>
          <w:szCs w:val="32"/>
        </w:rPr>
        <w:t xml:space="preserve">   </w:t>
      </w:r>
      <w:r>
        <w:rPr>
          <w:rFonts w:hint="eastAsia" w:ascii="方正仿宋_GBK"/>
          <w:spacing w:val="-20"/>
          <w:szCs w:val="32"/>
        </w:rPr>
        <w:t xml:space="preserve"> </w:t>
      </w:r>
      <w:r>
        <w:rPr>
          <w:rFonts w:ascii="方正仿宋_GBK"/>
          <w:spacing w:val="-20"/>
          <w:szCs w:val="32"/>
        </w:rPr>
        <w:t xml:space="preserve">  </w:t>
      </w:r>
    </w:p>
    <w:p>
      <w:pPr>
        <w:ind w:firstLine="3310" w:firstLineChars="1200"/>
        <w:rPr>
          <w:rFonts w:ascii="方正仿宋_GBK"/>
          <w:spacing w:val="-20"/>
          <w:szCs w:val="32"/>
        </w:rPr>
      </w:pPr>
    </w:p>
    <w:p>
      <w:pPr>
        <w:pStyle w:val="2"/>
      </w:pPr>
    </w:p>
    <w:p>
      <w:pPr>
        <w:ind w:firstLine="6345" w:firstLineChars="2300"/>
        <w:rPr>
          <w:rFonts w:ascii="方正仿宋_GBK"/>
          <w:spacing w:val="-20"/>
          <w:szCs w:val="32"/>
        </w:rPr>
      </w:pPr>
      <w:r>
        <w:rPr>
          <w:rFonts w:hint="eastAsia" w:ascii="方正仿宋_GBK"/>
          <w:spacing w:val="-20"/>
          <w:szCs w:val="32"/>
        </w:rPr>
        <w:t>市</w:t>
      </w:r>
      <w:r>
        <w:rPr>
          <w:rFonts w:ascii="方正仿宋_GBK"/>
          <w:spacing w:val="-20"/>
          <w:szCs w:val="32"/>
        </w:rPr>
        <w:t>消防救援总队</w:t>
      </w:r>
    </w:p>
    <w:p>
      <w:pPr>
        <w:ind w:left="-284" w:leftChars="-171" w:hanging="256" w:hangingChars="81"/>
        <w:rPr>
          <w:szCs w:val="32"/>
        </w:rPr>
      </w:pPr>
      <w:r>
        <w:rPr>
          <w:rFonts w:hint="eastAsia" w:ascii="方正仿宋_GBK"/>
          <w:szCs w:val="32"/>
        </w:rPr>
        <w:t xml:space="preserve">             </w:t>
      </w:r>
      <w:r>
        <w:rPr>
          <w:rFonts w:ascii="方正仿宋_GBK"/>
          <w:szCs w:val="32"/>
        </w:rPr>
        <w:t xml:space="preserve">                </w:t>
      </w:r>
      <w:r>
        <w:rPr>
          <w:rFonts w:hint="eastAsia" w:ascii="方正仿宋_GBK"/>
          <w:szCs w:val="32"/>
        </w:rPr>
        <w:t xml:space="preserve">          </w:t>
      </w:r>
      <w:r>
        <w:rPr>
          <w:szCs w:val="32"/>
        </w:rPr>
        <w:t xml:space="preserve">   2020年</w:t>
      </w:r>
      <w:r>
        <w:rPr>
          <w:rFonts w:hint="eastAsia"/>
          <w:szCs w:val="32"/>
        </w:rPr>
        <w:t>1</w:t>
      </w:r>
      <w:r>
        <w:rPr>
          <w:szCs w:val="32"/>
        </w:rPr>
        <w:t>0月28日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（此</w:t>
      </w:r>
      <w:r>
        <w:rPr>
          <w:rFonts w:ascii="方正仿宋_GBK"/>
          <w:szCs w:val="32"/>
        </w:rPr>
        <w:t>件公开发布）</w:t>
      </w:r>
    </w:p>
    <w:p>
      <w:pPr>
        <w:pStyle w:val="2"/>
        <w:ind w:left="632"/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17" w:gutter="0"/>
          <w:cols w:space="0" w:num="1"/>
          <w:docGrid w:type="linesAndChars" w:linePitch="579" w:charSpace="-849"/>
        </w:sectPr>
      </w:pPr>
    </w:p>
    <w:p>
      <w:pPr>
        <w:tabs>
          <w:tab w:val="left" w:pos="5895"/>
        </w:tabs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tabs>
          <w:tab w:val="left" w:pos="5895"/>
        </w:tabs>
        <w:rPr>
          <w:rFonts w:ascii="方正黑体_GBK" w:hAnsi="方正黑体_GBK" w:eastAsia="方正黑体_GBK" w:cs="方正黑体_GBK"/>
          <w:szCs w:val="32"/>
        </w:rPr>
      </w:pPr>
    </w:p>
    <w:p>
      <w:pPr>
        <w:adjustRightInd w:val="0"/>
        <w:snapToGrid w:val="0"/>
        <w:spacing w:line="72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重庆市市场监管领域部门联合抽查事项清单（第</w:t>
      </w:r>
      <w:r>
        <w:rPr>
          <w:rFonts w:ascii="方正小标宋_GBK" w:eastAsia="方正小标宋_GBK"/>
          <w:sz w:val="44"/>
          <w:szCs w:val="44"/>
        </w:rPr>
        <w:t>一版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tbl>
      <w:tblPr>
        <w:tblStyle w:val="1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3136"/>
        <w:gridCol w:w="2505"/>
        <w:gridCol w:w="2014"/>
        <w:gridCol w:w="11"/>
        <w:gridCol w:w="18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抽查领域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抽查事项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检查对象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发起部门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配合部门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工程咨询单位备案信息一致性及其他情况抽查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市发展改革委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工程造价咨询企业抽查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市住房城乡建委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招标代理机构业务开展合规性情况抽查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市公共资源交易监管局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校外培训机构抽查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培训机构广告宣传、办学行为的检查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面向中小学生的学科类校外培训机构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市教委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出口食品生产企业的检查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对出口食品生产企业的检查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出口食品生产企业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重庆海关、市市场监管局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重庆市税务局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汽车市场监管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新车销售市场监管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新车销售市场经营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主体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市商务委、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机动车排放检验机构检测情况抽查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机动车排放检验情况和设备使用情况检查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爆破作业单位作业情况检查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涉消耗臭氧层物质（ODS）的生产、 使用、销售、维修、 回收、销毁及原料 用途等企业和单位的监管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消耗臭氧层物质含氢氯氟烃（HCFCs）年度使用配额（100吨及以上）和使用备案（100 吨以下）情况的检查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HCFCs 的使用企业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市商务委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对销售ODS企业和单位备案情况的检查</w:t>
            </w:r>
          </w:p>
        </w:tc>
        <w:tc>
          <w:tcPr>
            <w:tcW w:w="2505" w:type="dxa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 售 ODS 企业 和单位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对含ODS 的制冷设备、制冷系统或者灭火系统的维修、报废处理，ODS 回收、再生利用或者销 毁等经营活动的单位备案情况的检查</w:t>
            </w:r>
          </w:p>
        </w:tc>
        <w:tc>
          <w:tcPr>
            <w:tcW w:w="2505" w:type="dxa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含 ODS 的 制 冷 设 备、制冷系统或者 灭火系统的维修、 报废处理，ODS 回 收、再生利用或者销毁等经营活动的单位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副产四氯化碳（CTC）的甲烷氯化物企业合法销售和处置CTC情况的检查</w:t>
            </w:r>
          </w:p>
        </w:tc>
        <w:tc>
          <w:tcPr>
            <w:tcW w:w="2505" w:type="dxa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 产 四 氯 化 碳 （CTC）的甲烷氯化物企业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生态环境监测机构监督检查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生态环境监测机构开展监测情况的检查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机动车销售企业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机动车环保信息公开检查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机动车销售企业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市政工程监督检查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城镇污水处理设施污染防治情况的检查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城镇污水处理厂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市住房城乡建委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房地产市场监督执法检查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房地产市场监督执法检查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房地产从业单位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市住房城乡建委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交通运输行业监管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道路危险货物运输企业检查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道路危险货物运输企业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ind w:firstLine="590" w:firstLineChars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市应急局、市市场监管局、市税务局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道路运输新业态企业检查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网约车平台公司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市应急局、市市场监管局、市税务局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交通运输产品质量监督检查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工程建设单位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市应急局、市市场监管局、市公安局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机动车维修企业检查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机动车维修企业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市市场监管局、市生态环境局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旅行社行业监管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旅行社取得许可证情况的检查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市市场监管局、市交通局、市人力社保局、市城市管理局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旅行社经营情况的检查</w:t>
            </w:r>
          </w:p>
        </w:tc>
        <w:tc>
          <w:tcPr>
            <w:tcW w:w="2505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经营性互联网文化单位的检查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经营性互联网文化单位经营情况的检查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经营性互联网文化单位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市公安局、市税务局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营业性演出经营活动从业单位的检查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营业性演出从业单位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营业性演出经营活动从业单位经营情况的检查</w:t>
            </w:r>
          </w:p>
        </w:tc>
        <w:tc>
          <w:tcPr>
            <w:tcW w:w="2505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艺术品经营单位的检查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艺术品经营单位从事艺术品经营活动的检查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艺术品经营单位备案情况的检查</w:t>
            </w:r>
          </w:p>
        </w:tc>
        <w:tc>
          <w:tcPr>
            <w:tcW w:w="2505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影剧院、歌舞娱乐和电子游戏场所经营情况抽查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影剧院、歌舞娱乐和电子游戏场所取得、公示相关许可证及其他情况的检查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影剧院、录像厅（室）、游艺厅（室）、舞厅、音乐厅卫生状况及卫生制度的检查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各类影剧院、录像厅（室）、游艺厅（室）、舞厅、音乐厅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宾馆、旅店监督抽查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各类宾馆、旅店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市公安局、市卫生健康委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宾馆、旅店卫生情况的检查</w:t>
            </w:r>
          </w:p>
        </w:tc>
        <w:tc>
          <w:tcPr>
            <w:tcW w:w="2505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宾馆、旅店消防情况的检查</w:t>
            </w:r>
          </w:p>
        </w:tc>
        <w:tc>
          <w:tcPr>
            <w:tcW w:w="2505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市消防救援总队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市市场监管局、市公安局、市文化旅游委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由各区县消防救援机构发起实施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工业企业安全生产情况的检查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工业企业建立健全安全生产制度并有效实施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各类工业企业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工业企业建立健全安全生产管理机构或配齐安全生产管理人员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涉嫌税收违法当事人的抽查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涉嫌税收违法的纳税人、扣缴义务人和其他涉税当事人的检查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涉嫌税收违法当事人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市税务局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对一套表联网直报“四上”企业名录库抽查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调查对象依法设置原始记录、统计台账情况检查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二、三产业法人单位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市统计局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shd w:val="clear" w:color="auto" w:fill="FFFFFF"/>
              </w:rPr>
              <w:t>单用途商业预付卡专项检查</w:t>
            </w:r>
          </w:p>
        </w:tc>
        <w:tc>
          <w:tcPr>
            <w:tcW w:w="3136" w:type="dxa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shd w:val="clear" w:color="auto" w:fill="FFFFFF"/>
              </w:rPr>
              <w:t>单用途商业预付卡发（售）卡企业是否存在不按规定备案，不按规定进行发行、服务和资金存管，不按规定建立管理系统等情况。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零售业、餐住业、居民服务业领域已备案的单用途商业预付卡发售卡企业法人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  <w:shd w:val="clear" w:color="auto" w:fill="FFFFFF"/>
              </w:rPr>
              <w:t>市商务委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农业生产资料监管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农药监督抽查</w:t>
            </w:r>
          </w:p>
        </w:tc>
        <w:tc>
          <w:tcPr>
            <w:tcW w:w="2505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农药生产、经营企业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市农业农村委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通过农业机械鉴定的产品及证书监督检查</w:t>
            </w:r>
          </w:p>
        </w:tc>
        <w:tc>
          <w:tcPr>
            <w:tcW w:w="2505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获农业机械鉴定证书的生产经营企业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全市产地水产苗种和水产品质量安全监督抽查</w:t>
            </w:r>
          </w:p>
        </w:tc>
        <w:tc>
          <w:tcPr>
            <w:tcW w:w="2505" w:type="dxa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全市涉渔区县产地水产品和水产苗种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农业转基因生物安全检查</w:t>
            </w:r>
          </w:p>
        </w:tc>
        <w:tc>
          <w:tcPr>
            <w:tcW w:w="313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对农业转基因生物加工企业和科研单位监管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农业转基因生物加工企业和科研单位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人力资源市场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人力资源服务机构依法开展人力资源服务业务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人力资源服务机构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市人力社保局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发布招聘信息，组织招聘活动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</w:t>
            </w:r>
          </w:p>
        </w:tc>
        <w:tc>
          <w:tcPr>
            <w:tcW w:w="2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燃气经营监督执 法检查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燃气经营许可证取得情况的检查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燃气经营企业</w:t>
            </w:r>
          </w:p>
        </w:tc>
        <w:tc>
          <w:tcPr>
            <w:tcW w:w="20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市经济信息委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燃气经营监督执法检查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消防安全检查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使用领域消防产品质量监督检查</w:t>
            </w:r>
          </w:p>
        </w:tc>
        <w:tc>
          <w:tcPr>
            <w:tcW w:w="25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使用领域消防产品</w:t>
            </w:r>
          </w:p>
        </w:tc>
        <w:tc>
          <w:tcPr>
            <w:tcW w:w="2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市消防救援总队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由各区县消防救援机构发起实施</w:t>
            </w:r>
          </w:p>
        </w:tc>
      </w:tr>
    </w:tbl>
    <w:p>
      <w:pPr>
        <w:sectPr>
          <w:pgSz w:w="16838" w:h="11906" w:orient="landscape"/>
          <w:pgMar w:top="1531" w:right="2098" w:bottom="1531" w:left="1984" w:header="851" w:footer="1417" w:gutter="0"/>
          <w:cols w:space="0" w:num="1"/>
          <w:docGrid w:type="linesAndChars" w:linePitch="589" w:charSpace="-849"/>
        </w:sect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hint="eastAsia" w:ascii="方正仿宋_GBK"/>
          <w:sz w:val="28"/>
          <w:szCs w:val="28"/>
        </w:rPr>
      </w:pPr>
    </w:p>
    <w:p>
      <w:pPr>
        <w:spacing w:line="570" w:lineRule="exact"/>
        <w:ind w:left="1177" w:leftChars="96" w:right="24" w:hanging="874" w:hangingChars="317"/>
        <w:rPr>
          <w:rFonts w:hint="eastAsia" w:ascii="方正仿宋_GBK"/>
          <w:spacing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ge">
                  <wp:posOffset>8223885</wp:posOffset>
                </wp:positionV>
                <wp:extent cx="5600700" cy="0"/>
                <wp:effectExtent l="0" t="0" r="19050" b="19050"/>
                <wp:wrapNone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.7pt;margin-top:647.55pt;height:0pt;width:441pt;mso-position-horizontal-relative:margin;mso-position-vertical-relative:page;z-index:251689984;mso-width-relative:page;mso-height-relative:page;" filled="f" stroked="t" coordsize="21600,21600" o:gfxdata="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hGXIXYAAAADAEAAA8AAAAAAAAAAQAgAAAAIgAAAGRycy9kb3ducmV2&#10;LnhtbFBLAQIUABQAAAAIAIdO4kDEjp5dwwEAAIMDAAAOAAAAAAAAAAEAIAAAACc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/>
          <w:sz w:val="28"/>
          <w:szCs w:val="28"/>
        </w:rPr>
        <w:t>主送</w:t>
      </w:r>
      <w:r>
        <w:rPr>
          <w:rFonts w:ascii="方正仿宋_GBK"/>
          <w:sz w:val="28"/>
          <w:szCs w:val="28"/>
        </w:rPr>
        <w:t>：</w:t>
      </w:r>
      <w:r>
        <w:rPr>
          <w:rFonts w:hint="eastAsia" w:ascii="方正仿宋_GBK"/>
          <w:spacing w:val="0"/>
          <w:sz w:val="28"/>
          <w:szCs w:val="28"/>
        </w:rPr>
        <w:t>各</w:t>
      </w:r>
      <w:r>
        <w:rPr>
          <w:rFonts w:ascii="方正仿宋_GBK"/>
          <w:spacing w:val="0"/>
          <w:sz w:val="28"/>
          <w:szCs w:val="28"/>
        </w:rPr>
        <w:t>区县（</w:t>
      </w:r>
      <w:r>
        <w:rPr>
          <w:rFonts w:hint="eastAsia" w:ascii="方正仿宋_GBK"/>
          <w:spacing w:val="0"/>
          <w:sz w:val="28"/>
          <w:szCs w:val="28"/>
        </w:rPr>
        <w:t>自治县</w:t>
      </w:r>
      <w:r>
        <w:rPr>
          <w:rFonts w:ascii="方正仿宋_GBK"/>
          <w:spacing w:val="0"/>
          <w:sz w:val="28"/>
          <w:szCs w:val="28"/>
        </w:rPr>
        <w:t>）有关部门，</w:t>
      </w:r>
      <w:r>
        <w:rPr>
          <w:rFonts w:hint="eastAsia" w:ascii="方正仿宋_GBK"/>
          <w:spacing w:val="0"/>
          <w:sz w:val="28"/>
          <w:szCs w:val="28"/>
        </w:rPr>
        <w:t>两江新区管委会、</w:t>
      </w:r>
      <w:r>
        <w:rPr>
          <w:rFonts w:ascii="方正仿宋_GBK"/>
          <w:spacing w:val="0"/>
          <w:sz w:val="28"/>
          <w:szCs w:val="28"/>
        </w:rPr>
        <w:t>万盛经开区</w:t>
      </w:r>
      <w:r>
        <w:rPr>
          <w:rFonts w:hint="eastAsia" w:ascii="方正仿宋_GBK"/>
          <w:spacing w:val="0"/>
          <w:sz w:val="28"/>
          <w:szCs w:val="28"/>
        </w:rPr>
        <w:t>管</w:t>
      </w:r>
    </w:p>
    <w:p>
      <w:pPr>
        <w:spacing w:line="570" w:lineRule="exact"/>
        <w:ind w:left="1070" w:leftChars="96" w:right="24" w:hanging="767" w:hangingChars="317"/>
        <w:rPr>
          <w:rFonts w:ascii="方正仿宋_GBK"/>
          <w:spacing w:val="-17"/>
          <w:sz w:val="28"/>
          <w:szCs w:val="28"/>
        </w:rPr>
      </w:pPr>
      <w:r>
        <w:rPr>
          <w:rFonts w:hint="eastAsia" w:ascii="方正仿宋_GBK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/>
          <w:spacing w:val="0"/>
          <w:sz w:val="28"/>
          <w:szCs w:val="28"/>
        </w:rPr>
        <w:t>委会、高新区管委会、</w:t>
      </w:r>
      <w:r>
        <w:rPr>
          <w:rFonts w:ascii="方正仿宋_GBK"/>
          <w:spacing w:val="0"/>
          <w:sz w:val="28"/>
          <w:szCs w:val="28"/>
        </w:rPr>
        <w:t>经开区</w:t>
      </w:r>
      <w:r>
        <w:rPr>
          <w:rFonts w:hint="eastAsia" w:ascii="方正仿宋_GBK"/>
          <w:spacing w:val="0"/>
          <w:sz w:val="28"/>
          <w:szCs w:val="28"/>
        </w:rPr>
        <w:t>管委会</w:t>
      </w:r>
      <w:r>
        <w:rPr>
          <w:rFonts w:ascii="方正仿宋_GBK"/>
          <w:spacing w:val="0"/>
          <w:sz w:val="28"/>
          <w:szCs w:val="28"/>
        </w:rPr>
        <w:t>有关部门，</w:t>
      </w:r>
      <w:r>
        <w:rPr>
          <w:rFonts w:hint="eastAsia" w:ascii="方正仿宋_GBK"/>
          <w:spacing w:val="0"/>
          <w:sz w:val="28"/>
          <w:szCs w:val="28"/>
        </w:rPr>
        <w:t>市级</w:t>
      </w:r>
      <w:r>
        <w:rPr>
          <w:rFonts w:ascii="方正仿宋_GBK"/>
          <w:spacing w:val="0"/>
          <w:sz w:val="28"/>
          <w:szCs w:val="28"/>
        </w:rPr>
        <w:t>有关部门</w:t>
      </w:r>
      <w:r>
        <w:rPr>
          <w:rFonts w:hint="eastAsia" w:ascii="方正仿宋_GBK"/>
          <w:spacing w:val="0"/>
          <w:sz w:val="28"/>
          <w:szCs w:val="28"/>
        </w:rPr>
        <w:t>。</w:t>
      </w:r>
    </w:p>
    <w:p>
      <w:pPr>
        <w:spacing w:before="117" w:beforeLines="20" w:line="570" w:lineRule="exact"/>
        <w:ind w:right="24" w:firstLine="276" w:firstLineChars="100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9012555</wp:posOffset>
                </wp:positionV>
                <wp:extent cx="5600700" cy="0"/>
                <wp:effectExtent l="0" t="0" r="19050" b="19050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0.3pt;margin-top:709.65pt;height:0pt;width:441pt;mso-position-horizontal-relative:margin;mso-position-vertical-relative:page;z-index:251719680;mso-width-relative:page;mso-height-relative:page;" filled="f" stroked="t" coordsize="21600,21600" o:gfxdata="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Aii8/YAAAACwEAAA8AAAAAAAAAAQAgAAAAIgAAAGRycy9kb3ducmV2&#10;LnhtbFBLAQIUABQAAAAIAIdO4kApcOpQwwEAAIIDAAAOAAAAAAAAAAEAIAAAACcBAABkcnMvZTJv&#10;RG9jLnhtbFBLBQYAAAAABgAGAFkBAABcBQAAAAA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9410065</wp:posOffset>
                </wp:positionV>
                <wp:extent cx="5615940" cy="0"/>
                <wp:effectExtent l="0" t="0" r="22860" b="19050"/>
                <wp:wrapTopAndBottom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1pt;margin-top:740.95pt;height:0pt;width:442.2pt;mso-position-horizontal-relative:margin;mso-position-vertical-relative:page;mso-wrap-distance-bottom:0pt;mso-wrap-distance-top:0pt;z-index:251688960;mso-width-relative:page;mso-height-relative:page;" filled="f" stroked="t" coordsize="21600,21600" o:gfxdata="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zZDCTWAAAACgEAAA8AAAAAAAAAAQAgAAAAIgAAAGRycy9kb3ducmV2&#10;LnhtbFBLAQIUABQAAAAIAIdO4kCywIA3xQEAAIMDAAAOAAAAAAAAAAEAIAAAACU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0月28日印发</w:t>
      </w:r>
    </w:p>
    <w:sectPr>
      <w:pgSz w:w="11906" w:h="16838"/>
      <w:pgMar w:top="2098" w:right="1531" w:bottom="1984" w:left="1531" w:header="851" w:footer="1417" w:gutter="0"/>
      <w:cols w:space="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635" t="2540" r="1905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8.15pt;width:56.05pt;mso-position-horizontal:outside;mso-position-horizontal-relative:margin;mso-wrap-style:none;z-index:251691008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VEvMtEA&#10;AAAEAQAADwAAAAAAAAABACAAAAAiAAAAZHJzL2Rvd25yZXYueG1sUEsBAhQAFAAAAAgAh07iQGzt&#10;2SbtAQAAtQ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5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51A"/>
    <w:rsid w:val="0009603E"/>
    <w:rsid w:val="000A2C18"/>
    <w:rsid w:val="00152E0D"/>
    <w:rsid w:val="00172A27"/>
    <w:rsid w:val="0019353D"/>
    <w:rsid w:val="001A47D3"/>
    <w:rsid w:val="001D244F"/>
    <w:rsid w:val="00263B26"/>
    <w:rsid w:val="00294DE2"/>
    <w:rsid w:val="00316CDA"/>
    <w:rsid w:val="003314E8"/>
    <w:rsid w:val="003730FF"/>
    <w:rsid w:val="00425A6F"/>
    <w:rsid w:val="00563A13"/>
    <w:rsid w:val="005B63C0"/>
    <w:rsid w:val="00636CB8"/>
    <w:rsid w:val="00741625"/>
    <w:rsid w:val="007A71C3"/>
    <w:rsid w:val="008207C2"/>
    <w:rsid w:val="008E4DF6"/>
    <w:rsid w:val="00980D56"/>
    <w:rsid w:val="00A2302E"/>
    <w:rsid w:val="00A37065"/>
    <w:rsid w:val="00A60CBE"/>
    <w:rsid w:val="00AE0D43"/>
    <w:rsid w:val="00B406B7"/>
    <w:rsid w:val="00BB17A6"/>
    <w:rsid w:val="00C52E4B"/>
    <w:rsid w:val="00DB170E"/>
    <w:rsid w:val="00E41F16"/>
    <w:rsid w:val="00ED6CAB"/>
    <w:rsid w:val="00EE39DD"/>
    <w:rsid w:val="00EF1CE6"/>
    <w:rsid w:val="00EF54BB"/>
    <w:rsid w:val="00FB6AF8"/>
    <w:rsid w:val="021E4EDC"/>
    <w:rsid w:val="069459FF"/>
    <w:rsid w:val="07137C80"/>
    <w:rsid w:val="074C1403"/>
    <w:rsid w:val="0771059E"/>
    <w:rsid w:val="086B4509"/>
    <w:rsid w:val="08C44552"/>
    <w:rsid w:val="0A234314"/>
    <w:rsid w:val="0D187458"/>
    <w:rsid w:val="0E4375CE"/>
    <w:rsid w:val="0EAB451E"/>
    <w:rsid w:val="0F7F1CE3"/>
    <w:rsid w:val="0FA214B2"/>
    <w:rsid w:val="10554EED"/>
    <w:rsid w:val="11290AE8"/>
    <w:rsid w:val="12780828"/>
    <w:rsid w:val="13EB2E19"/>
    <w:rsid w:val="14E904F9"/>
    <w:rsid w:val="165E4885"/>
    <w:rsid w:val="176B7F40"/>
    <w:rsid w:val="18941AD1"/>
    <w:rsid w:val="19C83253"/>
    <w:rsid w:val="1A982414"/>
    <w:rsid w:val="1DB95A80"/>
    <w:rsid w:val="1EBE5726"/>
    <w:rsid w:val="1F2A091D"/>
    <w:rsid w:val="1FCB2BAB"/>
    <w:rsid w:val="205A606A"/>
    <w:rsid w:val="20995121"/>
    <w:rsid w:val="21232D71"/>
    <w:rsid w:val="255D7DB1"/>
    <w:rsid w:val="25FD290E"/>
    <w:rsid w:val="26C424CE"/>
    <w:rsid w:val="27EC3359"/>
    <w:rsid w:val="2851077D"/>
    <w:rsid w:val="288612AD"/>
    <w:rsid w:val="2A9A6A5F"/>
    <w:rsid w:val="2B6F7679"/>
    <w:rsid w:val="2C4B4D4B"/>
    <w:rsid w:val="3226243C"/>
    <w:rsid w:val="342A495E"/>
    <w:rsid w:val="36135764"/>
    <w:rsid w:val="37022799"/>
    <w:rsid w:val="37962F7E"/>
    <w:rsid w:val="3824406A"/>
    <w:rsid w:val="397D29CE"/>
    <w:rsid w:val="399B2279"/>
    <w:rsid w:val="3AF23FEE"/>
    <w:rsid w:val="3B6420AD"/>
    <w:rsid w:val="3B7D3D86"/>
    <w:rsid w:val="3C804B35"/>
    <w:rsid w:val="3FB932DF"/>
    <w:rsid w:val="3FBE1B95"/>
    <w:rsid w:val="4091507B"/>
    <w:rsid w:val="41142CF6"/>
    <w:rsid w:val="411768C7"/>
    <w:rsid w:val="42947C47"/>
    <w:rsid w:val="440F71A0"/>
    <w:rsid w:val="45DC3EB2"/>
    <w:rsid w:val="49EA52B6"/>
    <w:rsid w:val="4A051B77"/>
    <w:rsid w:val="4C963A49"/>
    <w:rsid w:val="4D942E8D"/>
    <w:rsid w:val="4DF96C9D"/>
    <w:rsid w:val="4F623CB9"/>
    <w:rsid w:val="4F7001EA"/>
    <w:rsid w:val="52F873B9"/>
    <w:rsid w:val="54113D40"/>
    <w:rsid w:val="560067D2"/>
    <w:rsid w:val="564F29CE"/>
    <w:rsid w:val="59733436"/>
    <w:rsid w:val="59FA45AB"/>
    <w:rsid w:val="5B6952D4"/>
    <w:rsid w:val="605A22BB"/>
    <w:rsid w:val="63061C2D"/>
    <w:rsid w:val="63491594"/>
    <w:rsid w:val="66D30435"/>
    <w:rsid w:val="67A60C86"/>
    <w:rsid w:val="67C21DC6"/>
    <w:rsid w:val="6811618E"/>
    <w:rsid w:val="696E0257"/>
    <w:rsid w:val="69DD4C50"/>
    <w:rsid w:val="6A28799B"/>
    <w:rsid w:val="6B370581"/>
    <w:rsid w:val="6CC67F39"/>
    <w:rsid w:val="6D5B06C5"/>
    <w:rsid w:val="6E513E10"/>
    <w:rsid w:val="6E8F4678"/>
    <w:rsid w:val="705B6B45"/>
    <w:rsid w:val="73B16F12"/>
    <w:rsid w:val="75AF7969"/>
    <w:rsid w:val="775869CF"/>
    <w:rsid w:val="797416AE"/>
    <w:rsid w:val="7A9861B0"/>
    <w:rsid w:val="7BF10A49"/>
    <w:rsid w:val="7E5E14AF"/>
    <w:rsid w:val="7F943D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sz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Body Text First Indent"/>
    <w:basedOn w:val="5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cs="Times New Roman"/>
      <w:b/>
      <w:sz w:val="24"/>
      <w:szCs w:val="24"/>
    </w:rPr>
  </w:style>
  <w:style w:type="character" w:styleId="14">
    <w:name w:val="page number"/>
    <w:basedOn w:val="12"/>
    <w:qFormat/>
    <w:uiPriority w:val="0"/>
    <w:rPr>
      <w:rFonts w:ascii="Times New Roman" w:hAnsi="Times New Roman" w:cs="Times New Roman"/>
      <w:sz w:val="24"/>
      <w:szCs w:val="24"/>
    </w:rPr>
  </w:style>
  <w:style w:type="character" w:styleId="15">
    <w:name w:val="Hyperlink"/>
    <w:qFormat/>
    <w:uiPriority w:val="0"/>
    <w:rPr>
      <w:color w:val="0000FF"/>
      <w:u w:val="single"/>
    </w:rPr>
  </w:style>
  <w:style w:type="table" w:styleId="17">
    <w:name w:val="Table Grid"/>
    <w:basedOn w:val="1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脚 Char"/>
    <w:link w:val="9"/>
    <w:qFormat/>
    <w:uiPriority w:val="99"/>
    <w:rPr>
      <w:rFonts w:eastAsia="方正仿宋_GBK"/>
      <w:kern w:val="2"/>
      <w:sz w:val="18"/>
    </w:rPr>
  </w:style>
  <w:style w:type="paragraph" w:customStyle="1" w:styleId="19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  <w:szCs w:val="24"/>
    </w:rPr>
  </w:style>
  <w:style w:type="paragraph" w:customStyle="1" w:styleId="22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宋体"/>
      <w:kern w:val="0"/>
      <w:szCs w:val="21"/>
    </w:rPr>
  </w:style>
  <w:style w:type="paragraph" w:customStyle="1" w:styleId="24">
    <w:name w:val="BodyText"/>
    <w:basedOn w:val="1"/>
    <w:qFormat/>
    <w:uiPriority w:val="99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574</Words>
  <Characters>3278</Characters>
  <Lines>27</Lines>
  <Paragraphs>7</Paragraphs>
  <ScaleCrop>false</ScaleCrop>
  <LinksUpToDate>false</LinksUpToDate>
  <CharactersWithSpaces>3845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2020-11-02T01:41:00Z</dcterms:created>
  <dc:creator>Lenovo User</dc:creator>
  <cp:lastModifiedBy>文印室</cp:lastModifiedBy>
  <cp:lastPrinted>2020-11-03T01:58:00Z</cp:lastPrinted>
  <dcterms:modified xsi:type="dcterms:W3CDTF">2020-11-11T05:00:35Z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