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026" o:spid="_x0000_s1026" o:spt="136" type="#_x0000_t136" style="position:absolute;left:0pt;margin-left:0pt;margin-top:0pt;height:57.9pt;width:442.4pt;z-index:251660288;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21</w:t>
      </w:r>
      <w:r>
        <w:rPr>
          <w:rFonts w:eastAsia="方正仿宋_GBK"/>
          <w:szCs w:val="32"/>
        </w:rPr>
        <w:t>〕</w:t>
      </w:r>
      <w:r>
        <w:rPr>
          <w:rFonts w:hint="eastAsia" w:eastAsia="方正仿宋_GBK"/>
          <w:szCs w:val="32"/>
          <w:lang w:val="en-US" w:eastAsia="zh-CN"/>
        </w:rPr>
        <w:t>466</w:t>
      </w:r>
      <w:r>
        <w:rPr>
          <w:rFonts w:eastAsia="方正仿宋_GBK"/>
          <w:szCs w:val="32"/>
        </w:rPr>
        <w:t>号</w:t>
      </w:r>
      <w:bookmarkStart w:id="0" w:name="_GoBack"/>
      <w:r>
        <w:rPr>
          <w:rFonts w:eastAsia="方正仿宋_GBK"/>
          <w:snapToGrid w:val="0"/>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2" name="直接连接符 2"/>
                <wp:cNvGraphicFramePr/>
                <a:graphic xmlns:a="http://schemas.openxmlformats.org/drawingml/2006/main">
                  <a:graphicData uri="http://schemas.microsoft.com/office/word/2010/wordprocessingShape">
                    <wps:wsp>
                      <wps:cNvSp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5pt;height:0pt;width:444pt;z-index:251661312;mso-width-relative:page;mso-height-relative:page;"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fnWtAAAAAEAQAADwAAAAAAAAABACAAAAAiAAAAZHJzL2Rvd25yZXYueG1sUEsBAhQA&#10;FAAAAAgAh07iQCkKKbH6AQAA6wMAAA4AAAAAAAAAAQAgAAAAHwEAAGRycy9lMm9Eb2MueG1sUEsF&#10;BgAAAAAGAAYAWQEAAIsFAAAAAA==&#10;">
                <v:path arrowok="t"/>
                <v:fill focussize="0,0"/>
                <v:stroke weight="4.5pt" color="#FF0000" linestyle="thickThin"/>
                <v:imagedata o:title=""/>
                <o:lock v:ext="edit"/>
              </v:line>
            </w:pict>
          </mc:Fallback>
        </mc:AlternateContent>
      </w:r>
      <w:bookmarkEnd w:id="0"/>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lang w:val="en-US" w:eastAsia="zh-CN"/>
        </w:rPr>
        <w:t>关于加快落实外出务工交通补助的紧急通知</w:t>
      </w:r>
    </w:p>
    <w:p>
      <w:pPr>
        <w:spacing w:line="560" w:lineRule="exact"/>
        <w:rPr>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各乡镇（街道）人民政府（办事处）：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脱贫人口外出务工补助交通政策落实</w:t>
      </w:r>
      <w:r>
        <w:rPr>
          <w:rFonts w:hint="default" w:ascii="Times New Roman" w:hAnsi="Times New Roman" w:eastAsia="方正仿宋_GBK" w:cs="Times New Roman"/>
          <w:sz w:val="32"/>
          <w:szCs w:val="32"/>
          <w:lang w:val="en-US" w:eastAsia="zh-CN"/>
        </w:rPr>
        <w:t>是2021年巩固拓展脱贫攻坚成果</w:t>
      </w:r>
      <w:r>
        <w:rPr>
          <w:rFonts w:hint="eastAsia" w:ascii="方正仿宋_GBK" w:hAnsi="方正仿宋_GBK" w:eastAsia="方正仿宋_GBK" w:cs="方正仿宋_GBK"/>
          <w:sz w:val="32"/>
          <w:szCs w:val="32"/>
          <w:lang w:val="en-US" w:eastAsia="zh-CN"/>
        </w:rPr>
        <w:t>后评估重点内容，更是脱贫人口稳岗就业的重要帮扶举措，目前全县脱贫人口外出务工补助政策落实离后评估要求还存一定差距：一是存在落实不到位的问题。</w:t>
      </w:r>
      <w:r>
        <w:rPr>
          <w:rFonts w:hint="default" w:ascii="Times New Roman" w:hAnsi="Times New Roman" w:eastAsia="方正仿宋_GBK" w:cs="Times New Roman"/>
          <w:sz w:val="32"/>
          <w:szCs w:val="32"/>
          <w:lang w:val="en-US" w:eastAsia="zh-CN"/>
        </w:rPr>
        <w:t>截止11月17日，全县已申报脱贫人口外出务工</w:t>
      </w:r>
      <w:r>
        <w:rPr>
          <w:rFonts w:hint="eastAsia" w:eastAsia="方正仿宋_GBK" w:cs="Times New Roman"/>
          <w:sz w:val="32"/>
          <w:szCs w:val="32"/>
          <w:lang w:val="en-US" w:eastAsia="zh-CN"/>
        </w:rPr>
        <w:t>交通</w:t>
      </w:r>
      <w:r>
        <w:rPr>
          <w:rFonts w:hint="default" w:ascii="Times New Roman" w:hAnsi="Times New Roman" w:eastAsia="方正仿宋_GBK" w:cs="Times New Roman"/>
          <w:sz w:val="32"/>
          <w:szCs w:val="32"/>
          <w:lang w:val="en-US" w:eastAsia="zh-CN"/>
        </w:rPr>
        <w:t>补助9001人，占全县</w:t>
      </w:r>
      <w:r>
        <w:rPr>
          <w:rFonts w:hint="eastAsia" w:eastAsia="方正仿宋_GBK" w:cs="Times New Roman"/>
          <w:sz w:val="32"/>
          <w:szCs w:val="32"/>
          <w:lang w:val="en-US" w:eastAsia="zh-CN"/>
        </w:rPr>
        <w:t>脱贫人口</w:t>
      </w:r>
      <w:r>
        <w:rPr>
          <w:rFonts w:hint="default" w:ascii="Times New Roman" w:hAnsi="Times New Roman" w:eastAsia="方正仿宋_GBK" w:cs="Times New Roman"/>
          <w:sz w:val="32"/>
          <w:szCs w:val="32"/>
          <w:lang w:val="en-US" w:eastAsia="zh-CN"/>
        </w:rPr>
        <w:t>县外就业人数的60.2%</w:t>
      </w:r>
      <w:r>
        <w:rPr>
          <w:rFonts w:hint="eastAsia" w:eastAsia="方正仿宋_GBK" w:cs="Times New Roman"/>
          <w:sz w:val="32"/>
          <w:szCs w:val="32"/>
          <w:lang w:val="en-US" w:eastAsia="zh-CN"/>
        </w:rPr>
        <w:t>；二是存在落实进度缓慢的问题。16个乡镇（街道）申报进度低于60%，4个乡镇申报进度为0。为进一步加快脱贫人口外出务工交通补助政策落实，现将相关事项通知如下：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高度重视，落实到位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lang w:val="en-US" w:eastAsia="zh-CN"/>
        </w:rPr>
      </w:pPr>
      <w:r>
        <w:rPr>
          <w:rFonts w:eastAsia="方正仿宋_GBK"/>
        </w:rPr>
        <w:t>各</w:t>
      </w:r>
      <w:r>
        <w:rPr>
          <w:rFonts w:hint="eastAsia" w:eastAsia="方正仿宋_GBK"/>
        </w:rPr>
        <w:t>乡镇（街道）人民政府（办事处）</w:t>
      </w:r>
      <w:r>
        <w:rPr>
          <w:rFonts w:hint="eastAsia" w:eastAsia="方正仿宋_GBK"/>
          <w:lang w:eastAsia="zh-CN"/>
        </w:rPr>
        <w:t>要指定专人，加强工作力量，确保符合条件的脱贫人口外出务工交通补助申报资料于</w:t>
      </w:r>
      <w:r>
        <w:rPr>
          <w:rFonts w:hint="eastAsia" w:eastAsia="方正仿宋_GBK"/>
          <w:lang w:val="en-US" w:eastAsia="zh-CN"/>
        </w:rPr>
        <w:t>11月21日前全部整理汇总、审核上报到位，实现符合条件的脱贫人口</w:t>
      </w:r>
      <w:r>
        <w:rPr>
          <w:rFonts w:hint="eastAsia" w:ascii="方正仿宋_GBK" w:hAnsi="方正仿宋_GBK" w:eastAsia="方正仿宋_GBK" w:cs="方正仿宋_GBK"/>
          <w:sz w:val="32"/>
          <w:szCs w:val="32"/>
          <w:lang w:val="en-US" w:eastAsia="zh-CN"/>
        </w:rPr>
        <w:t>外出务工交通补助政策</w:t>
      </w:r>
      <w:r>
        <w:rPr>
          <w:rFonts w:hint="eastAsia" w:eastAsia="方正仿宋_GBK"/>
          <w:lang w:val="en-US" w:eastAsia="zh-CN"/>
        </w:rPr>
        <w:t>“全覆盖”。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主动服务，宣传到位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eastAsia="方正仿宋_GBK"/>
          <w:szCs w:val="32"/>
        </w:rPr>
      </w:pPr>
      <w:r>
        <w:rPr>
          <w:rFonts w:eastAsia="方正仿宋_GBK"/>
        </w:rPr>
        <w:t>各</w:t>
      </w:r>
      <w:r>
        <w:rPr>
          <w:rFonts w:hint="eastAsia" w:eastAsia="方正仿宋_GBK"/>
        </w:rPr>
        <w:t>乡镇（街道）人民政府（办事处）</w:t>
      </w:r>
      <w:r>
        <w:rPr>
          <w:rFonts w:hint="eastAsia" w:eastAsia="方正仿宋_GBK"/>
          <w:lang w:eastAsia="zh-CN"/>
        </w:rPr>
        <w:t>要按照</w:t>
      </w:r>
      <w:r>
        <w:rPr>
          <w:rFonts w:eastAsia="方正仿宋_GBK"/>
          <w:szCs w:val="32"/>
        </w:rPr>
        <w:t>石人社发〔20</w:t>
      </w:r>
      <w:r>
        <w:rPr>
          <w:rFonts w:hint="eastAsia" w:eastAsia="方正仿宋_GBK"/>
          <w:szCs w:val="32"/>
        </w:rPr>
        <w:t>21</w:t>
      </w:r>
      <w:r>
        <w:rPr>
          <w:rFonts w:eastAsia="方正仿宋_GBK"/>
          <w:szCs w:val="32"/>
        </w:rPr>
        <w:t>〕</w:t>
      </w:r>
      <w:r>
        <w:rPr>
          <w:rFonts w:hint="eastAsia" w:eastAsia="方正仿宋_GBK"/>
          <w:szCs w:val="32"/>
        </w:rPr>
        <w:t>374</w:t>
      </w:r>
      <w:r>
        <w:rPr>
          <w:rFonts w:eastAsia="方正仿宋_GBK"/>
          <w:szCs w:val="32"/>
        </w:rPr>
        <w:t>号</w:t>
      </w:r>
      <w:r>
        <w:rPr>
          <w:rFonts w:hint="eastAsia" w:eastAsia="方正仿宋_GBK"/>
          <w:szCs w:val="32"/>
          <w:lang w:eastAsia="zh-CN"/>
        </w:rPr>
        <w:t>文件要求，大力推行“免申即享”，主动送政策“上门”，提高政策知晓度、提升群众满意度。</w:t>
      </w:r>
      <w:r>
        <w:rPr>
          <w:rFonts w:eastAsia="方正仿宋_GBK"/>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严格审核，把关到位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eastAsia="方正仿宋_GBK"/>
          <w:lang w:eastAsia="zh-CN"/>
        </w:rPr>
      </w:pPr>
      <w:r>
        <w:rPr>
          <w:rFonts w:eastAsia="方正仿宋_GBK"/>
        </w:rPr>
        <w:t>各</w:t>
      </w:r>
      <w:r>
        <w:rPr>
          <w:rFonts w:hint="eastAsia" w:eastAsia="方正仿宋_GBK"/>
        </w:rPr>
        <w:t>乡镇（街道）人民政府（办事处）</w:t>
      </w:r>
      <w:r>
        <w:rPr>
          <w:rFonts w:hint="eastAsia" w:eastAsia="方正仿宋_GBK"/>
          <w:lang w:eastAsia="zh-CN"/>
        </w:rPr>
        <w:t>要准确</w:t>
      </w:r>
      <w:r>
        <w:rPr>
          <w:rFonts w:eastAsia="方正仿宋_GBK"/>
        </w:rPr>
        <w:t>把握政策口径，</w:t>
      </w:r>
      <w:r>
        <w:rPr>
          <w:rFonts w:hint="eastAsia" w:eastAsia="方正仿宋_GBK"/>
          <w:lang w:eastAsia="zh-CN"/>
        </w:rPr>
        <w:t>加强初审环节的业务导向，确保申报资料的真实性、严谨性，同时要注重补贴汇总表质量，尤其是注意脱贫人口的银行卡信息，提高外出务工交通补助划拨效率。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eastAsia="方正仿宋_GBK"/>
          <w:lang w:eastAsia="zh-CN"/>
        </w:rPr>
      </w:pPr>
    </w:p>
    <w:p>
      <w:pPr>
        <w:spacing w:line="594" w:lineRule="exact"/>
        <w:ind w:firstLine="640" w:firstLineChars="200"/>
        <w:rPr>
          <w:rFonts w:hint="eastAsia" w:ascii="方正仿宋_GBK" w:eastAsia="方正仿宋_GBK"/>
          <w:szCs w:val="32"/>
        </w:rPr>
      </w:pPr>
      <w:r>
        <w:rPr>
          <w:rFonts w:hint="eastAsia" w:eastAsia="方正仿宋_GBK"/>
          <w:lang w:val="en-US" w:eastAsia="zh-CN"/>
        </w:rPr>
        <w:t>附件：全县外出务工交通补助申报情况（截止2021.11.17）</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59264"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1"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21</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17</w:t>
      </w:r>
      <w:r>
        <w:rPr>
          <w:rFonts w:eastAsia="方正仿宋_GBK"/>
          <w:szCs w:val="32"/>
        </w:rPr>
        <w:t>日</w:t>
      </w:r>
    </w:p>
    <w:p>
      <w:pPr>
        <w:spacing w:line="560" w:lineRule="exact"/>
        <w:rPr>
          <w:rFonts w:eastAsia="方正仿宋_GBK"/>
          <w:szCs w:val="32"/>
        </w:rPr>
      </w:pPr>
    </w:p>
    <w:p>
      <w:pPr>
        <w:spacing w:line="560" w:lineRule="exact"/>
        <w:rPr>
          <w:rFonts w:eastAsia="方正仿宋_GBK"/>
          <w:szCs w:val="32"/>
        </w:rPr>
      </w:pPr>
      <w:r>
        <w:rPr>
          <w:rFonts w:hint="eastAsia" w:eastAsia="方正仿宋_GBK"/>
        </w:rPr>
        <w:t>（联系人：</w:t>
      </w:r>
      <w:r>
        <w:rPr>
          <w:rFonts w:hint="eastAsia" w:eastAsia="方正仿宋_GBK"/>
          <w:lang w:eastAsia="zh-CN"/>
        </w:rPr>
        <w:t>冉旭辉</w:t>
      </w:r>
      <w:r>
        <w:rPr>
          <w:rFonts w:hint="eastAsia" w:eastAsia="方正仿宋_GBK"/>
        </w:rPr>
        <w:t>；联系电话：023-73330902，</w:t>
      </w:r>
      <w:r>
        <w:rPr>
          <w:rFonts w:hint="eastAsia" w:eastAsia="方正仿宋_GBK"/>
          <w:lang w:val="en-US" w:eastAsia="zh-CN"/>
        </w:rPr>
        <w:t>18716277221</w:t>
      </w:r>
      <w:r>
        <w:rPr>
          <w:rFonts w:hint="eastAsia" w:eastAsia="方正仿宋_GBK"/>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K" w:hAnsi="方正仿宋_GBK" w:eastAsia="方正仿宋_GBK" w:cs="方正仿宋_GBK"/>
          <w:sz w:val="32"/>
          <w:szCs w:val="32"/>
          <w:lang w:val="en-US" w:eastAsia="zh-CN"/>
        </w:rPr>
      </w:pPr>
      <w:r>
        <w:rPr>
          <w:rFonts w:eastAsia="方正仿宋_GBK"/>
          <w:szCs w:val="32"/>
        </w:rPr>
        <w:br w:type="page"/>
      </w: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4"/>
          <w:szCs w:val="44"/>
          <w:lang w:val="en-US" w:eastAsia="zh-CN"/>
        </w:rPr>
        <w:t>全县外出务工交通补助申报情况（截止2021.11.17）</w:t>
      </w:r>
    </w:p>
    <w:tbl>
      <w:tblPr>
        <w:tblStyle w:val="4"/>
        <w:tblpPr w:leftFromText="180" w:rightFromText="180" w:vertAnchor="text" w:horzAnchor="page" w:tblpX="1830" w:tblpY="217"/>
        <w:tblOverlap w:val="never"/>
        <w:tblW w:w="48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1061"/>
        <w:gridCol w:w="2681"/>
        <w:gridCol w:w="1827"/>
        <w:gridCol w:w="2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序号</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乡镇</w:t>
            </w:r>
          </w:p>
        </w:tc>
        <w:tc>
          <w:tcPr>
            <w:tcW w:w="1541"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应落实交通补贴人数</w:t>
            </w:r>
          </w:p>
        </w:tc>
        <w:tc>
          <w:tcPr>
            <w:tcW w:w="10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已申报情况</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申报进度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南宾街道</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435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443</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万安街道</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351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83</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西沱镇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642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439</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黄水镇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227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162</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下路街道</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1209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980</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悦崃镇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743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755</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临溪镇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612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440</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马武镇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545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219</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9</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沙子镇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411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214</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王场镇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795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388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11</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沿溪镇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857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102</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龙沙镇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479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314</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鱼池镇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804</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286</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14</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三河镇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725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658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90.76%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15</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大歇镇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638</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268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16</w:t>
            </w:r>
          </w:p>
        </w:tc>
        <w:tc>
          <w:tcPr>
            <w:tcW w:w="609" w:type="pc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桥头镇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309</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仿宋_GBK" w:cs="Times New Roman"/>
                <w:b w:val="0"/>
                <w:bCs w:val="0"/>
                <w:i w:val="0"/>
                <w:iCs w:val="0"/>
                <w:color w:val="000000"/>
                <w:sz w:val="20"/>
                <w:szCs w:val="20"/>
                <w:u w:val="none"/>
                <w:lang w:val="en-US" w:eastAsia="zh-CN"/>
              </w:rPr>
            </w:pPr>
            <w:r>
              <w:rPr>
                <w:rFonts w:hint="eastAsia" w:eastAsia="方正仿宋_GBK" w:cs="Times New Roman"/>
                <w:b w:val="0"/>
                <w:bCs w:val="0"/>
                <w:i w:val="0"/>
                <w:iCs w:val="0"/>
                <w:color w:val="000000"/>
                <w:sz w:val="20"/>
                <w:szCs w:val="20"/>
                <w:u w:val="none"/>
                <w:lang w:val="en-US" w:eastAsia="zh-CN"/>
              </w:rPr>
              <w:t>0</w:t>
            </w:r>
          </w:p>
        </w:tc>
        <w:tc>
          <w:tcPr>
            <w:tcW w:w="1420"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FF0000"/>
                <w:sz w:val="20"/>
                <w:szCs w:val="20"/>
                <w:u w:val="none"/>
              </w:rPr>
            </w:pPr>
            <w:r>
              <w:rPr>
                <w:rFonts w:hint="default" w:ascii="Times New Roman" w:hAnsi="Times New Roman" w:eastAsia="方正仿宋_GBK" w:cs="Times New Roman"/>
                <w:b w:val="0"/>
                <w:bCs w:val="0"/>
                <w:i w:val="0"/>
                <w:iCs w:val="0"/>
                <w:color w:val="FF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17</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万朝镇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537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452</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冷水镇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138</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仿宋_GBK" w:cs="Times New Roman"/>
                <w:b w:val="0"/>
                <w:bCs w:val="0"/>
                <w:i w:val="0"/>
                <w:iCs w:val="0"/>
                <w:color w:val="000000"/>
                <w:sz w:val="20"/>
                <w:szCs w:val="20"/>
                <w:u w:val="none"/>
                <w:lang w:val="en-US" w:eastAsia="zh-CN"/>
              </w:rPr>
            </w:pPr>
            <w:r>
              <w:rPr>
                <w:rFonts w:hint="eastAsia" w:eastAsia="方正仿宋_GBK" w:cs="Times New Roman"/>
                <w:b w:val="0"/>
                <w:bCs w:val="0"/>
                <w:i w:val="0"/>
                <w:iCs w:val="0"/>
                <w:color w:val="000000"/>
                <w:sz w:val="20"/>
                <w:szCs w:val="20"/>
                <w:u w:val="none"/>
                <w:lang w:val="en-US" w:eastAsia="zh-CN"/>
              </w:rPr>
              <w:t>0</w:t>
            </w:r>
          </w:p>
        </w:tc>
        <w:tc>
          <w:tcPr>
            <w:tcW w:w="1420"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FF0000"/>
                <w:sz w:val="20"/>
                <w:szCs w:val="20"/>
                <w:u w:val="none"/>
              </w:rPr>
            </w:pPr>
            <w:r>
              <w:rPr>
                <w:rFonts w:hint="default" w:ascii="Times New Roman" w:hAnsi="Times New Roman" w:eastAsia="方正仿宋_GBK" w:cs="Times New Roman"/>
                <w:b w:val="0"/>
                <w:bCs w:val="0"/>
                <w:i w:val="0"/>
                <w:iCs w:val="0"/>
                <w:color w:val="FF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19</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黄鹤镇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182</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仿宋_GBK" w:cs="Times New Roman"/>
                <w:b w:val="0"/>
                <w:bCs w:val="0"/>
                <w:i w:val="0"/>
                <w:iCs w:val="0"/>
                <w:color w:val="000000"/>
                <w:sz w:val="20"/>
                <w:szCs w:val="20"/>
                <w:u w:val="none"/>
                <w:lang w:val="en-US" w:eastAsia="zh-CN"/>
              </w:rPr>
            </w:pPr>
            <w:r>
              <w:rPr>
                <w:rFonts w:hint="eastAsia" w:eastAsia="方正仿宋_GBK" w:cs="Times New Roman"/>
                <w:b w:val="0"/>
                <w:bCs w:val="0"/>
                <w:i w:val="0"/>
                <w:iCs w:val="0"/>
                <w:color w:val="000000"/>
                <w:sz w:val="20"/>
                <w:szCs w:val="20"/>
                <w:u w:val="none"/>
                <w:lang w:val="en-US" w:eastAsia="zh-CN"/>
              </w:rPr>
              <w:t>0</w:t>
            </w:r>
          </w:p>
        </w:tc>
        <w:tc>
          <w:tcPr>
            <w:tcW w:w="1420"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FF0000"/>
                <w:sz w:val="20"/>
                <w:szCs w:val="20"/>
                <w:u w:val="none"/>
              </w:rPr>
            </w:pPr>
            <w:r>
              <w:rPr>
                <w:rFonts w:hint="default" w:ascii="Times New Roman" w:hAnsi="Times New Roman" w:eastAsia="方正仿宋_GBK" w:cs="Times New Roman"/>
                <w:b w:val="0"/>
                <w:bCs w:val="0"/>
                <w:i w:val="0"/>
                <w:iCs w:val="0"/>
                <w:color w:val="FF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20</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枫木镇</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306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377</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21</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黎场乡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315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179</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三星乡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455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288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23</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六塘乡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395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202</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24</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三益乡</w:t>
            </w:r>
          </w:p>
        </w:tc>
        <w:tc>
          <w:tcPr>
            <w:tcW w:w="1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438</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仿宋_GBK" w:cs="Times New Roman"/>
                <w:b w:val="0"/>
                <w:bCs w:val="0"/>
                <w:i w:val="0"/>
                <w:iCs w:val="0"/>
                <w:color w:val="000000"/>
                <w:sz w:val="20"/>
                <w:szCs w:val="20"/>
                <w:u w:val="none"/>
                <w:lang w:val="en-US" w:eastAsia="zh-CN"/>
              </w:rPr>
            </w:pPr>
            <w:r>
              <w:rPr>
                <w:rFonts w:hint="eastAsia" w:eastAsia="方正仿宋_GBK" w:cs="Times New Roman"/>
                <w:b w:val="0"/>
                <w:bCs w:val="0"/>
                <w:i w:val="0"/>
                <w:iCs w:val="0"/>
                <w:color w:val="000000"/>
                <w:sz w:val="20"/>
                <w:szCs w:val="20"/>
                <w:u w:val="none"/>
                <w:lang w:val="en-US" w:eastAsia="zh-CN"/>
              </w:rPr>
              <w:t>0</w:t>
            </w:r>
          </w:p>
        </w:tc>
        <w:tc>
          <w:tcPr>
            <w:tcW w:w="1420"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FF0000"/>
                <w:sz w:val="20"/>
                <w:szCs w:val="20"/>
                <w:u w:val="none"/>
              </w:rPr>
            </w:pPr>
            <w:r>
              <w:rPr>
                <w:rFonts w:hint="default" w:ascii="Times New Roman" w:hAnsi="Times New Roman" w:eastAsia="方正仿宋_GBK" w:cs="Times New Roman"/>
                <w:b w:val="0"/>
                <w:bCs w:val="0"/>
                <w:i w:val="0"/>
                <w:iCs w:val="0"/>
                <w:color w:val="FF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25</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王家乡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381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129</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26</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河嘴乡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459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498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27</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石家乡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434</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217</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28</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中益乡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349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390</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29</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洗新乡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247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186</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30</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龙潭乡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67</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31</w:t>
            </w:r>
          </w:p>
        </w:tc>
        <w:tc>
          <w:tcPr>
            <w:tcW w:w="60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新乐乡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291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178</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金铃乡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129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53</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41.09%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33</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金竹乡</w:t>
            </w:r>
          </w:p>
        </w:tc>
        <w:tc>
          <w:tcPr>
            <w:tcW w:w="1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30</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34</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20"/>
                <w:szCs w:val="20"/>
                <w:u w:val="none"/>
              </w:rPr>
            </w:pPr>
            <w:r>
              <w:rPr>
                <w:rFonts w:hint="default" w:ascii="Times New Roman" w:hAnsi="Times New Roman" w:eastAsia="方正仿宋_GBK" w:cs="Times New Roman"/>
                <w:b w:val="0"/>
                <w:bCs w:val="0"/>
                <w:i w:val="0"/>
                <w:iCs w:val="0"/>
                <w:color w:val="000000"/>
                <w:kern w:val="0"/>
                <w:sz w:val="20"/>
                <w:szCs w:val="20"/>
                <w:u w:val="none"/>
                <w:lang w:val="en-US" w:eastAsia="zh-CN" w:bidi="ar"/>
              </w:rPr>
              <w:t>113.33%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K" w:cs="Times New Roman"/>
                <w:b w:val="0"/>
                <w:bCs w:val="0"/>
                <w:i w:val="0"/>
                <w:iCs w:val="0"/>
                <w:color w:val="000000"/>
                <w:kern w:val="0"/>
                <w:sz w:val="20"/>
                <w:szCs w:val="20"/>
                <w:u w:val="none"/>
                <w:lang w:val="en-US" w:eastAsia="zh-CN" w:bidi="ar"/>
              </w:rPr>
            </w:pPr>
            <w:r>
              <w:rPr>
                <w:rFonts w:hint="eastAsia" w:ascii="Times New Roman" w:hAnsi="Times New Roman" w:eastAsia="方正仿宋_GBK" w:cs="Times New Roman"/>
                <w:b w:val="0"/>
                <w:bCs w:val="0"/>
                <w:i w:val="0"/>
                <w:iCs w:val="0"/>
                <w:color w:val="000000"/>
                <w:kern w:val="0"/>
                <w:sz w:val="20"/>
                <w:szCs w:val="20"/>
                <w:u w:val="none"/>
                <w:lang w:val="en-US" w:eastAsia="zh-CN" w:bidi="ar"/>
              </w:rPr>
              <w:t>合计</w:t>
            </w:r>
          </w:p>
        </w:tc>
        <w:tc>
          <w:tcPr>
            <w:tcW w:w="1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0"/>
                <w:szCs w:val="20"/>
                <w:u w:val="none"/>
                <w:lang w:val="en-US" w:eastAsia="zh-CN" w:bidi="ar"/>
              </w:rPr>
            </w:pPr>
            <w:r>
              <w:rPr>
                <w:rFonts w:hint="eastAsia" w:ascii="Times New Roman" w:hAnsi="Times New Roman" w:eastAsia="方正仿宋_GBK" w:cs="Times New Roman"/>
                <w:b w:val="0"/>
                <w:bCs w:val="0"/>
                <w:i w:val="0"/>
                <w:iCs w:val="0"/>
                <w:color w:val="000000"/>
                <w:kern w:val="0"/>
                <w:sz w:val="20"/>
                <w:szCs w:val="20"/>
                <w:u w:val="none"/>
                <w:lang w:val="en-US" w:eastAsia="zh-CN" w:bidi="ar"/>
              </w:rPr>
              <w:t>14951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0"/>
                <w:szCs w:val="20"/>
                <w:u w:val="none"/>
                <w:lang w:val="en-US" w:eastAsia="zh-CN" w:bidi="ar"/>
              </w:rPr>
            </w:pPr>
            <w:r>
              <w:rPr>
                <w:rFonts w:hint="eastAsia" w:ascii="Times New Roman" w:hAnsi="Times New Roman" w:eastAsia="方正仿宋_GBK" w:cs="Times New Roman"/>
                <w:b w:val="0"/>
                <w:bCs w:val="0"/>
                <w:i w:val="0"/>
                <w:iCs w:val="0"/>
                <w:color w:val="000000"/>
                <w:kern w:val="0"/>
                <w:sz w:val="20"/>
                <w:szCs w:val="20"/>
                <w:u w:val="none"/>
                <w:lang w:val="en-US" w:eastAsia="zh-CN" w:bidi="ar"/>
              </w:rPr>
              <w:t>9001</w:t>
            </w:r>
          </w:p>
        </w:tc>
        <w:tc>
          <w:tcPr>
            <w:tcW w:w="1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0"/>
                <w:szCs w:val="20"/>
                <w:u w:val="none"/>
                <w:lang w:val="en-US" w:eastAsia="zh-CN" w:bidi="ar"/>
              </w:rPr>
            </w:pPr>
            <w:r>
              <w:rPr>
                <w:rFonts w:hint="eastAsia" w:ascii="Times New Roman" w:hAnsi="Times New Roman" w:eastAsia="方正仿宋_GBK" w:cs="Times New Roman"/>
                <w:b w:val="0"/>
                <w:bCs w:val="0"/>
                <w:i w:val="0"/>
                <w:iCs w:val="0"/>
                <w:color w:val="000000"/>
                <w:kern w:val="0"/>
                <w:sz w:val="20"/>
                <w:szCs w:val="20"/>
                <w:u w:val="none"/>
                <w:lang w:val="en-US" w:eastAsia="zh-CN" w:bidi="ar"/>
              </w:rPr>
              <w:t>60.20%</w:t>
            </w:r>
          </w:p>
        </w:tc>
      </w:tr>
    </w:tbl>
    <w:p>
      <w:pPr>
        <w:spacing w:line="560" w:lineRule="exact"/>
        <w:rPr>
          <w:rFonts w:eastAsia="方正仿宋_GBK"/>
          <w:szCs w:val="32"/>
        </w:rPr>
      </w:pPr>
    </w:p>
    <w:tbl>
      <w:tblPr>
        <w:tblStyle w:val="4"/>
        <w:tblpPr w:leftFromText="180" w:rightFromText="180" w:vertAnchor="text" w:horzAnchor="page" w:tblpX="1542" w:tblpY="6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2021年</w:t>
            </w:r>
            <w:r>
              <w:rPr>
                <w:rFonts w:hint="eastAsia" w:eastAsia="方正仿宋_GBK"/>
                <w:w w:val="85"/>
                <w:kern w:val="0"/>
                <w:sz w:val="28"/>
                <w:szCs w:val="28"/>
                <w:lang w:val="en-US" w:eastAsia="zh-CN"/>
              </w:rPr>
              <w:t>11</w:t>
            </w:r>
            <w:r>
              <w:rPr>
                <w:rFonts w:hint="eastAsia" w:eastAsia="方正仿宋_GBK"/>
                <w:w w:val="85"/>
                <w:kern w:val="0"/>
                <w:sz w:val="28"/>
                <w:szCs w:val="28"/>
              </w:rPr>
              <w:t>月</w:t>
            </w:r>
            <w:r>
              <w:rPr>
                <w:rFonts w:hint="eastAsia" w:eastAsia="方正仿宋_GBK"/>
                <w:w w:val="85"/>
                <w:kern w:val="0"/>
                <w:sz w:val="28"/>
                <w:szCs w:val="28"/>
                <w:lang w:val="en-US" w:eastAsia="zh-CN"/>
              </w:rPr>
              <w:t>17</w:t>
            </w:r>
            <w:r>
              <w:rPr>
                <w:rFonts w:hint="eastAsia" w:eastAsia="方正仿宋_GBK"/>
                <w:w w:val="85"/>
                <w:kern w:val="0"/>
                <w:sz w:val="28"/>
                <w:szCs w:val="28"/>
              </w:rPr>
              <w:t>日印发</w:t>
            </w:r>
          </w:p>
        </w:tc>
      </w:tr>
    </w:tbl>
    <w:p>
      <w:pPr>
        <w:spacing w:line="560" w:lineRule="exact"/>
        <w:rPr>
          <w:rFonts w:eastAsia="方正仿宋_GBK"/>
          <w:szCs w:val="32"/>
        </w:rPr>
      </w:pPr>
    </w:p>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97A42"/>
    <w:multiLevelType w:val="singleLevel"/>
    <w:tmpl w:val="34597A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46FA1939"/>
    <w:rsid w:val="46FA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2024-05-28T08:05:00Z</dcterms:created>
  <dc:creator>安然弱水</dc:creator>
  <cp:lastModifiedBy>安然弱水</cp:lastModifiedBy>
  <dcterms:modified xsi:type="dcterms:W3CDTF">2024-05-28T08:05:42Z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2393DCB88FEF46E790E07833635DC3B5_11</vt:lpwstr>
  </property>
</Properties>
</file>