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line="560" w:lineRule="exact"/>
        <w:ind w:left="1742" w:hanging="2030"/>
        <w:jc w:val="center"/>
        <w:rPr>
          <w:rFonts w:ascii="宋体" w:hAnsi="宋体" w:eastAsia="宋体" w:cs="宋体"/>
          <w:snapToGrid/>
          <w:spacing w:val="34"/>
          <w:kern w:val="0"/>
          <w:sz w:val="24"/>
          <w:szCs w:val="24"/>
        </w:rPr>
      </w:pPr>
      <w:bookmarkStart w:id="0" w:name="_GoBack"/>
      <w:bookmarkEnd w:id="0"/>
      <w:r>
        <w:rPr>
          <w:rFonts w:hint="eastAsia" w:ascii="方正小标宋_GBK" w:hAnsi="宋体" w:eastAsia="方正小标宋_GBK" w:cs="宋体"/>
          <w:snapToGrid/>
          <w:spacing w:val="34"/>
          <w:kern w:val="0"/>
          <w:sz w:val="44"/>
          <w:szCs w:val="44"/>
        </w:rPr>
        <w:t>石柱土家族自治县生态环境局</w:t>
      </w:r>
    </w:p>
    <w:p>
      <w:pPr>
        <w:widowControl/>
        <w:spacing w:before="100" w:beforeAutospacing="1" w:line="560" w:lineRule="exact"/>
        <w:ind w:left="1742" w:hanging="1757"/>
        <w:jc w:val="center"/>
        <w:rPr>
          <w:rFonts w:ascii="宋体" w:hAnsi="宋体" w:eastAsia="宋体" w:cs="宋体"/>
          <w:snapToGrid/>
          <w:kern w:val="0"/>
          <w:sz w:val="24"/>
          <w:szCs w:val="24"/>
        </w:rPr>
      </w:pPr>
      <w:r>
        <w:rPr>
          <w:rFonts w:hint="eastAsia" w:ascii="方正小标宋_GBK" w:hAnsi="等线" w:eastAsia="方正小标宋_GBK" w:cs="宋体"/>
          <w:snapToGrid/>
          <w:kern w:val="0"/>
          <w:sz w:val="44"/>
          <w:szCs w:val="44"/>
        </w:rPr>
        <w:t>石柱土家族自治县农业农村委员会</w:t>
      </w:r>
    </w:p>
    <w:p>
      <w:pPr>
        <w:widowControl/>
        <w:spacing w:before="100" w:beforeAutospacing="1" w:line="560" w:lineRule="exact"/>
        <w:jc w:val="center"/>
        <w:rPr>
          <w:rFonts w:ascii="宋体" w:hAnsi="宋体" w:eastAsia="宋体" w:cs="宋体"/>
          <w:snapToGrid/>
          <w:kern w:val="0"/>
          <w:sz w:val="24"/>
          <w:szCs w:val="24"/>
        </w:rPr>
      </w:pPr>
      <w:r>
        <w:rPr>
          <w:rFonts w:hint="eastAsia" w:ascii="方正小标宋_GBK" w:hAnsi="宋体" w:eastAsia="方正小标宋_GBK" w:cs="宋体"/>
          <w:snapToGrid/>
          <w:kern w:val="0"/>
          <w:sz w:val="44"/>
          <w:szCs w:val="44"/>
        </w:rPr>
        <w:t>关于印发石柱县畜禽养殖禁养区划定</w:t>
      </w:r>
    </w:p>
    <w:p>
      <w:pPr>
        <w:widowControl/>
        <w:spacing w:before="100" w:beforeAutospacing="1" w:line="560" w:lineRule="exact"/>
        <w:jc w:val="center"/>
        <w:rPr>
          <w:rFonts w:ascii="宋体" w:hAnsi="宋体" w:eastAsia="宋体" w:cs="宋体"/>
          <w:snapToGrid/>
          <w:kern w:val="0"/>
          <w:sz w:val="24"/>
          <w:szCs w:val="24"/>
        </w:rPr>
      </w:pPr>
      <w:r>
        <w:rPr>
          <w:rFonts w:hint="eastAsia" w:ascii="方正小标宋_GBK" w:hAnsi="宋体" w:eastAsia="方正小标宋_GBK" w:cs="宋体"/>
          <w:snapToGrid/>
          <w:kern w:val="0"/>
          <w:sz w:val="44"/>
          <w:szCs w:val="44"/>
        </w:rPr>
        <w:t>调整方案的通知</w:t>
      </w:r>
    </w:p>
    <w:p>
      <w:pPr>
        <w:widowControl/>
        <w:spacing w:before="100" w:beforeAutospacing="1" w:line="560" w:lineRule="exact"/>
        <w:jc w:val="left"/>
        <w:rPr>
          <w:rFonts w:ascii="宋体" w:hAnsi="宋体" w:eastAsia="宋体" w:cs="宋体"/>
          <w:snapToGrid/>
          <w:kern w:val="0"/>
          <w:sz w:val="24"/>
          <w:szCs w:val="24"/>
        </w:rPr>
      </w:pPr>
    </w:p>
    <w:p>
      <w:pPr>
        <w:widowControl/>
        <w:spacing w:before="100" w:beforeAutospacing="1" w:line="560" w:lineRule="exact"/>
        <w:jc w:val="left"/>
        <w:rPr>
          <w:rFonts w:ascii="宋体" w:hAnsi="宋体" w:eastAsia="宋体" w:cs="宋体"/>
          <w:snapToGrid/>
          <w:kern w:val="0"/>
          <w:sz w:val="24"/>
          <w:szCs w:val="24"/>
        </w:rPr>
      </w:pPr>
      <w:r>
        <w:rPr>
          <w:rFonts w:hint="eastAsia" w:ascii="方正仿宋_GBK" w:hAnsi="宋体" w:cs="宋体"/>
          <w:snapToGrid/>
          <w:kern w:val="0"/>
          <w:sz w:val="32"/>
          <w:szCs w:val="32"/>
        </w:rPr>
        <w:t>各乡镇（街道）人民政府（办事处），县政府各部门，有关单位：</w:t>
      </w:r>
    </w:p>
    <w:p>
      <w:pPr>
        <w:widowControl/>
        <w:spacing w:before="100" w:beforeAutospacing="1" w:line="560" w:lineRule="exact"/>
        <w:ind w:firstLine="475"/>
        <w:jc w:val="left"/>
        <w:rPr>
          <w:rFonts w:ascii="宋体" w:hAnsi="宋体" w:eastAsia="宋体" w:cs="宋体"/>
          <w:snapToGrid/>
          <w:kern w:val="0"/>
          <w:sz w:val="24"/>
          <w:szCs w:val="24"/>
        </w:rPr>
      </w:pPr>
      <w:r>
        <w:rPr>
          <w:rFonts w:hint="eastAsia" w:ascii="方正仿宋_GBK" w:hAnsi="等线" w:cs="宋体"/>
          <w:snapToGrid/>
          <w:kern w:val="0"/>
          <w:sz w:val="32"/>
          <w:szCs w:val="32"/>
        </w:rPr>
        <w:t>按照重庆市生态环境局、重庆市农业农村委《关于规范畜禽养殖禁养区划定和管理促进生猪生产发展的通知》（渝环〔</w:t>
      </w:r>
      <w:r>
        <w:rPr>
          <w:rFonts w:hint="eastAsia" w:ascii="方正仿宋_GBK" w:hAnsi="宋体" w:cs="宋体"/>
          <w:snapToGrid/>
          <w:kern w:val="0"/>
          <w:sz w:val="32"/>
          <w:szCs w:val="32"/>
        </w:rPr>
        <w:t>2019</w:t>
      </w:r>
      <w:r>
        <w:rPr>
          <w:rFonts w:hint="eastAsia" w:ascii="方正仿宋_GBK" w:hAnsi="等线" w:cs="宋体"/>
          <w:snapToGrid/>
          <w:kern w:val="0"/>
          <w:sz w:val="32"/>
          <w:szCs w:val="32"/>
        </w:rPr>
        <w:t>〕</w:t>
      </w:r>
      <w:r>
        <w:rPr>
          <w:rFonts w:hint="eastAsia" w:ascii="方正仿宋_GBK" w:hAnsi="宋体" w:cs="宋体"/>
          <w:snapToGrid/>
          <w:kern w:val="0"/>
          <w:sz w:val="32"/>
          <w:szCs w:val="32"/>
        </w:rPr>
        <w:t>187</w:t>
      </w:r>
      <w:r>
        <w:rPr>
          <w:rFonts w:hint="eastAsia" w:ascii="方正仿宋_GBK" w:hAnsi="等线" w:cs="宋体"/>
          <w:snapToGrid/>
          <w:kern w:val="0"/>
          <w:sz w:val="32"/>
          <w:szCs w:val="32"/>
        </w:rPr>
        <w:t>号）要求，县生态环境局、县农业农村委牵头对我县畜禽养殖禁养区进行了调整，《石柱县畜禽养殖禁养区划定调整方案》已经县政府同意，现印发给你们，请认真组织实施。</w:t>
      </w:r>
    </w:p>
    <w:p>
      <w:pPr>
        <w:widowControl/>
        <w:spacing w:before="100" w:beforeAutospacing="1" w:line="560" w:lineRule="exact"/>
        <w:jc w:val="left"/>
        <w:rPr>
          <w:rFonts w:ascii="宋体" w:hAnsi="宋体" w:eastAsia="宋体" w:cs="宋体"/>
          <w:snapToGrid/>
          <w:kern w:val="0"/>
          <w:sz w:val="24"/>
          <w:szCs w:val="24"/>
        </w:rPr>
      </w:pPr>
    </w:p>
    <w:p>
      <w:pPr>
        <w:widowControl/>
        <w:spacing w:before="100" w:beforeAutospacing="1" w:line="560" w:lineRule="exact"/>
        <w:ind w:firstLine="144"/>
        <w:jc w:val="left"/>
        <w:rPr>
          <w:rFonts w:ascii="宋体" w:hAnsi="宋体" w:eastAsia="宋体" w:cs="宋体"/>
          <w:snapToGrid/>
          <w:kern w:val="0"/>
          <w:sz w:val="24"/>
          <w:szCs w:val="24"/>
        </w:rPr>
      </w:pPr>
      <w:r>
        <w:rPr>
          <w:rFonts w:hint="eastAsia" w:ascii="方正仿宋_GBK" w:hAnsi="等线" w:cs="宋体"/>
          <w:snapToGrid/>
          <w:spacing w:val="2"/>
          <w:kern w:val="0"/>
          <w:sz w:val="32"/>
          <w:szCs w:val="32"/>
        </w:rPr>
        <w:t>石柱土家族自治县生态环境</w:t>
      </w:r>
      <w:r>
        <w:rPr>
          <w:rFonts w:hint="eastAsia" w:ascii="方正仿宋_GBK" w:hAnsi="等线" w:cs="宋体"/>
          <w:snapToGrid/>
          <w:spacing w:val="-6"/>
          <w:kern w:val="0"/>
          <w:sz w:val="32"/>
          <w:szCs w:val="32"/>
        </w:rPr>
        <w:t>局</w:t>
      </w:r>
      <w:r>
        <w:rPr>
          <w:rFonts w:hint="eastAsia" w:ascii="MS Mincho" w:hAnsi="MS Mincho" w:eastAsia="MS Mincho" w:cs="MS Mincho"/>
          <w:snapToGrid/>
          <w:kern w:val="0"/>
          <w:sz w:val="32"/>
          <w:szCs w:val="32"/>
        </w:rPr>
        <w:t>    </w:t>
      </w:r>
      <w:r>
        <w:rPr>
          <w:rFonts w:hint="eastAsia" w:ascii="方正仿宋_GBK" w:hAnsi="等线" w:cs="宋体"/>
          <w:snapToGrid/>
          <w:kern w:val="0"/>
          <w:sz w:val="32"/>
          <w:szCs w:val="32"/>
        </w:rPr>
        <w:t> </w:t>
      </w:r>
      <w:r>
        <w:rPr>
          <w:rFonts w:hint="eastAsia" w:ascii="方正仿宋_GBK" w:hAnsi="等线" w:cs="宋体"/>
          <w:snapToGrid/>
          <w:spacing w:val="2"/>
          <w:kern w:val="0"/>
          <w:sz w:val="32"/>
          <w:szCs w:val="32"/>
        </w:rPr>
        <w:t>石柱土家族自治县农业农村</w:t>
      </w:r>
      <w:r>
        <w:rPr>
          <w:rFonts w:hint="eastAsia" w:ascii="方正仿宋_GBK" w:hAnsi="等线" w:cs="宋体"/>
          <w:snapToGrid/>
          <w:spacing w:val="-6"/>
          <w:kern w:val="0"/>
          <w:sz w:val="32"/>
          <w:szCs w:val="32"/>
        </w:rPr>
        <w:t>委</w:t>
      </w:r>
    </w:p>
    <w:p>
      <w:pPr>
        <w:widowControl/>
        <w:spacing w:before="100" w:beforeAutospacing="1" w:line="560" w:lineRule="exact"/>
        <w:jc w:val="center"/>
        <w:rPr>
          <w:rFonts w:ascii="宋体" w:hAnsi="宋体" w:eastAsia="宋体" w:cs="宋体"/>
          <w:snapToGrid/>
          <w:kern w:val="0"/>
          <w:sz w:val="24"/>
          <w:szCs w:val="24"/>
        </w:rPr>
      </w:pPr>
      <w:r>
        <w:rPr>
          <w:rFonts w:hint="eastAsia" w:ascii="MS Mincho" w:hAnsi="MS Mincho" w:eastAsia="MS Mincho" w:cs="MS Mincho"/>
          <w:snapToGrid/>
          <w:kern w:val="0"/>
          <w:sz w:val="24"/>
          <w:szCs w:val="24"/>
        </w:rPr>
        <w:t>                        </w:t>
      </w:r>
      <w:r>
        <w:rPr>
          <w:rFonts w:ascii="宋体" w:hAnsi="宋体" w:eastAsia="宋体" w:cs="宋体"/>
          <w:snapToGrid/>
          <w:kern w:val="0"/>
          <w:sz w:val="24"/>
          <w:szCs w:val="24"/>
        </w:rPr>
        <w:t> </w:t>
      </w:r>
      <w:r>
        <w:rPr>
          <w:rFonts w:hint="eastAsia" w:ascii="方正仿宋_GBK" w:hAnsi="宋体" w:cs="宋体"/>
          <w:snapToGrid/>
          <w:kern w:val="0"/>
          <w:sz w:val="32"/>
          <w:szCs w:val="32"/>
        </w:rPr>
        <w:t>2019</w:t>
      </w:r>
      <w:r>
        <w:rPr>
          <w:rFonts w:hint="eastAsia" w:ascii="方正仿宋_GBK" w:hAnsi="等线" w:cs="宋体"/>
          <w:snapToGrid/>
          <w:kern w:val="0"/>
          <w:sz w:val="32"/>
          <w:szCs w:val="32"/>
        </w:rPr>
        <w:t>年</w:t>
      </w:r>
      <w:r>
        <w:rPr>
          <w:rFonts w:hint="eastAsia" w:ascii="方正仿宋_GBK" w:hAnsi="宋体" w:cs="宋体"/>
          <w:snapToGrid/>
          <w:kern w:val="0"/>
          <w:sz w:val="32"/>
          <w:szCs w:val="32"/>
        </w:rPr>
        <w:t>12</w:t>
      </w:r>
      <w:r>
        <w:rPr>
          <w:rFonts w:hint="eastAsia" w:ascii="方正仿宋_GBK" w:hAnsi="等线" w:cs="宋体"/>
          <w:snapToGrid/>
          <w:kern w:val="0"/>
          <w:sz w:val="32"/>
          <w:szCs w:val="32"/>
        </w:rPr>
        <w:t>月</w:t>
      </w:r>
      <w:r>
        <w:rPr>
          <w:rFonts w:hint="eastAsia" w:ascii="方正仿宋_GBK" w:hAnsi="宋体" w:cs="宋体"/>
          <w:snapToGrid/>
          <w:kern w:val="0"/>
          <w:sz w:val="32"/>
          <w:szCs w:val="32"/>
        </w:rPr>
        <w:t>31</w:t>
      </w:r>
      <w:r>
        <w:rPr>
          <w:rFonts w:hint="eastAsia" w:ascii="方正仿宋_GBK" w:hAnsi="等线" w:cs="宋体"/>
          <w:snapToGrid/>
          <w:kern w:val="0"/>
          <w:sz w:val="32"/>
          <w:szCs w:val="32"/>
        </w:rPr>
        <w:t>日　　　　</w:t>
      </w:r>
    </w:p>
    <w:p>
      <w:pPr>
        <w:widowControl/>
        <w:spacing w:before="100" w:beforeAutospacing="1" w:line="560" w:lineRule="exact"/>
        <w:jc w:val="left"/>
        <w:rPr>
          <w:rFonts w:ascii="宋体" w:hAnsi="宋体" w:eastAsia="宋体" w:cs="宋体"/>
          <w:snapToGrid/>
          <w:kern w:val="0"/>
          <w:sz w:val="24"/>
          <w:szCs w:val="24"/>
        </w:rPr>
      </w:pPr>
      <w:r>
        <w:rPr>
          <w:rFonts w:hint="eastAsia" w:ascii="方正仿宋_GBK" w:hAnsi="等线" w:cs="宋体"/>
          <w:snapToGrid/>
          <w:kern w:val="0"/>
          <w:sz w:val="32"/>
          <w:szCs w:val="32"/>
        </w:rPr>
        <w:t>此件公开发布</w:t>
      </w:r>
    </w:p>
    <w:p>
      <w:pPr>
        <w:widowControl/>
        <w:spacing w:before="100" w:beforeAutospacing="1" w:line="547" w:lineRule="atLeast"/>
        <w:jc w:val="center"/>
        <w:rPr>
          <w:rFonts w:ascii="宋体" w:hAnsi="宋体" w:eastAsia="宋体" w:cs="宋体"/>
          <w:snapToGrid/>
          <w:kern w:val="0"/>
          <w:sz w:val="24"/>
          <w:szCs w:val="24"/>
        </w:rPr>
      </w:pPr>
      <w:r>
        <w:rPr>
          <w:rFonts w:hint="eastAsia" w:ascii="方正小标宋_GBK" w:hAnsi="宋体" w:eastAsia="方正小标宋_GBK" w:cs="宋体"/>
          <w:snapToGrid/>
          <w:kern w:val="0"/>
          <w:sz w:val="44"/>
          <w:szCs w:val="44"/>
        </w:rPr>
        <w:t>石柱县畜禽养殖禁养区划定调整方案</w:t>
      </w:r>
    </w:p>
    <w:p>
      <w:pPr>
        <w:widowControl/>
        <w:spacing w:before="100" w:beforeAutospacing="1" w:line="547" w:lineRule="atLeast"/>
        <w:jc w:val="center"/>
        <w:rPr>
          <w:rFonts w:ascii="宋体" w:hAnsi="宋体" w:eastAsia="宋体" w:cs="宋体"/>
          <w:snapToGrid/>
          <w:kern w:val="0"/>
          <w:sz w:val="24"/>
          <w:szCs w:val="24"/>
        </w:rPr>
      </w:pP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宋体" w:cs="宋体"/>
          <w:snapToGrid/>
          <w:kern w:val="0"/>
          <w:sz w:val="32"/>
          <w:szCs w:val="32"/>
        </w:rPr>
        <w:t>为优化全县畜禽养殖产业布局，加快推进全县畜禽养殖废弃物综合利用和无害化处理，促进全县畜牧业的健康发展，根据《畜禽规模养殖污染防治条例》（国务院令第643号）、《畜禽养殖禁养区划定技术指南》（环办水体〔2016〕99号）、《重庆市长江三峡水库库区及流域水污染防治条例》精神，按照《重庆市人民政府办公厅关于进一步加强畜禽养殖污染防治工作的通知》（渝府办〔2013〕114号）、《重庆市生态环境局、重庆市农业农村委员会关于规范畜禽养殖禁养区划定和管理促进生猪生产发展的通知》（渝环〔2019〕187号）工作要求，制定本方案。</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黑体_GBK" w:hAnsi="宋体" w:eastAsia="方正黑体_GBK" w:cs="宋体"/>
          <w:snapToGrid/>
          <w:kern w:val="0"/>
          <w:sz w:val="32"/>
          <w:szCs w:val="32"/>
        </w:rPr>
        <w:t>一、基本原则和划定依据</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宋体" w:eastAsia="方正楷体_GBK" w:cs="宋体"/>
          <w:snapToGrid/>
          <w:kern w:val="0"/>
          <w:sz w:val="32"/>
          <w:szCs w:val="32"/>
        </w:rPr>
        <w:t>（一）基本原则</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宋体" w:eastAsia="方正楷体_GBK" w:cs="宋体"/>
          <w:snapToGrid/>
          <w:kern w:val="0"/>
          <w:sz w:val="32"/>
          <w:szCs w:val="32"/>
        </w:rPr>
        <w:t>1.</w:t>
      </w:r>
      <w:r>
        <w:rPr>
          <w:rFonts w:hint="eastAsia" w:ascii="方正楷体_GBK" w:hAnsi="等线" w:eastAsia="方正楷体_GBK" w:cs="宋体"/>
          <w:snapToGrid/>
          <w:kern w:val="0"/>
          <w:sz w:val="32"/>
          <w:szCs w:val="32"/>
        </w:rPr>
        <w:t>依法划定，分类管理。</w:t>
      </w:r>
      <w:r>
        <w:rPr>
          <w:rFonts w:hint="eastAsia" w:ascii="方正仿宋_GBK" w:hAnsi="等线" w:cs="宋体"/>
          <w:snapToGrid/>
          <w:kern w:val="0"/>
          <w:sz w:val="32"/>
          <w:szCs w:val="32"/>
        </w:rPr>
        <w:t>根据国家和地方相关法律法规，对禁止或限制畜禽养殖企业布局的区域分别划入禁养区、限养区并进行分类管理，优化区域畜牧业生产布局，改善环境质量。</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宋体" w:eastAsia="方正楷体_GBK" w:cs="宋体"/>
          <w:snapToGrid/>
          <w:kern w:val="0"/>
          <w:sz w:val="32"/>
          <w:szCs w:val="32"/>
        </w:rPr>
        <w:t>2.</w:t>
      </w:r>
      <w:r>
        <w:rPr>
          <w:rFonts w:hint="eastAsia" w:ascii="方正楷体_GBK" w:hAnsi="等线" w:eastAsia="方正楷体_GBK" w:cs="宋体"/>
          <w:snapToGrid/>
          <w:kern w:val="0"/>
          <w:sz w:val="32"/>
          <w:szCs w:val="32"/>
        </w:rPr>
        <w:t>统筹兼顾、多方协调。</w:t>
      </w:r>
      <w:r>
        <w:rPr>
          <w:rFonts w:hint="eastAsia" w:ascii="方正仿宋_GBK" w:hAnsi="等线" w:cs="宋体"/>
          <w:snapToGrid/>
          <w:kern w:val="0"/>
          <w:sz w:val="32"/>
          <w:szCs w:val="32"/>
        </w:rPr>
        <w:t>统筹区域资源环境承载力、畜产品供给保障能力和养殖废弃物资源化利用能力，并与社会经济发展规划、畜牧业发展规划、畜禽养殖污染防治规划、城乡总体规划、土地利用总体规划等规划相协调，协同推进畜牧业发展和环境保护，加快畜牧业转型升级和绿色发展。</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宋体" w:eastAsia="方正楷体_GBK" w:cs="宋体"/>
          <w:snapToGrid/>
          <w:kern w:val="0"/>
          <w:sz w:val="32"/>
          <w:szCs w:val="32"/>
        </w:rPr>
        <w:t>3.</w:t>
      </w:r>
      <w:r>
        <w:rPr>
          <w:rFonts w:hint="eastAsia" w:ascii="方正楷体_GBK" w:hAnsi="等线" w:eastAsia="方正楷体_GBK" w:cs="宋体"/>
          <w:snapToGrid/>
          <w:kern w:val="0"/>
          <w:sz w:val="32"/>
          <w:szCs w:val="32"/>
        </w:rPr>
        <w:t>科学合理、加强监管。</w:t>
      </w:r>
      <w:r>
        <w:rPr>
          <w:rFonts w:hint="eastAsia" w:ascii="方正仿宋_GBK" w:hAnsi="等线" w:cs="宋体"/>
          <w:snapToGrid/>
          <w:kern w:val="0"/>
          <w:sz w:val="32"/>
          <w:szCs w:val="32"/>
        </w:rPr>
        <w:t>畜禽养殖禁养区划定应结合石柱县“河长制”“水十条”的实施，兼顾江河源头区、重要河流岸带、重要湖库周边等对水环境影响较大的区域，科学合理划定禁养区范围并切实加强环境监管。</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宋体" w:eastAsia="方正楷体_GBK" w:cs="宋体"/>
          <w:snapToGrid/>
          <w:kern w:val="0"/>
          <w:sz w:val="32"/>
          <w:szCs w:val="32"/>
        </w:rPr>
        <w:t>4.</w:t>
      </w:r>
      <w:r>
        <w:rPr>
          <w:rFonts w:hint="eastAsia" w:ascii="方正楷体_GBK" w:hAnsi="等线" w:eastAsia="方正楷体_GBK" w:cs="宋体"/>
          <w:snapToGrid/>
          <w:kern w:val="0"/>
          <w:sz w:val="32"/>
          <w:szCs w:val="32"/>
        </w:rPr>
        <w:t>务实管用、动态调整。</w:t>
      </w:r>
      <w:r>
        <w:rPr>
          <w:rFonts w:hint="eastAsia" w:ascii="方正仿宋_GBK" w:hAnsi="等线" w:cs="宋体"/>
          <w:snapToGrid/>
          <w:kern w:val="0"/>
          <w:sz w:val="32"/>
          <w:szCs w:val="32"/>
        </w:rPr>
        <w:t>畜禽养殖禁养区划定后，必须实行严格管控，明确地理边界、坐标，将畜禽养殖禁养区落地、上图、入库，使本方案成为畜禽养殖项目用地规划、环评审批、行政执法的依据之一，各区域可随着畜禽养殖科学技术的提高、区域环境质量变化，适时进行调整，原则上</w:t>
      </w:r>
      <w:r>
        <w:rPr>
          <w:rFonts w:hint="eastAsia" w:ascii="方正仿宋_GBK" w:hAnsi="宋体" w:cs="宋体"/>
          <w:snapToGrid/>
          <w:kern w:val="0"/>
          <w:sz w:val="32"/>
          <w:szCs w:val="32"/>
        </w:rPr>
        <w:t>5</w:t>
      </w:r>
      <w:r>
        <w:rPr>
          <w:rFonts w:hint="eastAsia" w:ascii="方正仿宋_GBK" w:hAnsi="等线" w:cs="宋体"/>
          <w:snapToGrid/>
          <w:kern w:val="0"/>
          <w:sz w:val="32"/>
          <w:szCs w:val="32"/>
        </w:rPr>
        <w:t>年调整一次。</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宋体" w:eastAsia="方正楷体_GBK" w:cs="宋体"/>
          <w:snapToGrid/>
          <w:kern w:val="0"/>
          <w:sz w:val="32"/>
          <w:szCs w:val="32"/>
        </w:rPr>
        <w:t>5.</w:t>
      </w:r>
      <w:r>
        <w:rPr>
          <w:rFonts w:hint="eastAsia" w:ascii="方正楷体_GBK" w:hAnsi="等线" w:eastAsia="方正楷体_GBK" w:cs="宋体"/>
          <w:snapToGrid/>
          <w:kern w:val="0"/>
          <w:sz w:val="32"/>
          <w:szCs w:val="32"/>
        </w:rPr>
        <w:t>保护优先、从严划定。</w:t>
      </w:r>
      <w:r>
        <w:rPr>
          <w:rFonts w:hint="eastAsia" w:ascii="方正仿宋_GBK" w:hAnsi="等线" w:cs="宋体"/>
          <w:snapToGrid/>
          <w:kern w:val="0"/>
          <w:sz w:val="32"/>
          <w:szCs w:val="32"/>
        </w:rPr>
        <w:t>结合石柱县生态保护红线划定方案，对于同一区域同时可划为禁养区和限养区，划定为禁养区；对于同时具有饮用水源、重要河流岸带（重要湖库周边）和水域功能（</w:t>
      </w:r>
      <w:r>
        <w:rPr>
          <w:rFonts w:hint="eastAsia" w:ascii="方正仿宋_GBK" w:hAnsi="宋体" w:cs="宋体"/>
          <w:snapToGrid/>
          <w:kern w:val="0"/>
          <w:sz w:val="32"/>
          <w:szCs w:val="32"/>
        </w:rPr>
        <w:t>I</w:t>
      </w:r>
      <w:r>
        <w:rPr>
          <w:rFonts w:hint="eastAsia" w:ascii="方正仿宋_GBK" w:hAnsi="等线" w:cs="宋体"/>
          <w:snapToGrid/>
          <w:kern w:val="0"/>
          <w:sz w:val="32"/>
          <w:szCs w:val="32"/>
        </w:rPr>
        <w:t>、</w:t>
      </w:r>
      <w:r>
        <w:rPr>
          <w:rFonts w:hint="eastAsia" w:ascii="方正仿宋_GBK" w:hAnsi="宋体" w:cs="宋体"/>
          <w:snapToGrid/>
          <w:kern w:val="0"/>
          <w:sz w:val="32"/>
          <w:szCs w:val="32"/>
        </w:rPr>
        <w:t>II</w:t>
      </w:r>
      <w:r>
        <w:rPr>
          <w:rFonts w:hint="eastAsia" w:ascii="方正仿宋_GBK" w:hAnsi="等线" w:cs="宋体"/>
          <w:snapToGrid/>
          <w:kern w:val="0"/>
          <w:sz w:val="32"/>
          <w:szCs w:val="32"/>
        </w:rPr>
        <w:t>和</w:t>
      </w:r>
      <w:r>
        <w:rPr>
          <w:rFonts w:hint="eastAsia" w:ascii="方正仿宋_GBK" w:hAnsi="宋体" w:cs="宋体"/>
          <w:snapToGrid/>
          <w:kern w:val="0"/>
          <w:sz w:val="32"/>
          <w:szCs w:val="32"/>
        </w:rPr>
        <w:t>III</w:t>
      </w:r>
      <w:r>
        <w:rPr>
          <w:rFonts w:hint="eastAsia" w:ascii="方正仿宋_GBK" w:hAnsi="等线" w:cs="宋体"/>
          <w:snapToGrid/>
          <w:kern w:val="0"/>
          <w:sz w:val="32"/>
          <w:szCs w:val="32"/>
        </w:rPr>
        <w:t>类水域）属性的河流或水库区域，按饮用水源最优，其次重要河流岸带，最后水域功能的先后顺序进行划定；对于同一陆域同时具有自然保护区、自然遗产地、森林公园、风景名胜区、湿地公园等两个或多个禁止开发区类型的属性，按以上列出顺序进行优先划定和归类。</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宋体" w:eastAsia="方正楷体_GBK" w:cs="宋体"/>
          <w:snapToGrid/>
          <w:kern w:val="0"/>
          <w:sz w:val="32"/>
          <w:szCs w:val="32"/>
        </w:rPr>
        <w:t>（二）划定依据</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宋体" w:cs="宋体"/>
          <w:snapToGrid/>
          <w:kern w:val="0"/>
          <w:sz w:val="32"/>
          <w:szCs w:val="32"/>
        </w:rPr>
        <w:t>1.《中华人民共和国畜牧法》；</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宋体" w:cs="宋体"/>
          <w:snapToGrid/>
          <w:kern w:val="0"/>
          <w:sz w:val="32"/>
          <w:szCs w:val="32"/>
        </w:rPr>
        <w:t>2.《畜禽规模养殖污染防治条例》（国务院令643号）；</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宋体" w:cs="宋体"/>
          <w:snapToGrid/>
          <w:kern w:val="0"/>
          <w:sz w:val="32"/>
          <w:szCs w:val="32"/>
        </w:rPr>
        <w:t>3.《国务院关于印发水污染防治行动计划的通知》（国发〔2015〕17号）；</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宋体" w:cs="宋体"/>
          <w:snapToGrid/>
          <w:kern w:val="0"/>
          <w:sz w:val="32"/>
          <w:szCs w:val="32"/>
        </w:rPr>
        <w:t>4.《国务院办公厅关于加快推进畜禽养殖废弃物资源化利用的意见》（国办发〔2017〕48号）；</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宋体" w:cs="宋体"/>
          <w:snapToGrid/>
          <w:kern w:val="0"/>
          <w:sz w:val="32"/>
          <w:szCs w:val="32"/>
        </w:rPr>
        <w:t>5.《畜禽养殖禁养区划定技术指南》（环办水体〔2016〕99号）；</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宋体" w:cs="宋体"/>
          <w:snapToGrid/>
          <w:kern w:val="0"/>
          <w:sz w:val="32"/>
          <w:szCs w:val="32"/>
        </w:rPr>
        <w:t>6.《关于进一步加强畜禽养殖污染防治工作的通知》（环办水体〔2016〕144号）；</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宋体" w:cs="宋体"/>
          <w:snapToGrid/>
          <w:kern w:val="0"/>
          <w:sz w:val="32"/>
          <w:szCs w:val="32"/>
        </w:rPr>
        <w:t>7.《重庆市环境保护条例》；</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宋体" w:cs="宋体"/>
          <w:snapToGrid/>
          <w:kern w:val="0"/>
          <w:sz w:val="32"/>
          <w:szCs w:val="32"/>
        </w:rPr>
        <w:t>8.《重庆市长江三峡水库库区及流域水污染防治条例》；</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宋体" w:cs="宋体"/>
          <w:snapToGrid/>
          <w:kern w:val="0"/>
          <w:sz w:val="32"/>
          <w:szCs w:val="32"/>
        </w:rPr>
        <w:t>9.《重庆市人民政府关于印发重庆市畜禽养殖区域划分管理规定和重庆市畜禽养殖区域划分及养殖污染控制实施方案的通知》（渝府发〔2007〕103号）；</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宋体" w:cs="宋体"/>
          <w:snapToGrid/>
          <w:kern w:val="0"/>
          <w:sz w:val="32"/>
          <w:szCs w:val="32"/>
        </w:rPr>
        <w:t>10.《重庆市人民政府批转重庆市地表水环境功能类别调整方案的通知》（渝府〔2012〕4号）</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宋体" w:cs="宋体"/>
          <w:snapToGrid/>
          <w:kern w:val="0"/>
          <w:sz w:val="32"/>
          <w:szCs w:val="32"/>
        </w:rPr>
        <w:t>11.其他有关法律和技术规范。</w:t>
      </w:r>
    </w:p>
    <w:p>
      <w:pPr>
        <w:widowControl/>
        <w:spacing w:line="547" w:lineRule="atLeast"/>
        <w:ind w:firstLine="475"/>
        <w:jc w:val="left"/>
        <w:outlineLvl w:val="0"/>
        <w:rPr>
          <w:rFonts w:ascii="宋体" w:hAnsi="宋体" w:eastAsia="宋体" w:cs="宋体"/>
          <w:snapToGrid/>
          <w:kern w:val="36"/>
          <w:sz w:val="48"/>
          <w:szCs w:val="48"/>
        </w:rPr>
      </w:pPr>
      <w:r>
        <w:rPr>
          <w:rFonts w:hint="eastAsia" w:ascii="方正黑体_GBK" w:hAnsi="宋体" w:eastAsia="方正黑体_GBK" w:cs="宋体"/>
          <w:snapToGrid/>
          <w:kern w:val="36"/>
          <w:sz w:val="48"/>
          <w:szCs w:val="48"/>
        </w:rPr>
        <w:t>二、区域类型及管理要求</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等线" w:eastAsia="方正楷体_GBK" w:cs="宋体"/>
          <w:snapToGrid/>
          <w:kern w:val="0"/>
          <w:sz w:val="32"/>
          <w:szCs w:val="32"/>
        </w:rPr>
        <w:t>（一）畜禽养殖禁养区</w:t>
      </w:r>
      <w:r>
        <w:rPr>
          <w:rFonts w:hint="eastAsia" w:ascii="方正仿宋_GBK" w:hAnsi="等线" w:cs="宋体"/>
          <w:snapToGrid/>
          <w:kern w:val="0"/>
          <w:sz w:val="32"/>
          <w:szCs w:val="32"/>
        </w:rPr>
        <w:t>。指县级以上地方人民政府依法划定的禁止建设养殖场或禁止建设有污染物排放的养殖场的区域。畜禽养殖禁养区内禁止新建、改建、扩建畜禽养殖场，已建成的畜禽养殖场由县人民政府责令关闭、搬迁。</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等线" w:eastAsia="方正楷体_GBK" w:cs="宋体"/>
          <w:snapToGrid/>
          <w:kern w:val="0"/>
          <w:sz w:val="32"/>
          <w:szCs w:val="32"/>
        </w:rPr>
        <w:t>（二）畜禽养殖限养区。</w:t>
      </w:r>
      <w:r>
        <w:rPr>
          <w:rFonts w:hint="eastAsia" w:ascii="方正仿宋_GBK" w:hAnsi="等线" w:cs="宋体"/>
          <w:snapToGrid/>
          <w:kern w:val="0"/>
          <w:sz w:val="32"/>
          <w:szCs w:val="32"/>
        </w:rPr>
        <w:t>指按照法律、法规和有关规定，实行畜禽养殖存栏总量控制的区域。畜禽养殖存栏总量超过畜禽养殖存栏控制总量时，区域内不得再新建、扩建畜禽养殖场。有关养殖经营活动必须遵循国家有关畜禽养殖场环境管理规定和畜禽养殖废弃物综合利用规定。区域内畜禽养殖存栏总量控制的数额由县畜禽养殖主管部门根据畜禽养殖发展规划确定。</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等线" w:eastAsia="方正楷体_GBK" w:cs="宋体"/>
          <w:snapToGrid/>
          <w:kern w:val="0"/>
          <w:sz w:val="32"/>
          <w:szCs w:val="32"/>
        </w:rPr>
        <w:t>（三）畜禽养殖适养区。</w:t>
      </w:r>
      <w:r>
        <w:rPr>
          <w:rFonts w:hint="eastAsia" w:ascii="方正仿宋_GBK" w:hAnsi="等线" w:cs="宋体"/>
          <w:snapToGrid/>
          <w:kern w:val="0"/>
          <w:sz w:val="32"/>
          <w:szCs w:val="32"/>
        </w:rPr>
        <w:t>指禁养区、限养区以外的区域。在畜禽养殖适养区从事畜禽养殖，应当符合全县畜牧业发展规划、畜禽养殖污染防治规划，满足动物防疫条件，并进行环境影响评价，建设相应的污染治理、综合利用和无害化处理设施。</w:t>
      </w:r>
    </w:p>
    <w:p>
      <w:pPr>
        <w:widowControl/>
        <w:spacing w:line="547" w:lineRule="atLeast"/>
        <w:ind w:firstLine="475"/>
        <w:jc w:val="left"/>
        <w:outlineLvl w:val="0"/>
        <w:rPr>
          <w:rFonts w:ascii="宋体" w:hAnsi="宋体" w:eastAsia="宋体" w:cs="宋体"/>
          <w:snapToGrid/>
          <w:kern w:val="36"/>
          <w:sz w:val="48"/>
          <w:szCs w:val="48"/>
        </w:rPr>
      </w:pPr>
      <w:r>
        <w:rPr>
          <w:rFonts w:hint="eastAsia" w:ascii="方正黑体_GBK" w:hAnsi="宋体" w:eastAsia="方正黑体_GBK" w:cs="宋体"/>
          <w:snapToGrid/>
          <w:kern w:val="36"/>
          <w:sz w:val="48"/>
          <w:szCs w:val="48"/>
        </w:rPr>
        <w:t>三、禁养区范围划定</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等线" w:cs="宋体"/>
          <w:snapToGrid/>
          <w:kern w:val="0"/>
          <w:sz w:val="32"/>
          <w:szCs w:val="32"/>
        </w:rPr>
        <w:t>根据《畜牧法》《畜禽养殖禁养区划定技术指南》（环办水体〔</w:t>
      </w:r>
      <w:r>
        <w:rPr>
          <w:rFonts w:hint="eastAsia" w:ascii="方正仿宋_GBK" w:hAnsi="宋体" w:cs="宋体"/>
          <w:snapToGrid/>
          <w:kern w:val="0"/>
          <w:sz w:val="32"/>
          <w:szCs w:val="32"/>
        </w:rPr>
        <w:t>2016</w:t>
      </w:r>
      <w:r>
        <w:rPr>
          <w:rFonts w:hint="eastAsia" w:ascii="方正仿宋_GBK" w:hAnsi="等线" w:cs="宋体"/>
          <w:snapToGrid/>
          <w:kern w:val="0"/>
          <w:sz w:val="32"/>
          <w:szCs w:val="32"/>
        </w:rPr>
        <w:t>〕</w:t>
      </w:r>
      <w:r>
        <w:rPr>
          <w:rFonts w:hint="eastAsia" w:ascii="方正仿宋_GBK" w:hAnsi="宋体" w:cs="宋体"/>
          <w:snapToGrid/>
          <w:kern w:val="0"/>
          <w:sz w:val="32"/>
          <w:szCs w:val="32"/>
        </w:rPr>
        <w:t>99</w:t>
      </w:r>
      <w:r>
        <w:rPr>
          <w:rFonts w:hint="eastAsia" w:ascii="方正仿宋_GBK" w:hAnsi="等线" w:cs="宋体"/>
          <w:snapToGrid/>
          <w:kern w:val="0"/>
          <w:sz w:val="32"/>
          <w:szCs w:val="32"/>
        </w:rPr>
        <w:t>号）和《重庆市长江三峡水库库区及流域水污染防治条例》等要求，将</w:t>
      </w:r>
      <w:r>
        <w:rPr>
          <w:rFonts w:hint="eastAsia" w:ascii="方正楷体_GBK" w:hAnsi="等线" w:eastAsia="方正楷体_GBK" w:cs="宋体"/>
          <w:snapToGrid/>
          <w:kern w:val="0"/>
          <w:sz w:val="32"/>
          <w:szCs w:val="32"/>
          <w:u w:val="single"/>
        </w:rPr>
        <w:t>石柱县境内禁止开发区（包括：饮用水源保护区、自然保护区核心区和缓冲区、风景名胜区、国家森林公园核心景区等区域）、执行Ⅱ类及以上水质水域功能区（沿河库岸</w:t>
      </w:r>
      <w:r>
        <w:rPr>
          <w:rFonts w:hint="eastAsia" w:ascii="方正楷体_GBK" w:hAnsi="宋体" w:eastAsia="方正楷体_GBK" w:cs="宋体"/>
          <w:snapToGrid/>
          <w:kern w:val="0"/>
          <w:sz w:val="32"/>
          <w:szCs w:val="32"/>
          <w:u w:val="single"/>
        </w:rPr>
        <w:t>200m</w:t>
      </w:r>
      <w:r>
        <w:rPr>
          <w:rFonts w:hint="eastAsia" w:ascii="方正楷体_GBK" w:hAnsi="等线" w:eastAsia="方正楷体_GBK" w:cs="宋体"/>
          <w:snapToGrid/>
          <w:kern w:val="0"/>
          <w:sz w:val="32"/>
          <w:szCs w:val="32"/>
        </w:rPr>
        <w:t>内陆域）、城镇建设用地、三峡库区消落带（石柱段）等区域划入畜禽养殖禁养区（重叠面积按优先等级只计算一次）</w:t>
      </w:r>
      <w:r>
        <w:rPr>
          <w:rFonts w:hint="eastAsia" w:ascii="方正仿宋_GBK" w:hAnsi="等线" w:cs="宋体"/>
          <w:snapToGrid/>
          <w:kern w:val="0"/>
          <w:sz w:val="32"/>
          <w:szCs w:val="32"/>
        </w:rPr>
        <w:t>。</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宋体" w:eastAsia="方正楷体_GBK" w:cs="宋体"/>
          <w:snapToGrid/>
          <w:kern w:val="0"/>
          <w:sz w:val="32"/>
          <w:szCs w:val="32"/>
        </w:rPr>
        <w:t>（一）禁止开发区</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宋体" w:cs="宋体"/>
          <w:snapToGrid/>
          <w:kern w:val="0"/>
          <w:sz w:val="32"/>
          <w:szCs w:val="32"/>
        </w:rPr>
        <w:t>1.</w:t>
      </w:r>
      <w:r>
        <w:rPr>
          <w:rFonts w:hint="eastAsia" w:ascii="方正仿宋_GBK" w:hAnsi="等线" w:cs="宋体"/>
          <w:snapToGrid/>
          <w:kern w:val="0"/>
          <w:sz w:val="32"/>
          <w:szCs w:val="32"/>
        </w:rPr>
        <w:t>饮用水水源保护区。按照重庆市人民政府办公厅《关于印发万州区等区县（开发区）集中式饮用水水源地保护区划分及调整方案的通知》（渝府办〔</w:t>
      </w:r>
      <w:r>
        <w:rPr>
          <w:rFonts w:hint="eastAsia" w:ascii="方正仿宋_GBK" w:hAnsi="宋体" w:cs="宋体"/>
          <w:snapToGrid/>
          <w:kern w:val="0"/>
          <w:sz w:val="32"/>
          <w:szCs w:val="32"/>
        </w:rPr>
        <w:t>2018</w:t>
      </w:r>
      <w:r>
        <w:rPr>
          <w:rFonts w:hint="eastAsia" w:ascii="方正仿宋_GBK" w:hAnsi="等线" w:cs="宋体"/>
          <w:snapToGrid/>
          <w:kern w:val="0"/>
          <w:sz w:val="32"/>
          <w:szCs w:val="32"/>
        </w:rPr>
        <w:t>〕</w:t>
      </w:r>
      <w:r>
        <w:rPr>
          <w:rFonts w:hint="eastAsia" w:ascii="方正仿宋_GBK" w:hAnsi="宋体" w:cs="宋体"/>
          <w:snapToGrid/>
          <w:kern w:val="0"/>
          <w:sz w:val="32"/>
          <w:szCs w:val="32"/>
        </w:rPr>
        <w:t>7</w:t>
      </w:r>
      <w:r>
        <w:rPr>
          <w:rFonts w:hint="eastAsia" w:ascii="方正仿宋_GBK" w:hAnsi="等线" w:cs="宋体"/>
          <w:snapToGrid/>
          <w:kern w:val="0"/>
          <w:sz w:val="32"/>
          <w:szCs w:val="32"/>
        </w:rPr>
        <w:t>号），石柱县现有集中式饮用水水源地保护区</w:t>
      </w:r>
      <w:r>
        <w:rPr>
          <w:rFonts w:hint="eastAsia" w:ascii="方正仿宋_GBK" w:hAnsi="宋体" w:cs="宋体"/>
          <w:snapToGrid/>
          <w:kern w:val="0"/>
          <w:sz w:val="32"/>
          <w:szCs w:val="32"/>
        </w:rPr>
        <w:t>37</w:t>
      </w:r>
      <w:r>
        <w:rPr>
          <w:rFonts w:hint="eastAsia" w:ascii="方正仿宋_GBK" w:hAnsi="等线" w:cs="宋体"/>
          <w:snapToGrid/>
          <w:kern w:val="0"/>
          <w:sz w:val="32"/>
          <w:szCs w:val="32"/>
        </w:rPr>
        <w:t>个</w:t>
      </w:r>
      <w:r>
        <w:rPr>
          <w:rFonts w:hint="eastAsia" w:ascii="方正黑体_GBK" w:hAnsi="等线" w:eastAsia="方正黑体_GBK" w:cs="宋体"/>
          <w:snapToGrid/>
          <w:kern w:val="0"/>
          <w:sz w:val="32"/>
          <w:szCs w:val="32"/>
          <w:u w:val="single"/>
        </w:rPr>
        <w:t>。其中水库型</w:t>
      </w:r>
      <w:r>
        <w:rPr>
          <w:rFonts w:hint="eastAsia" w:ascii="方正黑体_GBK" w:hAnsi="宋体" w:eastAsia="方正黑体_GBK" w:cs="宋体"/>
          <w:snapToGrid/>
          <w:kern w:val="0"/>
          <w:sz w:val="32"/>
          <w:szCs w:val="32"/>
          <w:u w:val="single"/>
        </w:rPr>
        <w:t>5</w:t>
      </w:r>
      <w:r>
        <w:rPr>
          <w:rFonts w:hint="eastAsia" w:ascii="方正黑体_GBK" w:hAnsi="等线" w:eastAsia="方正黑体_GBK" w:cs="宋体"/>
          <w:snapToGrid/>
          <w:kern w:val="0"/>
          <w:sz w:val="32"/>
          <w:szCs w:val="32"/>
        </w:rPr>
        <w:t>个，河流型</w:t>
      </w:r>
      <w:r>
        <w:rPr>
          <w:rFonts w:hint="eastAsia" w:ascii="方正黑体_GBK" w:hAnsi="宋体" w:eastAsia="方正黑体_GBK" w:cs="宋体"/>
          <w:snapToGrid/>
          <w:kern w:val="0"/>
          <w:sz w:val="32"/>
          <w:szCs w:val="32"/>
        </w:rPr>
        <w:t>32</w:t>
      </w:r>
      <w:r>
        <w:rPr>
          <w:rFonts w:hint="eastAsia" w:ascii="方正黑体_GBK" w:hAnsi="等线" w:eastAsia="方正黑体_GBK" w:cs="宋体"/>
          <w:snapToGrid/>
          <w:kern w:val="0"/>
          <w:sz w:val="32"/>
          <w:szCs w:val="32"/>
        </w:rPr>
        <w:t>个。将所有</w:t>
      </w:r>
      <w:r>
        <w:rPr>
          <w:rFonts w:hint="eastAsia" w:ascii="方正黑体_GBK" w:hAnsi="宋体" w:eastAsia="方正黑体_GBK" w:cs="宋体"/>
          <w:snapToGrid/>
          <w:kern w:val="0"/>
          <w:sz w:val="32"/>
          <w:szCs w:val="32"/>
        </w:rPr>
        <w:t>37</w:t>
      </w:r>
      <w:r>
        <w:rPr>
          <w:rFonts w:hint="eastAsia" w:ascii="方正黑体_GBK" w:hAnsi="等线" w:eastAsia="方正黑体_GBK" w:cs="宋体"/>
          <w:snapToGrid/>
          <w:kern w:val="0"/>
          <w:sz w:val="32"/>
          <w:szCs w:val="32"/>
        </w:rPr>
        <w:t>个集中式饮用水源的一级保护区和二级保护区划入禁养区（详见附件</w:t>
      </w:r>
      <w:r>
        <w:rPr>
          <w:rFonts w:hint="eastAsia" w:ascii="方正黑体_GBK" w:hAnsi="宋体" w:eastAsia="方正黑体_GBK" w:cs="宋体"/>
          <w:snapToGrid/>
          <w:kern w:val="0"/>
          <w:sz w:val="32"/>
          <w:szCs w:val="32"/>
        </w:rPr>
        <w:t>1</w:t>
      </w:r>
      <w:r>
        <w:rPr>
          <w:rFonts w:hint="eastAsia" w:ascii="方正黑体_GBK" w:hAnsi="等线" w:eastAsia="方正黑体_GBK" w:cs="宋体"/>
          <w:snapToGrid/>
          <w:kern w:val="0"/>
          <w:sz w:val="32"/>
          <w:szCs w:val="32"/>
        </w:rPr>
        <w:t>）。</w:t>
      </w:r>
    </w:p>
    <w:p>
      <w:pPr>
        <w:widowControl/>
        <w:spacing w:before="100" w:beforeAutospacing="1" w:line="547" w:lineRule="atLeast"/>
        <w:ind w:firstLine="634"/>
        <w:jc w:val="left"/>
        <w:rPr>
          <w:rFonts w:ascii="宋体" w:hAnsi="宋体" w:eastAsia="宋体" w:cs="宋体"/>
          <w:snapToGrid/>
          <w:kern w:val="0"/>
          <w:sz w:val="24"/>
          <w:szCs w:val="24"/>
        </w:rPr>
      </w:pPr>
      <w:r>
        <w:rPr>
          <w:rFonts w:hint="eastAsia" w:ascii="方正仿宋_GBK" w:hAnsi="宋体" w:cs="宋体"/>
          <w:snapToGrid/>
          <w:kern w:val="0"/>
          <w:sz w:val="32"/>
          <w:szCs w:val="32"/>
        </w:rPr>
        <w:t>2.自然保护区。根据《重庆市大风堡市级自然保护区总体规划（修编）》，大风堡市级自然保护区规划总面积222.5077平方千米，核心区和缓冲区划入禁养区（面积127.0092平方千米）。根据《关于公布王二包等51处重庆地方级自然保护区面积、范围、界线及功能区划的通知》（渝环发〔2013〕97号）公布的数据，水磨溪湿地县级自然保护区总面积16.12平方千米，核心区和缓冲区划入禁养区（面积9.37平方千米）。</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宋体" w:cs="宋体"/>
          <w:snapToGrid/>
          <w:kern w:val="0"/>
          <w:sz w:val="32"/>
          <w:szCs w:val="32"/>
        </w:rPr>
        <w:t>3.风景名胜区。根据石柱县林业局提供的黄水市级风景名胜区边界数据，石柱黄水市级风景名胜区规划总面积为22.86平方千米（未计算与大风堡自然保护区、黄水国家森林公园重叠面积），划入禁养区。</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宋体" w:cs="宋体"/>
          <w:snapToGrid/>
          <w:kern w:val="0"/>
          <w:sz w:val="32"/>
          <w:szCs w:val="32"/>
        </w:rPr>
        <w:t>4.国家森林公园核心景观区。将黄水国家森林公园的核心景观区纳入禁养区，面积14.11平方千米（因与大风堡自然保护区的核心区和缓冲区重叠，不纳入计算）。</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等线" w:eastAsia="方正楷体_GBK" w:cs="宋体"/>
          <w:snapToGrid/>
          <w:kern w:val="0"/>
          <w:sz w:val="32"/>
          <w:szCs w:val="32"/>
        </w:rPr>
        <w:t>（二）执行</w:t>
      </w:r>
      <w:r>
        <w:rPr>
          <w:rFonts w:hint="eastAsia" w:ascii="方正楷体_GBK" w:hAnsi="宋体" w:eastAsia="方正楷体_GBK" w:cs="宋体"/>
          <w:snapToGrid/>
          <w:kern w:val="0"/>
          <w:sz w:val="32"/>
          <w:szCs w:val="32"/>
        </w:rPr>
        <w:t>II</w:t>
      </w:r>
      <w:r>
        <w:rPr>
          <w:rFonts w:hint="eastAsia" w:ascii="方正楷体_GBK" w:hAnsi="等线" w:eastAsia="方正楷体_GBK" w:cs="宋体"/>
          <w:snapToGrid/>
          <w:kern w:val="0"/>
          <w:sz w:val="32"/>
          <w:szCs w:val="32"/>
        </w:rPr>
        <w:t>类及以上水域功能区。</w:t>
      </w:r>
      <w:r>
        <w:rPr>
          <w:rFonts w:hint="eastAsia" w:ascii="方正仿宋_GBK" w:hAnsi="等线" w:cs="宋体"/>
          <w:snapToGrid/>
          <w:kern w:val="0"/>
          <w:sz w:val="32"/>
          <w:szCs w:val="32"/>
        </w:rPr>
        <w:t>根据《重庆市人民政府批转重庆市地表水环境功能类别调整方案的通知》（渝府发〔</w:t>
      </w:r>
      <w:r>
        <w:rPr>
          <w:rFonts w:hint="eastAsia" w:ascii="方正仿宋_GBK" w:hAnsi="宋体" w:cs="宋体"/>
          <w:snapToGrid/>
          <w:kern w:val="0"/>
          <w:sz w:val="32"/>
          <w:szCs w:val="32"/>
        </w:rPr>
        <w:t>2012</w:t>
      </w:r>
      <w:r>
        <w:rPr>
          <w:rFonts w:hint="eastAsia" w:ascii="方正仿宋_GBK" w:hAnsi="等线" w:cs="宋体"/>
          <w:snapToGrid/>
          <w:kern w:val="0"/>
          <w:sz w:val="32"/>
          <w:szCs w:val="32"/>
        </w:rPr>
        <w:t>〕</w:t>
      </w:r>
      <w:r>
        <w:rPr>
          <w:rFonts w:hint="eastAsia" w:ascii="方正仿宋_GBK" w:hAnsi="宋体" w:cs="宋体"/>
          <w:snapToGrid/>
          <w:kern w:val="0"/>
          <w:sz w:val="32"/>
          <w:szCs w:val="32"/>
        </w:rPr>
        <w:t>4</w:t>
      </w:r>
      <w:r>
        <w:rPr>
          <w:rFonts w:hint="eastAsia" w:ascii="方正仿宋_GBK" w:hAnsi="等线" w:cs="宋体"/>
          <w:snapToGrid/>
          <w:kern w:val="0"/>
          <w:sz w:val="32"/>
          <w:szCs w:val="32"/>
        </w:rPr>
        <w:t>号），将石柱执行</w:t>
      </w:r>
      <w:r>
        <w:rPr>
          <w:rFonts w:hint="eastAsia" w:ascii="方正仿宋_GBK" w:hAnsi="宋体" w:cs="宋体"/>
          <w:snapToGrid/>
          <w:kern w:val="0"/>
          <w:sz w:val="32"/>
          <w:szCs w:val="32"/>
        </w:rPr>
        <w:t>II</w:t>
      </w:r>
      <w:r>
        <w:rPr>
          <w:rFonts w:hint="eastAsia" w:ascii="方正仿宋_GBK" w:hAnsi="等线" w:cs="宋体"/>
          <w:snapToGrid/>
          <w:kern w:val="0"/>
          <w:sz w:val="32"/>
          <w:szCs w:val="32"/>
        </w:rPr>
        <w:t>类水域功能的河流（官田河、龙河、马武河、双河坝河、六塘河、龙滩河、石流河、毛滩河、河坝场河</w:t>
      </w:r>
      <w:r>
        <w:rPr>
          <w:rFonts w:hint="eastAsia" w:ascii="方正仿宋_GBK" w:hAnsi="宋体" w:cs="宋体"/>
          <w:snapToGrid/>
          <w:kern w:val="0"/>
          <w:sz w:val="32"/>
          <w:szCs w:val="32"/>
        </w:rPr>
        <w:t>9</w:t>
      </w:r>
      <w:r>
        <w:rPr>
          <w:rFonts w:hint="eastAsia" w:ascii="方正仿宋_GBK" w:hAnsi="等线" w:cs="宋体"/>
          <w:snapToGrid/>
          <w:kern w:val="0"/>
          <w:sz w:val="32"/>
          <w:szCs w:val="32"/>
        </w:rPr>
        <w:t>条）和</w:t>
      </w:r>
      <w:r>
        <w:rPr>
          <w:rFonts w:hint="eastAsia" w:ascii="方正黑体_GBK" w:hAnsi="等线" w:eastAsia="方正黑体_GBK" w:cs="宋体"/>
          <w:snapToGrid/>
          <w:kern w:val="0"/>
          <w:sz w:val="32"/>
          <w:szCs w:val="32"/>
          <w:u w:val="single"/>
        </w:rPr>
        <w:t>水库（万胜坝、老鸹石水库）沿岸</w:t>
      </w:r>
      <w:r>
        <w:rPr>
          <w:rFonts w:hint="eastAsia" w:ascii="方正黑体_GBK" w:hAnsi="宋体" w:eastAsia="方正黑体_GBK" w:cs="宋体"/>
          <w:snapToGrid/>
          <w:kern w:val="0"/>
          <w:sz w:val="32"/>
          <w:szCs w:val="32"/>
          <w:u w:val="single"/>
        </w:rPr>
        <w:t>200</w:t>
      </w:r>
      <w:r>
        <w:rPr>
          <w:rFonts w:hint="eastAsia" w:ascii="方正黑体_GBK" w:hAnsi="等线" w:eastAsia="方正黑体_GBK" w:cs="宋体"/>
          <w:snapToGrid/>
          <w:kern w:val="0"/>
          <w:sz w:val="32"/>
          <w:szCs w:val="32"/>
        </w:rPr>
        <w:t>米的陆域划入禁养区</w:t>
      </w:r>
      <w:r>
        <w:rPr>
          <w:rFonts w:hint="eastAsia" w:ascii="方正仿宋_GBK" w:hAnsi="等线" w:cs="宋体"/>
          <w:snapToGrid/>
          <w:kern w:val="0"/>
          <w:sz w:val="32"/>
          <w:szCs w:val="32"/>
        </w:rPr>
        <w:t>。</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等线" w:eastAsia="方正楷体_GBK" w:cs="宋体"/>
          <w:snapToGrid/>
          <w:kern w:val="0"/>
          <w:sz w:val="32"/>
          <w:szCs w:val="32"/>
        </w:rPr>
        <w:t>（三）城镇建设用地。</w:t>
      </w:r>
      <w:r>
        <w:rPr>
          <w:rFonts w:hint="eastAsia" w:ascii="方正仿宋_GBK" w:hAnsi="等线" w:cs="宋体"/>
          <w:snapToGrid/>
          <w:kern w:val="0"/>
          <w:sz w:val="32"/>
          <w:szCs w:val="32"/>
        </w:rPr>
        <w:t>根据《石柱县城乡总体规划（</w:t>
      </w:r>
      <w:r>
        <w:rPr>
          <w:rFonts w:hint="eastAsia" w:ascii="方正仿宋_GBK" w:hAnsi="宋体" w:cs="宋体"/>
          <w:snapToGrid/>
          <w:kern w:val="0"/>
          <w:sz w:val="32"/>
          <w:szCs w:val="32"/>
        </w:rPr>
        <w:t>2013—2020</w:t>
      </w:r>
      <w:r>
        <w:rPr>
          <w:rFonts w:hint="eastAsia" w:ascii="方正仿宋_GBK" w:hAnsi="等线" w:cs="宋体"/>
          <w:snapToGrid/>
          <w:kern w:val="0"/>
          <w:sz w:val="32"/>
          <w:szCs w:val="32"/>
        </w:rPr>
        <w:t>）》，将城镇建成区范围（</w:t>
      </w:r>
      <w:r>
        <w:rPr>
          <w:rFonts w:hint="eastAsia" w:ascii="方正仿宋_GBK" w:hAnsi="宋体" w:cs="宋体"/>
          <w:snapToGrid/>
          <w:kern w:val="0"/>
          <w:sz w:val="32"/>
          <w:szCs w:val="32"/>
        </w:rPr>
        <w:t>19.3</w:t>
      </w:r>
      <w:r>
        <w:rPr>
          <w:rFonts w:hint="eastAsia" w:ascii="方正仿宋_GBK" w:hAnsi="等线" w:cs="宋体"/>
          <w:snapToGrid/>
          <w:kern w:val="0"/>
          <w:sz w:val="32"/>
          <w:szCs w:val="32"/>
        </w:rPr>
        <w:t>平方千米）划入禁养区。</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等线" w:eastAsia="方正楷体_GBK" w:cs="宋体"/>
          <w:snapToGrid/>
          <w:kern w:val="0"/>
          <w:sz w:val="32"/>
          <w:szCs w:val="32"/>
        </w:rPr>
        <w:t>（四）三峡库区消落带。</w:t>
      </w:r>
      <w:r>
        <w:rPr>
          <w:rFonts w:hint="eastAsia" w:ascii="方正仿宋_GBK" w:hAnsi="等线" w:cs="宋体"/>
          <w:snapToGrid/>
          <w:kern w:val="0"/>
          <w:sz w:val="32"/>
          <w:szCs w:val="32"/>
        </w:rPr>
        <w:t>根据《石柱县生态保护红线划定方案》，三峡库区消落带石柱段面积约为</w:t>
      </w:r>
      <w:r>
        <w:rPr>
          <w:rFonts w:hint="eastAsia" w:ascii="方正仿宋_GBK" w:hAnsi="宋体" w:cs="宋体"/>
          <w:snapToGrid/>
          <w:kern w:val="0"/>
          <w:sz w:val="32"/>
          <w:szCs w:val="32"/>
        </w:rPr>
        <w:t>4.63</w:t>
      </w:r>
      <w:r>
        <w:rPr>
          <w:rFonts w:hint="eastAsia" w:ascii="方正仿宋_GBK" w:hAnsi="等线" w:cs="宋体"/>
          <w:snapToGrid/>
          <w:kern w:val="0"/>
          <w:sz w:val="32"/>
          <w:szCs w:val="32"/>
        </w:rPr>
        <w:t>平方千米，将其划入禁养区。</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等线" w:eastAsia="方正楷体_GBK" w:cs="宋体"/>
          <w:snapToGrid/>
          <w:kern w:val="0"/>
          <w:sz w:val="32"/>
          <w:szCs w:val="32"/>
        </w:rPr>
        <w:t>（五）其它特殊区域。</w:t>
      </w:r>
      <w:r>
        <w:rPr>
          <w:rFonts w:hint="eastAsia" w:ascii="方正仿宋_GBK" w:hAnsi="等线" w:cs="宋体"/>
          <w:snapToGrid/>
          <w:kern w:val="0"/>
          <w:sz w:val="32"/>
          <w:szCs w:val="32"/>
        </w:rPr>
        <w:t>除城市建设用地范围和乡镇建设用地范围外的人口集中区、文物古迹区等根据环境质量现状和环境保护及管理需求执行禁养区或限养区管理要求。石柱县畜禽养殖禁养区划定图斑</w:t>
      </w:r>
      <w:r>
        <w:rPr>
          <w:rFonts w:hint="eastAsia" w:ascii="方正仿宋_GBK" w:hAnsi="宋体" w:cs="宋体"/>
          <w:snapToGrid/>
          <w:kern w:val="0"/>
          <w:sz w:val="32"/>
          <w:szCs w:val="32"/>
        </w:rPr>
        <w:t>96</w:t>
      </w:r>
      <w:r>
        <w:rPr>
          <w:rFonts w:hint="eastAsia" w:ascii="方正仿宋_GBK" w:hAnsi="等线" w:cs="宋体"/>
          <w:snapToGrid/>
          <w:kern w:val="0"/>
          <w:sz w:val="32"/>
          <w:szCs w:val="32"/>
        </w:rPr>
        <w:t>个，面积</w:t>
      </w:r>
      <w:r>
        <w:rPr>
          <w:rFonts w:hint="eastAsia" w:ascii="方正仿宋_GBK" w:hAnsi="宋体" w:cs="宋体"/>
          <w:snapToGrid/>
          <w:kern w:val="0"/>
          <w:sz w:val="32"/>
          <w:szCs w:val="32"/>
        </w:rPr>
        <w:t>192.41</w:t>
      </w:r>
      <w:r>
        <w:rPr>
          <w:rFonts w:hint="eastAsia" w:ascii="方正仿宋_GBK" w:hAnsi="等线" w:cs="宋体"/>
          <w:snapToGrid/>
          <w:kern w:val="0"/>
          <w:sz w:val="32"/>
          <w:szCs w:val="32"/>
        </w:rPr>
        <w:t>平方千米，占石柱县总面积的</w:t>
      </w:r>
      <w:r>
        <w:rPr>
          <w:rFonts w:hint="eastAsia" w:ascii="方正仿宋_GBK" w:hAnsi="宋体" w:cs="宋体"/>
          <w:snapToGrid/>
          <w:kern w:val="0"/>
          <w:sz w:val="32"/>
          <w:szCs w:val="32"/>
        </w:rPr>
        <w:t>6.38%</w:t>
      </w:r>
      <w:r>
        <w:rPr>
          <w:rFonts w:hint="eastAsia" w:ascii="方正仿宋_GBK" w:hAnsi="等线" w:cs="宋体"/>
          <w:snapToGrid/>
          <w:kern w:val="0"/>
          <w:sz w:val="32"/>
          <w:szCs w:val="32"/>
        </w:rPr>
        <w:t>；主要分布于石柱县东部大风堡市级自然保护区、西北部水磨溪湿地县级自然保护区和黄水市级风景名胜区，而饮用水水源保护区、城镇建成区、重要水域功能区等则离散分布于全县各乡镇；禁养区分布及面积见下表</w:t>
      </w:r>
      <w:r>
        <w:rPr>
          <w:rFonts w:hint="eastAsia" w:ascii="方正仿宋_GBK" w:hAnsi="宋体" w:cs="宋体"/>
          <w:snapToGrid/>
          <w:kern w:val="0"/>
          <w:sz w:val="32"/>
          <w:szCs w:val="32"/>
        </w:rPr>
        <w:t>2</w:t>
      </w:r>
      <w:r>
        <w:rPr>
          <w:rFonts w:hint="eastAsia" w:ascii="方正仿宋_GBK" w:hAnsi="等线" w:cs="宋体"/>
          <w:snapToGrid/>
          <w:kern w:val="0"/>
          <w:sz w:val="32"/>
          <w:szCs w:val="32"/>
        </w:rPr>
        <w:t>所示。</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黑体_GBK" w:hAnsi="宋体" w:eastAsia="方正黑体_GBK" w:cs="宋体"/>
          <w:snapToGrid/>
          <w:kern w:val="0"/>
          <w:sz w:val="32"/>
          <w:szCs w:val="32"/>
        </w:rPr>
        <w:t>四、限养区范围划定</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黑体_GBK" w:hAnsi="等线" w:eastAsia="方正黑体_GBK" w:cs="宋体"/>
          <w:snapToGrid/>
          <w:kern w:val="0"/>
          <w:sz w:val="32"/>
          <w:szCs w:val="32"/>
          <w:u w:val="single"/>
        </w:rPr>
        <w:t>石柱县自然保护区实验区、国家森林公园除核心景区以外区域、执行Ⅲ类水质水域功能区（沿河岸</w:t>
      </w:r>
      <w:r>
        <w:rPr>
          <w:rFonts w:hint="eastAsia" w:ascii="方正黑体_GBK" w:hAnsi="宋体" w:eastAsia="方正黑体_GBK" w:cs="宋体"/>
          <w:snapToGrid/>
          <w:kern w:val="0"/>
          <w:sz w:val="32"/>
          <w:szCs w:val="32"/>
        </w:rPr>
        <w:t>200m</w:t>
      </w:r>
      <w:r>
        <w:rPr>
          <w:rFonts w:hint="eastAsia" w:ascii="方正黑体_GBK" w:hAnsi="等线" w:eastAsia="方正黑体_GBK" w:cs="宋体"/>
          <w:snapToGrid/>
          <w:kern w:val="0"/>
          <w:sz w:val="32"/>
          <w:szCs w:val="32"/>
        </w:rPr>
        <w:t>内陆域）、城镇规划区域划定为限养区。</w:t>
      </w:r>
      <w:r>
        <w:rPr>
          <w:rFonts w:hint="eastAsia" w:ascii="方正仿宋_GBK" w:hAnsi="等线" w:cs="宋体"/>
          <w:snapToGrid/>
          <w:kern w:val="0"/>
          <w:sz w:val="32"/>
          <w:szCs w:val="32"/>
        </w:rPr>
        <w:t>石柱县畜禽养殖限养区划定图斑</w:t>
      </w:r>
      <w:r>
        <w:rPr>
          <w:rFonts w:hint="eastAsia" w:ascii="方正仿宋_GBK" w:hAnsi="宋体" w:cs="宋体"/>
          <w:snapToGrid/>
          <w:kern w:val="0"/>
          <w:sz w:val="32"/>
          <w:szCs w:val="32"/>
        </w:rPr>
        <w:t>50</w:t>
      </w:r>
      <w:r>
        <w:rPr>
          <w:rFonts w:hint="eastAsia" w:ascii="方正仿宋_GBK" w:hAnsi="等线" w:cs="宋体"/>
          <w:snapToGrid/>
          <w:kern w:val="0"/>
          <w:sz w:val="32"/>
          <w:szCs w:val="32"/>
        </w:rPr>
        <w:t>个，总面积</w:t>
      </w:r>
      <w:r>
        <w:rPr>
          <w:rFonts w:hint="eastAsia" w:ascii="方正仿宋_GBK" w:hAnsi="宋体" w:cs="宋体"/>
          <w:snapToGrid/>
          <w:kern w:val="0"/>
          <w:sz w:val="32"/>
          <w:szCs w:val="32"/>
        </w:rPr>
        <w:t>167.06</w:t>
      </w:r>
      <w:r>
        <w:rPr>
          <w:rFonts w:hint="eastAsia" w:ascii="方正仿宋_GBK" w:hAnsi="等线" w:cs="宋体"/>
          <w:snapToGrid/>
          <w:kern w:val="0"/>
          <w:sz w:val="32"/>
          <w:szCs w:val="32"/>
        </w:rPr>
        <w:t>平方千米，占石柱县总面积的</w:t>
      </w:r>
      <w:r>
        <w:rPr>
          <w:rFonts w:hint="eastAsia" w:ascii="方正仿宋_GBK" w:hAnsi="宋体" w:cs="宋体"/>
          <w:snapToGrid/>
          <w:kern w:val="0"/>
          <w:sz w:val="32"/>
          <w:szCs w:val="32"/>
        </w:rPr>
        <w:t>5.55%</w:t>
      </w:r>
      <w:r>
        <w:rPr>
          <w:rFonts w:hint="eastAsia" w:ascii="方正仿宋_GBK" w:hAnsi="等线" w:cs="宋体"/>
          <w:snapToGrid/>
          <w:kern w:val="0"/>
          <w:sz w:val="32"/>
          <w:szCs w:val="32"/>
        </w:rPr>
        <w:t>。主要分布于大风堡市级自然保护区及水磨溪湿地县级自然保护区的实验区、黄水国家森林公园除核心景观区外部分（与大风堡自然保护区的核心区和缓冲区重叠</w:t>
      </w:r>
      <w:r>
        <w:rPr>
          <w:rFonts w:hint="eastAsia" w:ascii="方正仿宋_GBK" w:hAnsi="宋体" w:cs="宋体"/>
          <w:snapToGrid/>
          <w:kern w:val="0"/>
          <w:sz w:val="32"/>
          <w:szCs w:val="32"/>
        </w:rPr>
        <w:t>2.61</w:t>
      </w:r>
      <w:r>
        <w:rPr>
          <w:rFonts w:hint="eastAsia" w:ascii="方正仿宋_GBK" w:hAnsi="等线" w:cs="宋体"/>
          <w:snapToGrid/>
          <w:kern w:val="0"/>
          <w:sz w:val="32"/>
          <w:szCs w:val="32"/>
        </w:rPr>
        <w:t>平方千米，与大风堡自然保护区实验区重叠</w:t>
      </w:r>
      <w:r>
        <w:rPr>
          <w:rFonts w:hint="eastAsia" w:ascii="方正仿宋_GBK" w:hAnsi="宋体" w:cs="宋体"/>
          <w:snapToGrid/>
          <w:kern w:val="0"/>
          <w:sz w:val="32"/>
          <w:szCs w:val="32"/>
        </w:rPr>
        <w:t>18.30</w:t>
      </w:r>
      <w:r>
        <w:rPr>
          <w:rFonts w:hint="eastAsia" w:ascii="方正仿宋_GBK" w:hAnsi="等线" w:cs="宋体"/>
          <w:snapToGrid/>
          <w:kern w:val="0"/>
          <w:sz w:val="32"/>
          <w:szCs w:val="32"/>
        </w:rPr>
        <w:t>平方千米）、城镇规划用地</w:t>
      </w:r>
      <w:r>
        <w:rPr>
          <w:rFonts w:hint="eastAsia" w:ascii="方正仿宋_GBK" w:hAnsi="宋体" w:cs="宋体"/>
          <w:snapToGrid/>
          <w:kern w:val="0"/>
          <w:sz w:val="32"/>
          <w:szCs w:val="32"/>
        </w:rPr>
        <w:t>51.27</w:t>
      </w:r>
      <w:r>
        <w:rPr>
          <w:rFonts w:hint="eastAsia" w:ascii="方正仿宋_GBK" w:hAnsi="等线" w:cs="宋体"/>
          <w:snapToGrid/>
          <w:kern w:val="0"/>
          <w:sz w:val="32"/>
          <w:szCs w:val="32"/>
        </w:rPr>
        <w:t>平方千米；以及根据《重庆市人民政府批转重庆市地表水环境功能类别调整方案的通知》（渝府发〔</w:t>
      </w:r>
      <w:r>
        <w:rPr>
          <w:rFonts w:hint="eastAsia" w:ascii="方正仿宋_GBK" w:hAnsi="宋体" w:cs="宋体"/>
          <w:snapToGrid/>
          <w:kern w:val="0"/>
          <w:sz w:val="32"/>
          <w:szCs w:val="32"/>
        </w:rPr>
        <w:t>2012</w:t>
      </w:r>
      <w:r>
        <w:rPr>
          <w:rFonts w:hint="eastAsia" w:ascii="方正仿宋_GBK" w:hAnsi="等线" w:cs="宋体"/>
          <w:snapToGrid/>
          <w:kern w:val="0"/>
          <w:sz w:val="32"/>
          <w:szCs w:val="32"/>
        </w:rPr>
        <w:t>〕</w:t>
      </w:r>
      <w:r>
        <w:rPr>
          <w:rFonts w:hint="eastAsia" w:ascii="方正仿宋_GBK" w:hAnsi="宋体" w:cs="宋体"/>
          <w:snapToGrid/>
          <w:kern w:val="0"/>
          <w:sz w:val="32"/>
          <w:szCs w:val="32"/>
        </w:rPr>
        <w:t>4</w:t>
      </w:r>
      <w:r>
        <w:rPr>
          <w:rFonts w:hint="eastAsia" w:ascii="方正仿宋_GBK" w:hAnsi="等线" w:cs="宋体"/>
          <w:snapToGrid/>
          <w:kern w:val="0"/>
          <w:sz w:val="32"/>
          <w:szCs w:val="32"/>
        </w:rPr>
        <w:t>号），将石柱执行Ⅲ类水域功能的河流（油草河、菜地坝河、官渡河、黎家河、沿溪河、四龙溪、五斗河、白杨坝河、悦来河、蚕溪河、龙沙河等</w:t>
      </w:r>
      <w:r>
        <w:rPr>
          <w:rFonts w:hint="eastAsia" w:ascii="方正仿宋_GBK" w:hAnsi="宋体" w:cs="宋体"/>
          <w:snapToGrid/>
          <w:kern w:val="0"/>
          <w:sz w:val="32"/>
          <w:szCs w:val="32"/>
        </w:rPr>
        <w:t>11</w:t>
      </w:r>
      <w:r>
        <w:rPr>
          <w:rFonts w:hint="eastAsia" w:ascii="方正仿宋_GBK" w:hAnsi="等线" w:cs="宋体"/>
          <w:snapToGrid/>
          <w:kern w:val="0"/>
          <w:sz w:val="32"/>
          <w:szCs w:val="32"/>
        </w:rPr>
        <w:t>条河）和水库（藤子沟水库、桃花大堰、鲛鱼水库）沿岸</w:t>
      </w:r>
      <w:r>
        <w:rPr>
          <w:rFonts w:hint="eastAsia" w:ascii="方正仿宋_GBK" w:hAnsi="宋体" w:cs="宋体"/>
          <w:snapToGrid/>
          <w:kern w:val="0"/>
          <w:sz w:val="32"/>
          <w:szCs w:val="32"/>
        </w:rPr>
        <w:t>200</w:t>
      </w:r>
      <w:r>
        <w:rPr>
          <w:rFonts w:hint="eastAsia" w:ascii="方正仿宋_GBK" w:hAnsi="等线" w:cs="宋体"/>
          <w:snapToGrid/>
          <w:kern w:val="0"/>
          <w:sz w:val="32"/>
          <w:szCs w:val="32"/>
        </w:rPr>
        <w:t>米的陆域；限养区分布及面积见下表</w:t>
      </w:r>
      <w:r>
        <w:rPr>
          <w:rFonts w:hint="eastAsia" w:ascii="方正仿宋_GBK" w:hAnsi="宋体" w:cs="宋体"/>
          <w:snapToGrid/>
          <w:kern w:val="0"/>
          <w:sz w:val="32"/>
          <w:szCs w:val="32"/>
        </w:rPr>
        <w:t>3</w:t>
      </w:r>
      <w:r>
        <w:rPr>
          <w:rFonts w:hint="eastAsia" w:ascii="方正仿宋_GBK" w:hAnsi="等线" w:cs="宋体"/>
          <w:snapToGrid/>
          <w:kern w:val="0"/>
          <w:sz w:val="32"/>
          <w:szCs w:val="32"/>
        </w:rPr>
        <w:t>所示。</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黑体_GBK" w:hAnsi="宋体" w:eastAsia="方正黑体_GBK" w:cs="宋体"/>
          <w:snapToGrid/>
          <w:kern w:val="0"/>
          <w:sz w:val="32"/>
          <w:szCs w:val="32"/>
        </w:rPr>
        <w:t>五、适养区划定</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等线" w:cs="宋体"/>
          <w:snapToGrid/>
          <w:kern w:val="0"/>
          <w:sz w:val="32"/>
          <w:szCs w:val="32"/>
        </w:rPr>
        <w:t>石柱县畜禽养殖适养区为禁养区和限养区以外的其他区域，面积为</w:t>
      </w:r>
      <w:r>
        <w:rPr>
          <w:rFonts w:hint="eastAsia" w:ascii="方正仿宋_GBK" w:hAnsi="宋体" w:cs="宋体"/>
          <w:snapToGrid/>
          <w:kern w:val="0"/>
          <w:sz w:val="32"/>
          <w:szCs w:val="32"/>
        </w:rPr>
        <w:t>2654.53</w:t>
      </w:r>
      <w:r>
        <w:rPr>
          <w:rFonts w:hint="eastAsia" w:ascii="方正仿宋_GBK" w:hAnsi="等线" w:cs="宋体"/>
          <w:snapToGrid/>
          <w:kern w:val="0"/>
          <w:sz w:val="32"/>
          <w:szCs w:val="32"/>
        </w:rPr>
        <w:t>平方千米，占石柱县总面积的</w:t>
      </w:r>
      <w:r>
        <w:rPr>
          <w:rFonts w:hint="eastAsia" w:ascii="方正仿宋_GBK" w:hAnsi="宋体" w:cs="宋体"/>
          <w:snapToGrid/>
          <w:kern w:val="0"/>
          <w:sz w:val="32"/>
          <w:szCs w:val="32"/>
        </w:rPr>
        <w:t>88.07%</w:t>
      </w:r>
      <w:r>
        <w:rPr>
          <w:rFonts w:hint="eastAsia" w:ascii="方正仿宋_GBK" w:hAnsi="等线" w:cs="宋体"/>
          <w:snapToGrid/>
          <w:kern w:val="0"/>
          <w:sz w:val="32"/>
          <w:szCs w:val="32"/>
        </w:rPr>
        <w:t>。</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黑体_GBK" w:hAnsi="宋体" w:eastAsia="方正黑体_GBK" w:cs="宋体"/>
          <w:snapToGrid/>
          <w:kern w:val="0"/>
          <w:sz w:val="32"/>
          <w:szCs w:val="32"/>
        </w:rPr>
        <w:t>六、组织实施</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等线" w:eastAsia="方正楷体_GBK" w:cs="宋体"/>
          <w:snapToGrid/>
          <w:kern w:val="0"/>
          <w:sz w:val="32"/>
          <w:szCs w:val="32"/>
        </w:rPr>
        <w:t>（一）严格控制增量。</w:t>
      </w:r>
      <w:r>
        <w:rPr>
          <w:rFonts w:hint="eastAsia" w:ascii="方正仿宋_GBK" w:hAnsi="等线" w:cs="宋体"/>
          <w:snapToGrid/>
          <w:kern w:val="0"/>
          <w:sz w:val="32"/>
          <w:szCs w:val="32"/>
        </w:rPr>
        <w:t>县政府有关部门、各乡镇（街道）应严格按照本方案，结合本辖区畜牧业发展规划，对畜禽规模养殖户的发展严格把关，加强日常监督管理，严禁出现“先污染、后治理”现象</w:t>
      </w:r>
      <w:r>
        <w:rPr>
          <w:rFonts w:hint="eastAsia" w:ascii="方正仿宋_GBK" w:hAnsi="等线" w:cs="宋体"/>
          <w:snapToGrid/>
          <w:kern w:val="0"/>
          <w:sz w:val="32"/>
          <w:szCs w:val="32"/>
          <w:u w:val="single"/>
        </w:rPr>
        <w:t>；县发改委、县林业局、县规资局、县农业农村委、县生态环境局</w:t>
      </w:r>
      <w:r>
        <w:rPr>
          <w:rFonts w:hint="eastAsia" w:ascii="方正仿宋_GBK" w:hAnsi="等线" w:cs="宋体"/>
          <w:snapToGrid/>
          <w:kern w:val="0"/>
          <w:sz w:val="32"/>
          <w:szCs w:val="32"/>
        </w:rPr>
        <w:t>等部门在规划、立项、审批畜禽养殖项目时，应根据本方案严格审批，严禁在禁养区和超过总量控制指标的限养区内新建、改建、扩建畜禽养殖场；在旅游发展规划区范围内，不得新建、改建、扩建畜禽养殖场；</w:t>
      </w:r>
      <w:r>
        <w:rPr>
          <w:rFonts w:hint="eastAsia" w:ascii="方正仿宋_GBK" w:hAnsi="宋体" w:cs="宋体"/>
          <w:snapToGrid/>
          <w:kern w:val="0"/>
          <w:sz w:val="32"/>
          <w:szCs w:val="32"/>
        </w:rPr>
        <w:t>2014</w:t>
      </w:r>
      <w:r>
        <w:rPr>
          <w:rFonts w:hint="eastAsia" w:ascii="方正仿宋_GBK" w:hAnsi="等线" w:cs="宋体"/>
          <w:snapToGrid/>
          <w:kern w:val="0"/>
          <w:sz w:val="32"/>
          <w:szCs w:val="32"/>
        </w:rPr>
        <w:t>年以来，按照“四清四治”、“河长制”等要求关闭畜禽养殖场的区域，严禁新建畜禽养殖场。在适养区新建、改建、扩建畜禽养殖场，应当符合畜牧业发展规划、畜禽养殖污染防治规划，满足动物防疫条件，并严格执行环境影响评价制度和“三同时”制度。</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等线" w:eastAsia="方正楷体_GBK" w:cs="宋体"/>
          <w:snapToGrid/>
          <w:kern w:val="0"/>
          <w:sz w:val="32"/>
          <w:szCs w:val="32"/>
        </w:rPr>
        <w:t>（二）明确职责分工。</w:t>
      </w:r>
      <w:r>
        <w:rPr>
          <w:rFonts w:hint="eastAsia" w:ascii="方正仿宋_GBK" w:hAnsi="等线" w:cs="宋体"/>
          <w:snapToGrid/>
          <w:kern w:val="0"/>
          <w:sz w:val="32"/>
          <w:szCs w:val="32"/>
        </w:rPr>
        <w:t>强化畜禽养殖禁养区、限养区范围刚性约束，切实做好畜禽养殖污染防治工作。县农业农村委负责畜禽养殖废弃物综合利用的指导和服务；县生态环境局负责畜禽养殖污染防治的统一监督管理，履行执法监督的主体责任、做好养殖场环评“三同时”制度执行；县财政局负责筹措管理畜禽养殖污染防治专项资金和禁养区养殖场关闭或搬迁补偿资金，并实施绩效评估；县政府督查办负责组织开展畜禽养殖污染防治专项督查工作，定期通报，严格考核；县纪委监委机关负责对畜禽养殖污染防治专项整治行动实行全过程行政效能问责；县发改委、县规划自然资源局、县住房城乡建委、县水利局等有关部门对养殖场地落地、布局、审批等按照各自职责，负责畜禽养殖污染防治相关工作。各乡镇（街道）人民政府（办事处）承担属地管理责任，对本辖区内畜禽畜牧业发展和畜禽养殖污染防治工作负责，牵头完成禁养区、限养区内养殖场关闭、搬迁任务，同时负责对辖区内新建养殖场选址进行初步审查，督促养殖场业主建设完善养殖废弃物综合利用设施，对辖区内养殖场开展日常监管、现场巡查，发现问题及时制止并报告。</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等线" w:eastAsia="方正楷体_GBK" w:cs="宋体"/>
          <w:snapToGrid/>
          <w:kern w:val="0"/>
          <w:sz w:val="32"/>
          <w:szCs w:val="32"/>
        </w:rPr>
        <w:t>（三）健全执法监管机制。</w:t>
      </w:r>
      <w:r>
        <w:rPr>
          <w:rFonts w:hint="eastAsia" w:ascii="方正仿宋_GBK" w:hAnsi="等线" w:cs="宋体"/>
          <w:snapToGrid/>
          <w:kern w:val="0"/>
          <w:sz w:val="32"/>
          <w:szCs w:val="32"/>
        </w:rPr>
        <w:t>健全畜禽养殖禁养区、限养区基础信息调查制度，做好全县畜禽养殖企业基础信息采集、统计工作，夯实动态监管基础；完善畜禽养殖禁养区、限养区、适养区巡查制度、现场核查制度、分析报告制度，及时查处畜禽养殖企业违法行为，重点加大对畜禽养殖禁养区、限养区综合整治工作的督促检查和责任追究力度。</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楷体_GBK" w:hAnsi="等线" w:eastAsia="方正楷体_GBK" w:cs="宋体"/>
          <w:snapToGrid/>
          <w:kern w:val="0"/>
          <w:sz w:val="32"/>
          <w:szCs w:val="32"/>
        </w:rPr>
        <w:t>（四）健全绩效评价考核制度。</w:t>
      </w:r>
      <w:r>
        <w:rPr>
          <w:rFonts w:hint="eastAsia" w:ascii="方正仿宋_GBK" w:hAnsi="等线" w:cs="宋体"/>
          <w:snapToGrid/>
          <w:kern w:val="0"/>
          <w:sz w:val="32"/>
          <w:szCs w:val="32"/>
        </w:rPr>
        <w:t>以禁养区和限养区范围内畜禽养殖企业取缔、搬迁、整治，规模养殖场粪污处理、有机化肥还田利用、沼气和生物天然气使用等指标为重点，建立和完善畜禽养殖废弃物综合治理绩效评价考核制度，将评价结果纳入各部门、乡镇（街道）年度实绩考核并强化考核结果的应用，建立激励和责任追究机制。</w:t>
      </w:r>
    </w:p>
    <w:p>
      <w:pPr>
        <w:widowControl/>
        <w:spacing w:before="100" w:beforeAutospacing="1" w:line="547" w:lineRule="atLeast"/>
        <w:ind w:firstLine="475"/>
        <w:jc w:val="left"/>
        <w:rPr>
          <w:rFonts w:ascii="宋体" w:hAnsi="宋体" w:eastAsia="宋体" w:cs="宋体"/>
          <w:snapToGrid/>
          <w:kern w:val="0"/>
          <w:sz w:val="24"/>
          <w:szCs w:val="24"/>
        </w:rPr>
      </w:pPr>
      <w:r>
        <w:rPr>
          <w:rFonts w:hint="eastAsia" w:ascii="方正仿宋_GBK" w:hAnsi="宋体" w:cs="宋体"/>
          <w:snapToGrid/>
          <w:kern w:val="0"/>
          <w:sz w:val="32"/>
          <w:szCs w:val="32"/>
        </w:rPr>
        <w:t>《</w:t>
      </w:r>
      <w:r>
        <w:rPr>
          <w:rFonts w:hint="eastAsia" w:ascii="方正仿宋_GBK" w:hAnsi="宋体" w:cs="宋体"/>
          <w:snapToGrid/>
          <w:kern w:val="0"/>
          <w:sz w:val="32"/>
          <w:szCs w:val="32"/>
          <w:lang w:eastAsia="zh-CN"/>
        </w:rPr>
        <w:t>石柱土家族自治县</w:t>
      </w:r>
      <w:r>
        <w:rPr>
          <w:rFonts w:hint="eastAsia" w:ascii="方正仿宋_GBK" w:hAnsi="宋体" w:cs="宋体"/>
          <w:snapToGrid/>
          <w:kern w:val="0"/>
          <w:sz w:val="32"/>
          <w:szCs w:val="32"/>
        </w:rPr>
        <w:t>人民政府办公室关于印发石柱县畜禽养殖禁养区划定调整方案的通知》（石柱府办发〔2018〕172号）与本方案不一致的地方，以本方案为准。</w:t>
      </w:r>
    </w:p>
    <w:p>
      <w:pPr>
        <w:widowControl/>
        <w:spacing w:before="100" w:beforeAutospacing="1" w:line="547" w:lineRule="atLeast"/>
        <w:ind w:firstLine="360"/>
        <w:jc w:val="left"/>
        <w:rPr>
          <w:rFonts w:ascii="宋体" w:hAnsi="宋体" w:eastAsia="宋体" w:cs="宋体"/>
          <w:snapToGrid/>
          <w:kern w:val="0"/>
          <w:sz w:val="24"/>
          <w:szCs w:val="24"/>
        </w:rPr>
      </w:pPr>
    </w:p>
    <w:p>
      <w:pPr>
        <w:widowControl/>
        <w:spacing w:before="100" w:beforeAutospacing="1" w:line="547" w:lineRule="atLeast"/>
        <w:jc w:val="left"/>
        <w:rPr>
          <w:rFonts w:ascii="宋体" w:hAnsi="宋体" w:eastAsia="宋体" w:cs="宋体"/>
          <w:snapToGrid/>
          <w:kern w:val="0"/>
          <w:sz w:val="24"/>
          <w:szCs w:val="24"/>
        </w:rPr>
      </w:pPr>
      <w:r>
        <w:rPr>
          <w:rFonts w:hint="eastAsia" w:ascii="MS Mincho" w:hAnsi="MS Mincho" w:eastAsia="MS Mincho" w:cs="MS Mincho"/>
          <w:snapToGrid/>
          <w:kern w:val="0"/>
          <w:sz w:val="24"/>
          <w:szCs w:val="24"/>
        </w:rPr>
        <w:t>  </w:t>
      </w:r>
      <w:r>
        <w:rPr>
          <w:rFonts w:ascii="宋体" w:hAnsi="宋体" w:eastAsia="宋体" w:cs="宋体"/>
          <w:snapToGrid/>
          <w:kern w:val="0"/>
          <w:sz w:val="24"/>
          <w:szCs w:val="24"/>
        </w:rPr>
        <w:t> </w:t>
      </w:r>
      <w:r>
        <w:rPr>
          <w:rFonts w:hint="eastAsia" w:ascii="方正仿宋_GBK" w:hAnsi="等线" w:cs="宋体"/>
          <w:snapToGrid/>
          <w:kern w:val="0"/>
          <w:sz w:val="32"/>
          <w:szCs w:val="32"/>
        </w:rPr>
        <w:t>附件</w:t>
      </w:r>
      <w:r>
        <w:rPr>
          <w:rFonts w:hint="eastAsia" w:ascii="方正仿宋_GBK" w:hAnsi="宋体" w:cs="宋体"/>
          <w:snapToGrid/>
          <w:kern w:val="0"/>
          <w:sz w:val="32"/>
          <w:szCs w:val="32"/>
        </w:rPr>
        <w:t>1.</w:t>
      </w:r>
      <w:r>
        <w:rPr>
          <w:rFonts w:hint="eastAsia" w:ascii="方正仿宋_GBK" w:hAnsi="等线" w:cs="宋体"/>
          <w:snapToGrid/>
          <w:kern w:val="0"/>
          <w:sz w:val="32"/>
          <w:szCs w:val="32"/>
        </w:rPr>
        <w:t>石柱县集中式饮用水源保护区情况表</w:t>
      </w:r>
    </w:p>
    <w:p>
      <w:pPr>
        <w:widowControl/>
        <w:spacing w:before="100" w:beforeAutospacing="1" w:line="547" w:lineRule="atLeast"/>
        <w:jc w:val="left"/>
        <w:rPr>
          <w:rFonts w:ascii="宋体" w:hAnsi="宋体" w:eastAsia="宋体" w:cs="宋体"/>
          <w:snapToGrid/>
          <w:kern w:val="0"/>
          <w:sz w:val="24"/>
          <w:szCs w:val="24"/>
        </w:rPr>
      </w:pPr>
      <w:r>
        <w:rPr>
          <w:rFonts w:hint="eastAsia" w:ascii="MS Mincho" w:hAnsi="MS Mincho" w:eastAsia="MS Mincho" w:cs="MS Mincho"/>
          <w:snapToGrid/>
          <w:kern w:val="0"/>
          <w:sz w:val="24"/>
          <w:szCs w:val="24"/>
        </w:rPr>
        <w:t>        </w:t>
      </w:r>
      <w:r>
        <w:rPr>
          <w:rFonts w:hint="eastAsia" w:ascii="方正仿宋_GBK" w:hAnsi="宋体" w:cs="宋体"/>
          <w:snapToGrid/>
          <w:kern w:val="0"/>
          <w:sz w:val="32"/>
          <w:szCs w:val="32"/>
        </w:rPr>
        <w:t>2.石柱县畜禽养殖禁养区分布及面积统计表</w:t>
      </w:r>
    </w:p>
    <w:p>
      <w:pPr>
        <w:widowControl/>
        <w:spacing w:before="100" w:beforeAutospacing="1" w:line="547" w:lineRule="atLeast"/>
        <w:jc w:val="left"/>
        <w:rPr>
          <w:rFonts w:ascii="宋体" w:hAnsi="宋体" w:eastAsia="宋体" w:cs="宋体"/>
          <w:snapToGrid/>
          <w:kern w:val="0"/>
          <w:sz w:val="24"/>
          <w:szCs w:val="24"/>
        </w:rPr>
      </w:pPr>
      <w:r>
        <w:rPr>
          <w:rFonts w:hint="eastAsia" w:ascii="MS Mincho" w:hAnsi="MS Mincho" w:eastAsia="MS Mincho" w:cs="MS Mincho"/>
          <w:snapToGrid/>
          <w:kern w:val="0"/>
          <w:sz w:val="24"/>
          <w:szCs w:val="24"/>
        </w:rPr>
        <w:t>        </w:t>
      </w:r>
      <w:r>
        <w:rPr>
          <w:rFonts w:hint="eastAsia" w:ascii="方正仿宋_GBK" w:hAnsi="宋体" w:cs="宋体"/>
          <w:snapToGrid/>
          <w:kern w:val="0"/>
          <w:sz w:val="32"/>
          <w:szCs w:val="32"/>
        </w:rPr>
        <w:t>3.石柱县畜禽养殖限养区分布及面积统计表</w:t>
      </w:r>
    </w:p>
    <w:p>
      <w:pPr>
        <w:widowControl/>
        <w:spacing w:before="100" w:beforeAutospacing="1" w:line="547" w:lineRule="atLeast"/>
        <w:ind w:firstLine="1282"/>
        <w:jc w:val="left"/>
        <w:rPr>
          <w:rFonts w:ascii="宋体" w:hAnsi="宋体" w:eastAsia="宋体" w:cs="宋体"/>
          <w:snapToGrid/>
          <w:kern w:val="0"/>
          <w:sz w:val="24"/>
          <w:szCs w:val="24"/>
        </w:rPr>
      </w:pPr>
      <w:r>
        <w:rPr>
          <w:rFonts w:hint="eastAsia" w:ascii="方正仿宋_GBK" w:hAnsi="宋体" w:cs="宋体"/>
          <w:snapToGrid/>
          <w:kern w:val="0"/>
          <w:sz w:val="32"/>
          <w:szCs w:val="32"/>
        </w:rPr>
        <w:t>4.石柱县畜禽养殖禁养区限养区分布图</w:t>
      </w:r>
    </w:p>
    <w:p>
      <w:pPr>
        <w:widowControl/>
        <w:spacing w:before="100" w:beforeAutospacing="1" w:line="547" w:lineRule="atLeast"/>
        <w:ind w:firstLine="360"/>
        <w:jc w:val="left"/>
        <w:rPr>
          <w:rFonts w:ascii="宋体" w:hAnsi="宋体" w:eastAsia="宋体" w:cs="宋体"/>
          <w:snapToGrid/>
          <w:kern w:val="0"/>
          <w:sz w:val="24"/>
          <w:szCs w:val="24"/>
        </w:rPr>
      </w:pPr>
    </w:p>
    <w:p>
      <w:pPr>
        <w:widowControl/>
        <w:spacing w:before="100" w:beforeAutospacing="1" w:line="547" w:lineRule="atLeast"/>
        <w:ind w:firstLine="360"/>
        <w:jc w:val="left"/>
        <w:rPr>
          <w:rFonts w:ascii="宋体" w:hAnsi="宋体" w:eastAsia="宋体" w:cs="宋体"/>
          <w:snapToGrid/>
          <w:kern w:val="0"/>
          <w:sz w:val="24"/>
          <w:szCs w:val="24"/>
        </w:rPr>
      </w:pPr>
    </w:p>
    <w:p>
      <w:pPr>
        <w:widowControl/>
        <w:shd w:val="clear" w:color="auto" w:fill="FFFFFF"/>
        <w:spacing w:before="100" w:beforeAutospacing="1" w:line="605" w:lineRule="atLeast"/>
        <w:jc w:val="left"/>
        <w:rPr>
          <w:rFonts w:ascii="宋体" w:hAnsi="宋体" w:eastAsia="宋体" w:cs="宋体"/>
          <w:snapToGrid/>
          <w:kern w:val="0"/>
          <w:sz w:val="24"/>
          <w:szCs w:val="24"/>
        </w:rPr>
      </w:pPr>
      <w:r>
        <w:rPr>
          <w:rFonts w:hint="eastAsia" w:ascii="方正小标宋_GBK" w:hAnsi="宋体" w:eastAsia="方正小标宋_GBK" w:cs="宋体"/>
          <w:snapToGrid/>
          <w:kern w:val="0"/>
          <w:sz w:val="36"/>
          <w:szCs w:val="36"/>
        </w:rPr>
        <w:t>附件</w:t>
      </w:r>
      <w:r>
        <w:rPr>
          <w:rFonts w:hint="eastAsia" w:ascii="MS Mincho" w:hAnsi="MS Mincho" w:eastAsia="MS Mincho" w:cs="MS Mincho"/>
          <w:snapToGrid/>
          <w:kern w:val="0"/>
          <w:sz w:val="36"/>
          <w:szCs w:val="36"/>
        </w:rPr>
        <w:t>              </w:t>
      </w:r>
      <w:r>
        <w:rPr>
          <w:rFonts w:hint="eastAsia" w:ascii="方正小标宋_GBK" w:hAnsi="宋体" w:eastAsia="方正小标宋_GBK" w:cs="宋体"/>
          <w:snapToGrid/>
          <w:kern w:val="0"/>
          <w:sz w:val="36"/>
          <w:szCs w:val="36"/>
        </w:rPr>
        <w:t>1  石柱县集中式饮用水源保护区情况表</w:t>
      </w:r>
    </w:p>
    <w:tbl>
      <w:tblPr>
        <w:tblStyle w:val="3"/>
        <w:tblW w:w="14494"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94" w:type="dxa"/>
          <w:left w:w="187" w:type="dxa"/>
          <w:bottom w:w="94" w:type="dxa"/>
          <w:right w:w="187" w:type="dxa"/>
        </w:tblCellMar>
      </w:tblPr>
      <w:tblGrid>
        <w:gridCol w:w="452"/>
        <w:gridCol w:w="452"/>
        <w:gridCol w:w="1107"/>
        <w:gridCol w:w="607"/>
        <w:gridCol w:w="536"/>
        <w:gridCol w:w="893"/>
        <w:gridCol w:w="2268"/>
        <w:gridCol w:w="2554"/>
        <w:gridCol w:w="2196"/>
        <w:gridCol w:w="2732"/>
        <w:gridCol w:w="697"/>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blHeader/>
          <w:jc w:val="center"/>
        </w:trPr>
        <w:tc>
          <w:tcPr>
            <w:tcW w:w="25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黑体_GBK" w:hAnsi="宋体" w:eastAsia="方正黑体_GBK" w:cs="宋体"/>
                <w:snapToGrid/>
                <w:kern w:val="0"/>
                <w:sz w:val="18"/>
                <w:szCs w:val="18"/>
              </w:rPr>
              <w:t>水源级别</w:t>
            </w:r>
          </w:p>
        </w:tc>
        <w:tc>
          <w:tcPr>
            <w:tcW w:w="22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黑体_GBK" w:hAnsi="宋体" w:eastAsia="方正黑体_GBK" w:cs="宋体"/>
                <w:snapToGrid/>
                <w:kern w:val="0"/>
                <w:sz w:val="18"/>
                <w:szCs w:val="18"/>
              </w:rPr>
              <w:t>序号</w:t>
            </w:r>
          </w:p>
        </w:tc>
        <w:tc>
          <w:tcPr>
            <w:tcW w:w="930"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黑体_GBK" w:hAnsi="宋体" w:eastAsia="方正黑体_GBK" w:cs="宋体"/>
                <w:snapToGrid/>
                <w:kern w:val="0"/>
                <w:sz w:val="18"/>
                <w:szCs w:val="18"/>
              </w:rPr>
              <w:t>水厂名称</w:t>
            </w:r>
          </w:p>
        </w:tc>
        <w:tc>
          <w:tcPr>
            <w:tcW w:w="510"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黑体_GBK" w:hAnsi="宋体" w:eastAsia="方正黑体_GBK" w:cs="宋体"/>
                <w:snapToGrid/>
                <w:kern w:val="0"/>
                <w:sz w:val="18"/>
                <w:szCs w:val="18"/>
              </w:rPr>
              <w:t>水源名称</w:t>
            </w:r>
          </w:p>
        </w:tc>
        <w:tc>
          <w:tcPr>
            <w:tcW w:w="450"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黑体_GBK" w:hAnsi="宋体" w:eastAsia="方正黑体_GBK" w:cs="宋体"/>
                <w:snapToGrid/>
                <w:kern w:val="0"/>
                <w:sz w:val="18"/>
                <w:szCs w:val="18"/>
              </w:rPr>
              <w:t>水源类型</w:t>
            </w:r>
          </w:p>
        </w:tc>
        <w:tc>
          <w:tcPr>
            <w:tcW w:w="750"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黑体_GBK" w:hAnsi="宋体" w:eastAsia="方正黑体_GBK" w:cs="宋体"/>
                <w:snapToGrid/>
                <w:kern w:val="0"/>
                <w:sz w:val="18"/>
                <w:szCs w:val="18"/>
              </w:rPr>
              <w:t>水源所在镇(街道)</w:t>
            </w:r>
          </w:p>
        </w:tc>
        <w:tc>
          <w:tcPr>
            <w:tcW w:w="8190" w:type="dxa"/>
            <w:gridSpan w:val="4"/>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黑体_GBK" w:hAnsi="宋体" w:eastAsia="方正黑体_GBK" w:cs="宋体"/>
                <w:snapToGrid/>
                <w:kern w:val="0"/>
                <w:sz w:val="18"/>
                <w:szCs w:val="18"/>
              </w:rPr>
              <w:t>保护区划分范围</w:t>
            </w:r>
          </w:p>
        </w:tc>
        <w:tc>
          <w:tcPr>
            <w:tcW w:w="585" w:type="dxa"/>
            <w:vMerge w:val="restart"/>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黑体_GBK" w:hAnsi="宋体" w:eastAsia="方正黑体_GBK" w:cs="宋体"/>
                <w:snapToGrid/>
                <w:kern w:val="0"/>
                <w:sz w:val="18"/>
                <w:szCs w:val="18"/>
              </w:rPr>
              <w:t>使用</w:t>
            </w:r>
          </w:p>
          <w:p>
            <w:pPr>
              <w:widowControl/>
              <w:wordWrap w:val="0"/>
              <w:spacing w:line="360" w:lineRule="atLeast"/>
              <w:jc w:val="center"/>
              <w:rPr>
                <w:rFonts w:ascii="宋体" w:hAnsi="宋体" w:eastAsia="宋体" w:cs="宋体"/>
                <w:snapToGrid/>
                <w:kern w:val="0"/>
                <w:sz w:val="24"/>
                <w:szCs w:val="24"/>
              </w:rPr>
            </w:pPr>
            <w:r>
              <w:rPr>
                <w:rFonts w:hint="eastAsia" w:ascii="方正黑体_GBK" w:hAnsi="宋体" w:eastAsia="方正黑体_GBK" w:cs="宋体"/>
                <w:snapToGrid/>
                <w:kern w:val="0"/>
                <w:sz w:val="18"/>
                <w:szCs w:val="18"/>
              </w:rPr>
              <w:t>状态</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blHeade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4050" w:type="dxa"/>
            <w:gridSpan w:val="2"/>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黑体_GBK" w:hAnsi="宋体" w:eastAsia="方正黑体_GBK" w:cs="宋体"/>
                <w:snapToGrid/>
                <w:kern w:val="0"/>
                <w:sz w:val="18"/>
                <w:szCs w:val="18"/>
              </w:rPr>
              <w:t>一级保护区</w:t>
            </w:r>
          </w:p>
        </w:tc>
        <w:tc>
          <w:tcPr>
            <w:tcW w:w="3930" w:type="dxa"/>
            <w:gridSpan w:val="2"/>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黑体_GBK" w:hAnsi="宋体" w:eastAsia="方正黑体_GBK" w:cs="宋体"/>
                <w:snapToGrid/>
                <w:kern w:val="0"/>
                <w:sz w:val="18"/>
                <w:szCs w:val="18"/>
              </w:rPr>
              <w:t>二级保护区</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snapToGrid/>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blHeade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19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水域范围</w:t>
            </w:r>
          </w:p>
        </w:tc>
        <w:tc>
          <w:tcPr>
            <w:tcW w:w="19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陆域范围</w:t>
            </w:r>
          </w:p>
        </w:tc>
        <w:tc>
          <w:tcPr>
            <w:tcW w:w="184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水域范围</w:t>
            </w:r>
          </w:p>
        </w:tc>
        <w:tc>
          <w:tcPr>
            <w:tcW w:w="187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陆域范围</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snapToGrid/>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25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城市</w:t>
            </w:r>
          </w:p>
        </w:tc>
        <w:tc>
          <w:tcPr>
            <w:tcW w:w="22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1</w:t>
            </w: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石柱县给排水公司双庆水厂</w:t>
            </w:r>
          </w:p>
        </w:tc>
        <w:tc>
          <w:tcPr>
            <w:tcW w:w="51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河坝场河</w:t>
            </w:r>
          </w:p>
        </w:tc>
        <w:tc>
          <w:tcPr>
            <w:tcW w:w="4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南宾镇</w:t>
            </w:r>
          </w:p>
        </w:tc>
        <w:tc>
          <w:tcPr>
            <w:tcW w:w="19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取水口上游1000米，下游100米的整个水域。</w:t>
            </w:r>
          </w:p>
        </w:tc>
        <w:tc>
          <w:tcPr>
            <w:tcW w:w="19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洪水期正常水位河道边缘水平纵深30米，陆域沿岸长度与一级保护区水域长度相同。</w:t>
            </w:r>
          </w:p>
        </w:tc>
        <w:tc>
          <w:tcPr>
            <w:tcW w:w="184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取水口上游1000-1500米，下游100-200米水域。</w:t>
            </w:r>
          </w:p>
        </w:tc>
        <w:tc>
          <w:tcPr>
            <w:tcW w:w="187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洪水期正常水位河道边缘水平纵深50米，陆域沿岸长度与二级保护区水域长度相同。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25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城市</w:t>
            </w:r>
          </w:p>
        </w:tc>
        <w:tc>
          <w:tcPr>
            <w:tcW w:w="22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2</w:t>
            </w:r>
          </w:p>
        </w:tc>
        <w:tc>
          <w:tcPr>
            <w:tcW w:w="930"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石柱县给排水公司双庆水厂</w:t>
            </w:r>
          </w:p>
        </w:tc>
        <w:tc>
          <w:tcPr>
            <w:tcW w:w="51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龙池坝水库</w:t>
            </w:r>
          </w:p>
        </w:tc>
        <w:tc>
          <w:tcPr>
            <w:tcW w:w="4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小型水库</w:t>
            </w:r>
          </w:p>
        </w:tc>
        <w:tc>
          <w:tcPr>
            <w:tcW w:w="7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六塘乡</w:t>
            </w:r>
          </w:p>
        </w:tc>
        <w:tc>
          <w:tcPr>
            <w:tcW w:w="19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龙池坝水库正常水位线以下全部水域及右干渠出水口至官田坝电站出水口的引水渠道。</w:t>
            </w:r>
          </w:p>
        </w:tc>
        <w:tc>
          <w:tcPr>
            <w:tcW w:w="19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大坝高程至正常水位所控陆域。</w:t>
            </w:r>
          </w:p>
        </w:tc>
        <w:tc>
          <w:tcPr>
            <w:tcW w:w="184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　</w:t>
            </w:r>
          </w:p>
        </w:tc>
        <w:tc>
          <w:tcPr>
            <w:tcW w:w="187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大坝高程以上至分水岭地带区域。</w:t>
            </w:r>
          </w:p>
        </w:tc>
        <w:tc>
          <w:tcPr>
            <w:tcW w:w="58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3</w:t>
            </w:r>
          </w:p>
        </w:tc>
        <w:tc>
          <w:tcPr>
            <w:tcW w:w="0" w:type="auto"/>
            <w:vMerge w:val="continue"/>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jc w:val="left"/>
              <w:rPr>
                <w:rFonts w:ascii="宋体" w:hAnsi="宋体" w:eastAsia="宋体" w:cs="宋体"/>
                <w:snapToGrid/>
                <w:kern w:val="0"/>
                <w:sz w:val="24"/>
                <w:szCs w:val="24"/>
              </w:rPr>
            </w:pPr>
          </w:p>
        </w:tc>
        <w:tc>
          <w:tcPr>
            <w:tcW w:w="51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龙河</w:t>
            </w:r>
          </w:p>
        </w:tc>
        <w:tc>
          <w:tcPr>
            <w:tcW w:w="4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南宾镇</w:t>
            </w:r>
          </w:p>
        </w:tc>
        <w:tc>
          <w:tcPr>
            <w:tcW w:w="19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取水口上游1000米，下游100米整个水域。</w:t>
            </w:r>
          </w:p>
        </w:tc>
        <w:tc>
          <w:tcPr>
            <w:tcW w:w="19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20年一遇洪水位控制高程以下陆域，陆域沿岸长度与一级保护区水域长度相同。</w:t>
            </w:r>
          </w:p>
        </w:tc>
        <w:tc>
          <w:tcPr>
            <w:tcW w:w="184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取水口上游1000-1500米，下游100-200米水域。</w:t>
            </w:r>
          </w:p>
        </w:tc>
        <w:tc>
          <w:tcPr>
            <w:tcW w:w="187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20年一遇洪水位控制高程以下陆域，陆域沿岸长度与二级保护区水域长度相同。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备用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25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镇级</w:t>
            </w:r>
          </w:p>
        </w:tc>
        <w:tc>
          <w:tcPr>
            <w:tcW w:w="22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1</w:t>
            </w: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黄水镇自来水厂</w:t>
            </w:r>
          </w:p>
        </w:tc>
        <w:tc>
          <w:tcPr>
            <w:tcW w:w="51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黄水渔湖三级坝水库</w:t>
            </w:r>
          </w:p>
        </w:tc>
        <w:tc>
          <w:tcPr>
            <w:tcW w:w="4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小型水库</w:t>
            </w:r>
          </w:p>
        </w:tc>
        <w:tc>
          <w:tcPr>
            <w:tcW w:w="7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黄水镇</w:t>
            </w:r>
          </w:p>
        </w:tc>
        <w:tc>
          <w:tcPr>
            <w:tcW w:w="19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整个水库正常水位线以下的全部水域面积。</w:t>
            </w:r>
          </w:p>
        </w:tc>
        <w:tc>
          <w:tcPr>
            <w:tcW w:w="19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大坝高程至正常水位所控陆域。</w:t>
            </w:r>
          </w:p>
        </w:tc>
        <w:tc>
          <w:tcPr>
            <w:tcW w:w="184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　</w:t>
            </w:r>
          </w:p>
        </w:tc>
        <w:tc>
          <w:tcPr>
            <w:tcW w:w="187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大坝高程以上30米所控陆域。</w:t>
            </w:r>
          </w:p>
        </w:tc>
        <w:tc>
          <w:tcPr>
            <w:tcW w:w="58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2</w:t>
            </w: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王场镇自来水厂</w:t>
            </w:r>
          </w:p>
        </w:tc>
        <w:tc>
          <w:tcPr>
            <w:tcW w:w="510"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蛟鱼水库</w:t>
            </w:r>
          </w:p>
        </w:tc>
        <w:tc>
          <w:tcPr>
            <w:tcW w:w="450"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小型水库</w:t>
            </w:r>
          </w:p>
        </w:tc>
        <w:tc>
          <w:tcPr>
            <w:tcW w:w="750"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王场镇</w:t>
            </w:r>
          </w:p>
        </w:tc>
        <w:tc>
          <w:tcPr>
            <w:tcW w:w="190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整个水库正常水位线以下的全部水域。</w:t>
            </w:r>
          </w:p>
        </w:tc>
        <w:tc>
          <w:tcPr>
            <w:tcW w:w="1950"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大坝高程至正常水位所控陆域。</w:t>
            </w:r>
          </w:p>
        </w:tc>
        <w:tc>
          <w:tcPr>
            <w:tcW w:w="184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　</w:t>
            </w:r>
          </w:p>
        </w:tc>
        <w:tc>
          <w:tcPr>
            <w:tcW w:w="187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大坝高程以上30米所控陆域。</w:t>
            </w:r>
          </w:p>
        </w:tc>
        <w:tc>
          <w:tcPr>
            <w:tcW w:w="585" w:type="dxa"/>
            <w:vMerge w:val="restart"/>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黎场乡自来水厂</w:t>
            </w: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snapToGrid/>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沿溪镇自来水厂</w:t>
            </w: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snapToGrid/>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3</w:t>
            </w: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王场镇自来水厂</w:t>
            </w:r>
          </w:p>
        </w:tc>
        <w:tc>
          <w:tcPr>
            <w:tcW w:w="510"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桃花大堰</w:t>
            </w:r>
          </w:p>
        </w:tc>
        <w:tc>
          <w:tcPr>
            <w:tcW w:w="450"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0" w:type="auto"/>
            <w:vMerge w:val="continue"/>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jc w:val="left"/>
              <w:rPr>
                <w:rFonts w:ascii="宋体" w:hAnsi="宋体" w:eastAsia="宋体" w:cs="宋体"/>
                <w:snapToGrid/>
                <w:kern w:val="0"/>
                <w:sz w:val="24"/>
                <w:szCs w:val="24"/>
              </w:rPr>
            </w:pPr>
          </w:p>
        </w:tc>
        <w:tc>
          <w:tcPr>
            <w:tcW w:w="190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取水口上游1000米，下游100米整个水域。</w:t>
            </w:r>
          </w:p>
        </w:tc>
        <w:tc>
          <w:tcPr>
            <w:tcW w:w="1950"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桃花大堰水渠边缘水平纵深30米，陆域沿岸长度与一级保护区水域长度相同。</w:t>
            </w:r>
          </w:p>
        </w:tc>
        <w:tc>
          <w:tcPr>
            <w:tcW w:w="184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取水口上游1000-2000米，下游100-200米水域。</w:t>
            </w:r>
          </w:p>
        </w:tc>
        <w:tc>
          <w:tcPr>
            <w:tcW w:w="187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桃花大堰水渠边缘水平纵深50米，陆域沿岸长度与二级保护区水域长度相同。</w:t>
            </w:r>
          </w:p>
        </w:tc>
        <w:tc>
          <w:tcPr>
            <w:tcW w:w="585" w:type="dxa"/>
            <w:vMerge w:val="restart"/>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黎场乡自来水厂</w:t>
            </w: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snapToGrid/>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沿溪镇自来水厂</w:t>
            </w: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snapToGrid/>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4</w:t>
            </w: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西沱镇万吨水厂</w:t>
            </w:r>
          </w:p>
        </w:tc>
        <w:tc>
          <w:tcPr>
            <w:tcW w:w="51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汤家湾水库</w:t>
            </w:r>
          </w:p>
        </w:tc>
        <w:tc>
          <w:tcPr>
            <w:tcW w:w="4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小型水库</w:t>
            </w:r>
          </w:p>
        </w:tc>
        <w:tc>
          <w:tcPr>
            <w:tcW w:w="750"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西沱镇</w:t>
            </w:r>
          </w:p>
        </w:tc>
        <w:tc>
          <w:tcPr>
            <w:tcW w:w="19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整个水库正常水位线以下的全部水域面积。</w:t>
            </w:r>
          </w:p>
        </w:tc>
        <w:tc>
          <w:tcPr>
            <w:tcW w:w="19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大坝高程至正常水位所控陆域。</w:t>
            </w:r>
          </w:p>
        </w:tc>
        <w:tc>
          <w:tcPr>
            <w:tcW w:w="184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　</w:t>
            </w:r>
          </w:p>
        </w:tc>
        <w:tc>
          <w:tcPr>
            <w:tcW w:w="187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大坝高程以上30米所控陆域。</w:t>
            </w:r>
          </w:p>
        </w:tc>
        <w:tc>
          <w:tcPr>
            <w:tcW w:w="58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25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镇级</w:t>
            </w:r>
          </w:p>
        </w:tc>
        <w:tc>
          <w:tcPr>
            <w:tcW w:w="22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5</w:t>
            </w: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西沱镇自来水厂</w:t>
            </w:r>
          </w:p>
        </w:tc>
        <w:tc>
          <w:tcPr>
            <w:tcW w:w="510"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跳脚石大堰</w:t>
            </w:r>
          </w:p>
        </w:tc>
        <w:tc>
          <w:tcPr>
            <w:tcW w:w="450"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0" w:type="auto"/>
            <w:vMerge w:val="continue"/>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jc w:val="left"/>
              <w:rPr>
                <w:rFonts w:ascii="宋体" w:hAnsi="宋体" w:eastAsia="宋体" w:cs="宋体"/>
                <w:snapToGrid/>
                <w:kern w:val="0"/>
                <w:sz w:val="24"/>
                <w:szCs w:val="24"/>
              </w:rPr>
            </w:pPr>
          </w:p>
        </w:tc>
        <w:tc>
          <w:tcPr>
            <w:tcW w:w="190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取水口上游1000米，下游100米整个水域。</w:t>
            </w:r>
          </w:p>
        </w:tc>
        <w:tc>
          <w:tcPr>
            <w:tcW w:w="1950"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跳脚石大堰水渠边缘水平纵深30米，陆域沿岸长度与一级保护区水域长度相同。</w:t>
            </w:r>
          </w:p>
        </w:tc>
        <w:tc>
          <w:tcPr>
            <w:tcW w:w="184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取水口上游1000-3000米，下游100-200米水域。</w:t>
            </w:r>
          </w:p>
        </w:tc>
        <w:tc>
          <w:tcPr>
            <w:tcW w:w="1875" w:type="dxa"/>
            <w:vMerge w:val="restart"/>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跳脚石大堰水渠边缘水平纵深50米，陆域沿岸长度与二级保护区水域长度相同。</w:t>
            </w:r>
          </w:p>
        </w:tc>
        <w:tc>
          <w:tcPr>
            <w:tcW w:w="585" w:type="dxa"/>
            <w:vMerge w:val="restart"/>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西沱镇万吨水厂</w:t>
            </w: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snapToGrid/>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6</w:t>
            </w: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悦崃供水站</w:t>
            </w:r>
          </w:p>
        </w:tc>
        <w:tc>
          <w:tcPr>
            <w:tcW w:w="51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古城河</w:t>
            </w:r>
          </w:p>
        </w:tc>
        <w:tc>
          <w:tcPr>
            <w:tcW w:w="4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悦崃镇</w:t>
            </w:r>
          </w:p>
        </w:tc>
        <w:tc>
          <w:tcPr>
            <w:tcW w:w="19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取水口上游1000米，下游100米整个水域。</w:t>
            </w:r>
          </w:p>
        </w:tc>
        <w:tc>
          <w:tcPr>
            <w:tcW w:w="19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洪水期正常水位河道边缘水平纵深30米，陆域沿岸长度与一级保护区水域长度相同。</w:t>
            </w:r>
          </w:p>
        </w:tc>
        <w:tc>
          <w:tcPr>
            <w:tcW w:w="184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取水口上游1000-1500米，下游100-200米水域。</w:t>
            </w:r>
          </w:p>
        </w:tc>
        <w:tc>
          <w:tcPr>
            <w:tcW w:w="187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洪水期正常水位河道边缘水平纵深50米，陆域沿岸长度与二级保护区水域长度相同。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7</w:t>
            </w: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石洞坪自来水厂</w:t>
            </w:r>
          </w:p>
        </w:tc>
        <w:tc>
          <w:tcPr>
            <w:tcW w:w="51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双河口</w:t>
            </w:r>
          </w:p>
        </w:tc>
        <w:tc>
          <w:tcPr>
            <w:tcW w:w="4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临溪镇</w:t>
            </w:r>
          </w:p>
        </w:tc>
        <w:tc>
          <w:tcPr>
            <w:tcW w:w="19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取水口上游1000米，下游100米整个水域。</w:t>
            </w:r>
          </w:p>
        </w:tc>
        <w:tc>
          <w:tcPr>
            <w:tcW w:w="19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洪水期正常水位河道边缘水平纵深30米，陆域沿岸长度与一级保护区水域长度相同。</w:t>
            </w:r>
          </w:p>
        </w:tc>
        <w:tc>
          <w:tcPr>
            <w:tcW w:w="184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取水口上游1000-1500米，下游100-200米水域。</w:t>
            </w:r>
          </w:p>
        </w:tc>
        <w:tc>
          <w:tcPr>
            <w:tcW w:w="187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洪水期正常水位河道边缘水平纵深50米，陆域沿岸长度与二级保护区水域长度相同。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8</w:t>
            </w: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冷水镇水厂</w:t>
            </w:r>
          </w:p>
        </w:tc>
        <w:tc>
          <w:tcPr>
            <w:tcW w:w="51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曹家湾小溪</w:t>
            </w:r>
          </w:p>
        </w:tc>
        <w:tc>
          <w:tcPr>
            <w:tcW w:w="4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冷水镇</w:t>
            </w:r>
          </w:p>
        </w:tc>
        <w:tc>
          <w:tcPr>
            <w:tcW w:w="19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取水口上游1000米，下游100米整个水域。</w:t>
            </w:r>
          </w:p>
        </w:tc>
        <w:tc>
          <w:tcPr>
            <w:tcW w:w="19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洪水期正常水位河道边缘水平纵深30米，陆域沿岸长度与一级保护区水域长度相同。</w:t>
            </w:r>
          </w:p>
        </w:tc>
        <w:tc>
          <w:tcPr>
            <w:tcW w:w="184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取水口上游1000-1500米，下游100-200米水域。</w:t>
            </w:r>
          </w:p>
        </w:tc>
        <w:tc>
          <w:tcPr>
            <w:tcW w:w="187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洪水期正常水位河道边缘水平纵深50米，陆域沿岸长度与二级保护区水域长度相同。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9</w:t>
            </w: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桥头镇自来水厂</w:t>
            </w:r>
          </w:p>
        </w:tc>
        <w:tc>
          <w:tcPr>
            <w:tcW w:w="51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石盘坪溪</w:t>
            </w:r>
          </w:p>
        </w:tc>
        <w:tc>
          <w:tcPr>
            <w:tcW w:w="4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三益乡</w:t>
            </w:r>
          </w:p>
        </w:tc>
        <w:tc>
          <w:tcPr>
            <w:tcW w:w="19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取水口上游1000米，下游100米整个水域。</w:t>
            </w:r>
          </w:p>
        </w:tc>
        <w:tc>
          <w:tcPr>
            <w:tcW w:w="19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洪水期正常水位河道边缘水平纵深30米，陆域沿岸长度与一级保护区水域长度相同。</w:t>
            </w:r>
          </w:p>
        </w:tc>
        <w:tc>
          <w:tcPr>
            <w:tcW w:w="184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取水口上游1000-1500米，下游100-200米水域。</w:t>
            </w:r>
          </w:p>
        </w:tc>
        <w:tc>
          <w:tcPr>
            <w:tcW w:w="187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洪水期正常水位河道边缘水平纵深50米，陆域沿岸长度与二级保护区水域长度相同。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10</w:t>
            </w: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龙沙镇水厂</w:t>
            </w:r>
          </w:p>
        </w:tc>
        <w:tc>
          <w:tcPr>
            <w:tcW w:w="51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碎石厂溪</w:t>
            </w:r>
          </w:p>
        </w:tc>
        <w:tc>
          <w:tcPr>
            <w:tcW w:w="4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龙沙镇</w:t>
            </w:r>
          </w:p>
        </w:tc>
        <w:tc>
          <w:tcPr>
            <w:tcW w:w="19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取水口上游1000米，下游100米整个水域。</w:t>
            </w:r>
          </w:p>
        </w:tc>
        <w:tc>
          <w:tcPr>
            <w:tcW w:w="19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洪水期正常水位河道边缘水平纵深30米，陆域沿岸长度与一级保护区水域长度相同。</w:t>
            </w:r>
          </w:p>
        </w:tc>
        <w:tc>
          <w:tcPr>
            <w:tcW w:w="184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取水口上游1000-1500米，下游100-200米水域。</w:t>
            </w:r>
          </w:p>
        </w:tc>
        <w:tc>
          <w:tcPr>
            <w:tcW w:w="187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洪水期正常水位河道边缘水平纵深50米，陆域沿岸长度与二级保护区水域长度相同。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11</w:t>
            </w:r>
          </w:p>
        </w:tc>
        <w:tc>
          <w:tcPr>
            <w:tcW w:w="9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石家乡自来水厂</w:t>
            </w:r>
          </w:p>
        </w:tc>
        <w:tc>
          <w:tcPr>
            <w:tcW w:w="51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打挂沟溪</w:t>
            </w:r>
          </w:p>
        </w:tc>
        <w:tc>
          <w:tcPr>
            <w:tcW w:w="4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石家乡</w:t>
            </w:r>
          </w:p>
        </w:tc>
        <w:tc>
          <w:tcPr>
            <w:tcW w:w="19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取水口上游1000米，下游100米整个水域。</w:t>
            </w:r>
          </w:p>
        </w:tc>
        <w:tc>
          <w:tcPr>
            <w:tcW w:w="195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洪水期正常水位河道边缘水平纵深30米，陆域沿岸长度与一级保护区水域长度相同。</w:t>
            </w:r>
          </w:p>
        </w:tc>
        <w:tc>
          <w:tcPr>
            <w:tcW w:w="184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取水口上游1000-1500米，下游100-200米水域。</w:t>
            </w:r>
          </w:p>
        </w:tc>
        <w:tc>
          <w:tcPr>
            <w:tcW w:w="187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洪水期正常水位河道边缘水平纵深50米，陆域沿岸长度与二级保护区水域长度相同。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255" w:type="dxa"/>
            <w:vMerge w:val="restart"/>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镇级</w:t>
            </w: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12</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中益乡自来水厂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金溪河</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中益乡</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取水口上游1000米，下游100米整个水域。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洪水期正常水位河道边缘水平纵深30米，陆域沿岸长度与一级保护区水域长度相同。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取水口上游1000-1500米，下游100-200米水域。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洪水期正常水位河道边缘水平纵深50米，陆域沿岸长度与二级保护区水域长度相同。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13</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河嘴乡自来水厂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龙达溪</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河嘴乡</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取水口上游1000米，下游100米整个水域。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洪水期正常水位河道边缘水平纵深30米，陆域沿岸长度与一级保护区水域长度相同。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取水口上游1000-1500米，下游100-200米水域。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洪水期正常水位河道边缘水平纵深50米，陆域沿岸长度与二级保护区水域长度相同。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255" w:type="dxa"/>
            <w:vMerge w:val="restart"/>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镇级</w:t>
            </w: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14</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六塘乡自来水厂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纸厂坪溪沟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六塘乡</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15</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马武镇自来水厂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苏茅草溪沟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马武镇</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16</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金铃乡供水点</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火烧岩溪沟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金铃乡</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17</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洗新乡供水点</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白岩洞溪沟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洗新乡</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18</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龙潭乡供水点</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马家河</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龙潭乡</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255" w:type="dxa"/>
            <w:vMerge w:val="restart"/>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镇级</w:t>
            </w: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19</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金竹乡供水点</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金子湾溪沟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金竹乡</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20</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三益乡供水点</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茶园沟水库</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小型水库</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三益乡</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整个水库正常水位线以下的全部水域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以大坝高度为陆域边缘控制高程</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从一级保护区陆域边界向外延伸30米，但不超过分水岭</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21</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沙子镇水厂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月耳岩溪沟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沙子镇</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22</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马武镇自来水厂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杨柳湾溪沟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马武镇</w:t>
            </w:r>
          </w:p>
          <w:p>
            <w:pPr>
              <w:widowControl/>
              <w:wordWrap w:val="0"/>
              <w:spacing w:line="360" w:lineRule="atLeast"/>
              <w:jc w:val="center"/>
              <w:rPr>
                <w:rFonts w:ascii="宋体" w:hAnsi="宋体" w:eastAsia="宋体" w:cs="宋体"/>
                <w:snapToGrid/>
                <w:kern w:val="0"/>
                <w:sz w:val="24"/>
                <w:szCs w:val="24"/>
              </w:rPr>
            </w:pP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调整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23</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鱼池镇自来水厂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岩岗冲沟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鱼池镇</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调整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255" w:type="dxa"/>
            <w:vMerge w:val="restart"/>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镇级</w:t>
            </w: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24</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万朝镇自来水厂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高家河</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万朝镇</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调整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25</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大歇镇自来水厂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猪圈门溪沟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大歇镇</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调整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26</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黄鹤水厂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黑翁溪沟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黄鹤镇</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调整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27</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枫木镇新场镇水厂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刘正恩大梁溪沟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枫木镇</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调整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28</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新乐乡自来水厂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垮二湾溪沟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新乐乡</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调整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255" w:type="dxa"/>
            <w:vMerge w:val="restart"/>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镇级</w:t>
            </w: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29</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王家乡自来水厂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龙达沟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王家乡</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调整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30</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六塘水厂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杉木溪</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六塘乡</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调整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31</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三星水厂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双叉子沟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三星乡</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调整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32</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三星水厂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周家坝溪沟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三星乡</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调整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33</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三树水厂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小井坝溪沟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三星乡</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调整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jc w:val="center"/>
        </w:trPr>
        <w:tc>
          <w:tcPr>
            <w:tcW w:w="0" w:type="auto"/>
            <w:vMerge w:val="continue"/>
            <w:tcBorders>
              <w:top w:val="single" w:color="000000" w:sz="8" w:space="0"/>
              <w:left w:val="single" w:color="000000" w:sz="8" w:space="0"/>
              <w:bottom w:val="single" w:color="000000" w:sz="8" w:space="0"/>
              <w:right w:val="nil"/>
            </w:tcBorders>
            <w:vAlign w:val="center"/>
          </w:tcPr>
          <w:p>
            <w:pPr>
              <w:widowControl/>
              <w:jc w:val="left"/>
              <w:rPr>
                <w:rFonts w:ascii="宋体" w:hAnsi="宋体" w:eastAsia="宋体" w:cs="宋体"/>
                <w:snapToGrid/>
                <w:kern w:val="0"/>
                <w:sz w:val="24"/>
                <w:szCs w:val="24"/>
              </w:rPr>
            </w:pPr>
          </w:p>
        </w:tc>
        <w:tc>
          <w:tcPr>
            <w:tcW w:w="22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34</w:t>
            </w:r>
          </w:p>
        </w:tc>
        <w:tc>
          <w:tcPr>
            <w:tcW w:w="93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芭蕉自来水厂</w:t>
            </w:r>
          </w:p>
        </w:tc>
        <w:tc>
          <w:tcPr>
            <w:tcW w:w="51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岩脚溪沟</w:t>
            </w:r>
          </w:p>
        </w:tc>
        <w:tc>
          <w:tcPr>
            <w:tcW w:w="4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小型河流</w:t>
            </w:r>
          </w:p>
        </w:tc>
        <w:tc>
          <w:tcPr>
            <w:tcW w:w="7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河嘴乡</w:t>
            </w:r>
          </w:p>
        </w:tc>
        <w:tc>
          <w:tcPr>
            <w:tcW w:w="190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取水口下游100米至上游山泉水出露点的整个水域</w:t>
            </w:r>
          </w:p>
        </w:tc>
        <w:tc>
          <w:tcPr>
            <w:tcW w:w="1950"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以山泉水出露点为圆心，100米为半径的陆域及正常水位河道边缘纵深30米范围的陆域，陆域沿岸长度与一级保护区水域长度相同</w:t>
            </w:r>
          </w:p>
        </w:tc>
        <w:tc>
          <w:tcPr>
            <w:tcW w:w="184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取水口下游100米至200米的水域，上游至山泉水出露点的整个水域</w:t>
            </w:r>
          </w:p>
        </w:tc>
        <w:tc>
          <w:tcPr>
            <w:tcW w:w="1875" w:type="dxa"/>
            <w:tcBorders>
              <w:top w:val="single" w:color="000000" w:sz="8" w:space="0"/>
              <w:left w:val="single" w:color="000000" w:sz="8" w:space="0"/>
              <w:bottom w:val="single" w:color="000000" w:sz="8" w:space="0"/>
              <w:right w:val="nil"/>
            </w:tcBorders>
            <w:shd w:val="clear" w:color="auto" w:fill="FFFFFF"/>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18"/>
                <w:szCs w:val="18"/>
              </w:rPr>
              <w:t>以山泉水出露点为圆心，100米为半径的陆域及正常水位河道边缘纵深30米范围的陆域，陆域沿岸长度与二级保护区水域长度相同</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现用</w:t>
            </w:r>
          </w:p>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18"/>
                <w:szCs w:val="18"/>
              </w:rPr>
              <w:t>调整</w:t>
            </w:r>
          </w:p>
        </w:tc>
      </w:tr>
    </w:tbl>
    <w:p>
      <w:pPr>
        <w:widowControl/>
        <w:spacing w:before="100" w:beforeAutospacing="1" w:line="605" w:lineRule="atLeast"/>
        <w:jc w:val="left"/>
        <w:rPr>
          <w:rFonts w:ascii="宋体" w:hAnsi="宋体" w:eastAsia="宋体" w:cs="宋体"/>
          <w:snapToGrid/>
          <w:kern w:val="0"/>
          <w:sz w:val="24"/>
          <w:szCs w:val="24"/>
        </w:rPr>
      </w:pPr>
    </w:p>
    <w:p>
      <w:pPr>
        <w:widowControl/>
        <w:spacing w:before="100" w:beforeAutospacing="1" w:line="562" w:lineRule="atLeast"/>
        <w:jc w:val="left"/>
        <w:rPr>
          <w:rFonts w:ascii="宋体" w:hAnsi="宋体" w:eastAsia="宋体" w:cs="宋体"/>
          <w:snapToGrid/>
          <w:kern w:val="0"/>
          <w:sz w:val="24"/>
          <w:szCs w:val="24"/>
        </w:rPr>
      </w:pPr>
      <w:r>
        <w:rPr>
          <w:rFonts w:hint="eastAsia" w:ascii="方正黑体_GBK" w:hAnsi="宋体" w:eastAsia="方正黑体_GBK" w:cs="宋体"/>
          <w:snapToGrid/>
          <w:kern w:val="0"/>
          <w:sz w:val="32"/>
          <w:szCs w:val="32"/>
        </w:rPr>
        <w:t>附件2</w:t>
      </w:r>
    </w:p>
    <w:p>
      <w:pPr>
        <w:widowControl/>
        <w:spacing w:before="100" w:beforeAutospacing="1" w:line="562" w:lineRule="atLeast"/>
        <w:jc w:val="left"/>
        <w:rPr>
          <w:rFonts w:ascii="宋体" w:hAnsi="宋体" w:eastAsia="宋体" w:cs="宋体"/>
          <w:snapToGrid/>
          <w:kern w:val="0"/>
          <w:sz w:val="24"/>
          <w:szCs w:val="24"/>
        </w:rPr>
      </w:pPr>
    </w:p>
    <w:p>
      <w:pPr>
        <w:widowControl/>
        <w:spacing w:before="100" w:beforeAutospacing="1" w:line="562" w:lineRule="atLeast"/>
        <w:jc w:val="center"/>
        <w:rPr>
          <w:rFonts w:ascii="宋体" w:hAnsi="宋体" w:eastAsia="宋体" w:cs="宋体"/>
          <w:snapToGrid/>
          <w:kern w:val="0"/>
          <w:sz w:val="24"/>
          <w:szCs w:val="24"/>
        </w:rPr>
      </w:pPr>
      <w:r>
        <w:rPr>
          <w:rFonts w:hint="eastAsia" w:ascii="方正小标宋_GBK" w:hAnsi="宋体" w:eastAsia="方正小标宋_GBK" w:cs="宋体"/>
          <w:snapToGrid/>
          <w:kern w:val="0"/>
          <w:sz w:val="36"/>
          <w:szCs w:val="36"/>
        </w:rPr>
        <w:t>石柱县畜禽养殖禁养区分布及面积统计表</w:t>
      </w:r>
    </w:p>
    <w:p>
      <w:pPr>
        <w:widowControl/>
        <w:spacing w:before="100" w:beforeAutospacing="1" w:line="562" w:lineRule="atLeast"/>
        <w:jc w:val="center"/>
        <w:rPr>
          <w:rFonts w:ascii="宋体" w:hAnsi="宋体" w:eastAsia="宋体" w:cs="宋体"/>
          <w:snapToGrid/>
          <w:kern w:val="0"/>
          <w:sz w:val="24"/>
          <w:szCs w:val="24"/>
        </w:rPr>
      </w:pPr>
    </w:p>
    <w:tbl>
      <w:tblPr>
        <w:tblStyle w:val="3"/>
        <w:tblW w:w="10678"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94" w:type="dxa"/>
          <w:left w:w="187" w:type="dxa"/>
          <w:bottom w:w="94" w:type="dxa"/>
          <w:right w:w="187" w:type="dxa"/>
        </w:tblCellMar>
      </w:tblPr>
      <w:tblGrid>
        <w:gridCol w:w="657"/>
        <w:gridCol w:w="2430"/>
        <w:gridCol w:w="4761"/>
        <w:gridCol w:w="1415"/>
        <w:gridCol w:w="1415"/>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rHeight w:val="60" w:hRule="atLeast"/>
          <w:jc w:val="center"/>
        </w:trPr>
        <w:tc>
          <w:tcPr>
            <w:tcW w:w="49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序号</w:t>
            </w:r>
          </w:p>
        </w:tc>
        <w:tc>
          <w:tcPr>
            <w:tcW w:w="18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60"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禁养区类型</w:t>
            </w:r>
          </w:p>
        </w:tc>
        <w:tc>
          <w:tcPr>
            <w:tcW w:w="31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分布区域</w:t>
            </w:r>
          </w:p>
        </w:tc>
        <w:tc>
          <w:tcPr>
            <w:tcW w:w="10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面积（平方千米）</w:t>
            </w:r>
          </w:p>
        </w:tc>
        <w:tc>
          <w:tcPr>
            <w:tcW w:w="106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占禁养区比例（%）</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rHeight w:val="75" w:hRule="atLeast"/>
          <w:jc w:val="center"/>
        </w:trPr>
        <w:tc>
          <w:tcPr>
            <w:tcW w:w="49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1</w:t>
            </w:r>
          </w:p>
        </w:tc>
        <w:tc>
          <w:tcPr>
            <w:tcW w:w="18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饮用水水源保护区</w:t>
            </w:r>
          </w:p>
        </w:tc>
        <w:tc>
          <w:tcPr>
            <w:tcW w:w="31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37个集中式饮用水源地一级保护区和二级保护区</w:t>
            </w:r>
          </w:p>
        </w:tc>
        <w:tc>
          <w:tcPr>
            <w:tcW w:w="10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5.6</w:t>
            </w:r>
          </w:p>
        </w:tc>
        <w:tc>
          <w:tcPr>
            <w:tcW w:w="106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2.9</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rHeight w:val="75" w:hRule="atLeast"/>
          <w:jc w:val="center"/>
        </w:trPr>
        <w:tc>
          <w:tcPr>
            <w:tcW w:w="49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2</w:t>
            </w:r>
          </w:p>
        </w:tc>
        <w:tc>
          <w:tcPr>
            <w:tcW w:w="18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自然保护区</w:t>
            </w:r>
          </w:p>
        </w:tc>
        <w:tc>
          <w:tcPr>
            <w:tcW w:w="31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大风堡市级自然保护区及水磨溪湿地县级自然保护区的核心区、缓冲区</w:t>
            </w:r>
          </w:p>
        </w:tc>
        <w:tc>
          <w:tcPr>
            <w:tcW w:w="10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136.38</w:t>
            </w:r>
          </w:p>
        </w:tc>
        <w:tc>
          <w:tcPr>
            <w:tcW w:w="106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70.9</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rHeight w:val="285" w:hRule="atLeast"/>
          <w:jc w:val="center"/>
        </w:trPr>
        <w:tc>
          <w:tcPr>
            <w:tcW w:w="49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3</w:t>
            </w:r>
          </w:p>
        </w:tc>
        <w:tc>
          <w:tcPr>
            <w:tcW w:w="18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风景名胜区</w:t>
            </w:r>
          </w:p>
        </w:tc>
        <w:tc>
          <w:tcPr>
            <w:tcW w:w="31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黄水市级风景名胜区全范围</w:t>
            </w:r>
          </w:p>
        </w:tc>
        <w:tc>
          <w:tcPr>
            <w:tcW w:w="10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22.86</w:t>
            </w:r>
          </w:p>
        </w:tc>
        <w:tc>
          <w:tcPr>
            <w:tcW w:w="106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11.9</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rHeight w:val="285" w:hRule="atLeast"/>
          <w:jc w:val="center"/>
        </w:trPr>
        <w:tc>
          <w:tcPr>
            <w:tcW w:w="49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4</w:t>
            </w:r>
          </w:p>
        </w:tc>
        <w:tc>
          <w:tcPr>
            <w:tcW w:w="18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国家森林公园核心景观区</w:t>
            </w:r>
          </w:p>
        </w:tc>
        <w:tc>
          <w:tcPr>
            <w:tcW w:w="31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黄水国家森林公园的核心景观区</w:t>
            </w:r>
          </w:p>
        </w:tc>
        <w:tc>
          <w:tcPr>
            <w:tcW w:w="10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360"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14.11（与大风堡自然保护区的核心区和缓冲区重叠，不另计）</w:t>
            </w:r>
          </w:p>
        </w:tc>
        <w:tc>
          <w:tcPr>
            <w:tcW w:w="106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3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rHeight w:val="75" w:hRule="atLeast"/>
          <w:jc w:val="center"/>
        </w:trPr>
        <w:tc>
          <w:tcPr>
            <w:tcW w:w="49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5</w:t>
            </w:r>
          </w:p>
        </w:tc>
        <w:tc>
          <w:tcPr>
            <w:tcW w:w="18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三峡库区消落带</w:t>
            </w:r>
          </w:p>
        </w:tc>
        <w:tc>
          <w:tcPr>
            <w:tcW w:w="31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三峡库区消落带石柱段</w:t>
            </w:r>
          </w:p>
        </w:tc>
        <w:tc>
          <w:tcPr>
            <w:tcW w:w="10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4.63</w:t>
            </w:r>
          </w:p>
        </w:tc>
        <w:tc>
          <w:tcPr>
            <w:tcW w:w="106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2.4</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rHeight w:val="75" w:hRule="atLeast"/>
          <w:jc w:val="center"/>
        </w:trPr>
        <w:tc>
          <w:tcPr>
            <w:tcW w:w="49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6</w:t>
            </w:r>
          </w:p>
        </w:tc>
        <w:tc>
          <w:tcPr>
            <w:tcW w:w="18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ascii="宋体" w:hAnsi="宋体" w:eastAsia="宋体" w:cs="宋体"/>
                <w:snapToGrid/>
                <w:kern w:val="0"/>
                <w:sz w:val="24"/>
                <w:szCs w:val="24"/>
              </w:rPr>
              <w:t>Ⅱ</w:t>
            </w:r>
            <w:r>
              <w:rPr>
                <w:rFonts w:hint="eastAsia" w:ascii="方正仿宋_GBK" w:hAnsi="宋体" w:cs="宋体"/>
                <w:snapToGrid/>
                <w:kern w:val="0"/>
                <w:sz w:val="24"/>
                <w:szCs w:val="24"/>
              </w:rPr>
              <w:t>类及以上水域功能区沿岸200m陆域</w:t>
            </w:r>
          </w:p>
        </w:tc>
        <w:tc>
          <w:tcPr>
            <w:tcW w:w="31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官田河、龙河、马武河、双河坝河、六塘河、龙滩河、石流河、毛滩河、河坝场河、龙池坝、万胜坝、老鸹石</w:t>
            </w:r>
          </w:p>
        </w:tc>
        <w:tc>
          <w:tcPr>
            <w:tcW w:w="10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3.64</w:t>
            </w:r>
          </w:p>
        </w:tc>
        <w:tc>
          <w:tcPr>
            <w:tcW w:w="106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1.9</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rHeight w:val="75" w:hRule="atLeast"/>
          <w:jc w:val="center"/>
        </w:trPr>
        <w:tc>
          <w:tcPr>
            <w:tcW w:w="49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7</w:t>
            </w:r>
          </w:p>
        </w:tc>
        <w:tc>
          <w:tcPr>
            <w:tcW w:w="183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城镇建设用地</w:t>
            </w:r>
          </w:p>
        </w:tc>
        <w:tc>
          <w:tcPr>
            <w:tcW w:w="31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全县33个乡镇（街道）建成区范围</w:t>
            </w:r>
          </w:p>
        </w:tc>
        <w:tc>
          <w:tcPr>
            <w:tcW w:w="10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19.3</w:t>
            </w:r>
          </w:p>
        </w:tc>
        <w:tc>
          <w:tcPr>
            <w:tcW w:w="106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10.0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rHeight w:val="60" w:hRule="atLeast"/>
          <w:jc w:val="center"/>
        </w:trPr>
        <w:tc>
          <w:tcPr>
            <w:tcW w:w="5910" w:type="dxa"/>
            <w:gridSpan w:val="3"/>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 xml:space="preserve"> 计</w:t>
            </w:r>
            <w:r>
              <w:rPr>
                <w:rFonts w:hint="eastAsia" w:ascii="MS Mincho" w:hAnsi="MS Mincho" w:eastAsia="MS Mincho" w:cs="MS Mincho"/>
                <w:snapToGrid/>
                <w:kern w:val="0"/>
                <w:sz w:val="24"/>
                <w:szCs w:val="24"/>
              </w:rPr>
              <w:t>  </w:t>
            </w:r>
            <w:r>
              <w:rPr>
                <w:rFonts w:hint="eastAsia" w:ascii="方正仿宋_GBK" w:hAnsi="宋体" w:cs="宋体"/>
                <w:snapToGrid/>
                <w:kern w:val="0"/>
                <w:sz w:val="24"/>
                <w:szCs w:val="24"/>
              </w:rPr>
              <w:t xml:space="preserve">合 </w:t>
            </w:r>
          </w:p>
        </w:tc>
        <w:tc>
          <w:tcPr>
            <w:tcW w:w="106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192.41</w:t>
            </w:r>
          </w:p>
        </w:tc>
        <w:tc>
          <w:tcPr>
            <w:tcW w:w="1065"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100.00</w:t>
            </w:r>
          </w:p>
        </w:tc>
      </w:tr>
    </w:tbl>
    <w:p>
      <w:pPr>
        <w:widowControl/>
        <w:spacing w:before="100" w:beforeAutospacing="1" w:line="562"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注：各类禁养区空间范围有重叠，重叠部分的面积按优先级原则只计算一次。</w:t>
      </w:r>
    </w:p>
    <w:p>
      <w:pPr>
        <w:widowControl/>
        <w:spacing w:before="100" w:beforeAutospacing="1" w:line="562" w:lineRule="atLeast"/>
        <w:jc w:val="left"/>
        <w:rPr>
          <w:rFonts w:ascii="宋体" w:hAnsi="宋体" w:eastAsia="宋体" w:cs="宋体"/>
          <w:snapToGrid/>
          <w:kern w:val="0"/>
          <w:sz w:val="24"/>
          <w:szCs w:val="24"/>
        </w:rPr>
      </w:pPr>
    </w:p>
    <w:p>
      <w:pPr>
        <w:widowControl/>
        <w:spacing w:before="100" w:beforeAutospacing="1" w:line="547" w:lineRule="atLeast"/>
        <w:ind w:firstLine="475"/>
        <w:jc w:val="left"/>
        <w:rPr>
          <w:rFonts w:ascii="宋体" w:hAnsi="宋体" w:eastAsia="宋体" w:cs="宋体"/>
          <w:snapToGrid/>
          <w:kern w:val="0"/>
          <w:sz w:val="24"/>
          <w:szCs w:val="24"/>
        </w:rPr>
      </w:pPr>
    </w:p>
    <w:p>
      <w:pPr>
        <w:widowControl/>
        <w:spacing w:before="100" w:beforeAutospacing="1" w:line="547" w:lineRule="atLeast"/>
        <w:ind w:firstLine="475"/>
        <w:jc w:val="left"/>
        <w:rPr>
          <w:rFonts w:ascii="宋体" w:hAnsi="宋体" w:eastAsia="宋体" w:cs="宋体"/>
          <w:snapToGrid/>
          <w:kern w:val="0"/>
          <w:sz w:val="24"/>
          <w:szCs w:val="24"/>
        </w:rPr>
      </w:pPr>
    </w:p>
    <w:p>
      <w:pPr>
        <w:widowControl/>
        <w:spacing w:before="100" w:beforeAutospacing="1" w:line="562" w:lineRule="atLeast"/>
        <w:jc w:val="left"/>
        <w:rPr>
          <w:rFonts w:ascii="宋体" w:hAnsi="宋体" w:eastAsia="宋体" w:cs="宋体"/>
          <w:snapToGrid/>
          <w:kern w:val="0"/>
          <w:sz w:val="24"/>
          <w:szCs w:val="24"/>
        </w:rPr>
      </w:pPr>
      <w:r>
        <w:rPr>
          <w:rFonts w:hint="eastAsia" w:ascii="方正黑体_GBK" w:hAnsi="宋体" w:eastAsia="方正黑体_GBK" w:cs="宋体"/>
          <w:snapToGrid/>
          <w:kern w:val="0"/>
          <w:sz w:val="32"/>
          <w:szCs w:val="32"/>
        </w:rPr>
        <w:t>附件3</w:t>
      </w:r>
    </w:p>
    <w:p>
      <w:pPr>
        <w:widowControl/>
        <w:spacing w:before="100" w:beforeAutospacing="1" w:line="562" w:lineRule="atLeast"/>
        <w:jc w:val="left"/>
        <w:rPr>
          <w:rFonts w:ascii="宋体" w:hAnsi="宋体" w:eastAsia="宋体" w:cs="宋体"/>
          <w:snapToGrid/>
          <w:kern w:val="0"/>
          <w:sz w:val="24"/>
          <w:szCs w:val="24"/>
        </w:rPr>
      </w:pPr>
    </w:p>
    <w:p>
      <w:pPr>
        <w:widowControl/>
        <w:spacing w:before="100" w:beforeAutospacing="1" w:line="562" w:lineRule="atLeast"/>
        <w:jc w:val="center"/>
        <w:rPr>
          <w:rFonts w:ascii="宋体" w:hAnsi="宋体" w:eastAsia="宋体" w:cs="宋体"/>
          <w:snapToGrid/>
          <w:kern w:val="0"/>
          <w:sz w:val="24"/>
          <w:szCs w:val="24"/>
        </w:rPr>
      </w:pPr>
      <w:r>
        <w:rPr>
          <w:rFonts w:hint="eastAsia" w:ascii="方正小标宋_GBK" w:hAnsi="宋体" w:eastAsia="方正小标宋_GBK" w:cs="宋体"/>
          <w:snapToGrid/>
          <w:kern w:val="0"/>
          <w:sz w:val="36"/>
          <w:szCs w:val="36"/>
        </w:rPr>
        <w:t>石柱县畜禽养殖限养区分布及面积统计表</w:t>
      </w:r>
    </w:p>
    <w:p>
      <w:pPr>
        <w:widowControl/>
        <w:spacing w:before="100" w:beforeAutospacing="1" w:line="562" w:lineRule="atLeast"/>
        <w:jc w:val="center"/>
        <w:rPr>
          <w:rFonts w:ascii="宋体" w:hAnsi="宋体" w:eastAsia="宋体" w:cs="宋体"/>
          <w:snapToGrid/>
          <w:kern w:val="0"/>
          <w:sz w:val="24"/>
          <w:szCs w:val="24"/>
        </w:rPr>
      </w:pPr>
    </w:p>
    <w:tbl>
      <w:tblPr>
        <w:tblStyle w:val="3"/>
        <w:tblW w:w="11239"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94" w:type="dxa"/>
          <w:left w:w="187" w:type="dxa"/>
          <w:bottom w:w="94" w:type="dxa"/>
          <w:right w:w="187" w:type="dxa"/>
        </w:tblCellMar>
      </w:tblPr>
      <w:tblGrid>
        <w:gridCol w:w="534"/>
        <w:gridCol w:w="2651"/>
        <w:gridCol w:w="5065"/>
        <w:gridCol w:w="1603"/>
        <w:gridCol w:w="1386"/>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rHeight w:val="60" w:hRule="atLeast"/>
          <w:jc w:val="center"/>
        </w:trPr>
        <w:tc>
          <w:tcPr>
            <w:tcW w:w="4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序号</w:t>
            </w:r>
          </w:p>
        </w:tc>
        <w:tc>
          <w:tcPr>
            <w:tcW w:w="201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60"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限养区类型</w:t>
            </w:r>
          </w:p>
        </w:tc>
        <w:tc>
          <w:tcPr>
            <w:tcW w:w="342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分布区域</w:t>
            </w:r>
          </w:p>
        </w:tc>
        <w:tc>
          <w:tcPr>
            <w:tcW w:w="121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面积平方千米</w:t>
            </w:r>
          </w:p>
        </w:tc>
        <w:tc>
          <w:tcPr>
            <w:tcW w:w="1050"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占限养区比例（%）</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rHeight w:val="75" w:hRule="atLeast"/>
          <w:jc w:val="center"/>
        </w:trPr>
        <w:tc>
          <w:tcPr>
            <w:tcW w:w="4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1</w:t>
            </w:r>
          </w:p>
        </w:tc>
        <w:tc>
          <w:tcPr>
            <w:tcW w:w="201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森林公园</w:t>
            </w:r>
          </w:p>
        </w:tc>
        <w:tc>
          <w:tcPr>
            <w:tcW w:w="342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黄水国家森林公园核心景观区以外的范围（与大风堡自然保护区重叠部分不计）</w:t>
            </w:r>
          </w:p>
        </w:tc>
        <w:tc>
          <w:tcPr>
            <w:tcW w:w="121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5.48</w:t>
            </w:r>
          </w:p>
        </w:tc>
        <w:tc>
          <w:tcPr>
            <w:tcW w:w="1050"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3.3</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rHeight w:val="75" w:hRule="atLeast"/>
          <w:jc w:val="center"/>
        </w:trPr>
        <w:tc>
          <w:tcPr>
            <w:tcW w:w="4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2</w:t>
            </w:r>
          </w:p>
        </w:tc>
        <w:tc>
          <w:tcPr>
            <w:tcW w:w="201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自然保护区实验区</w:t>
            </w:r>
          </w:p>
        </w:tc>
        <w:tc>
          <w:tcPr>
            <w:tcW w:w="342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大风堡市级自然保护区及水磨溪湿地县级自然保护区的实验区</w:t>
            </w:r>
          </w:p>
        </w:tc>
        <w:tc>
          <w:tcPr>
            <w:tcW w:w="121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108.01</w:t>
            </w:r>
          </w:p>
        </w:tc>
        <w:tc>
          <w:tcPr>
            <w:tcW w:w="1050"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64.6</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rHeight w:val="75" w:hRule="atLeast"/>
          <w:jc w:val="center"/>
        </w:trPr>
        <w:tc>
          <w:tcPr>
            <w:tcW w:w="4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3</w:t>
            </w:r>
          </w:p>
        </w:tc>
        <w:tc>
          <w:tcPr>
            <w:tcW w:w="201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ascii="宋体" w:hAnsi="宋体" w:eastAsia="宋体" w:cs="宋体"/>
                <w:snapToGrid/>
                <w:kern w:val="0"/>
                <w:sz w:val="24"/>
                <w:szCs w:val="24"/>
              </w:rPr>
              <w:t>Ⅲ</w:t>
            </w:r>
            <w:r>
              <w:rPr>
                <w:rFonts w:hint="eastAsia" w:ascii="方正仿宋_GBK" w:hAnsi="宋体" w:cs="宋体"/>
                <w:snapToGrid/>
                <w:kern w:val="0"/>
                <w:sz w:val="24"/>
                <w:szCs w:val="24"/>
              </w:rPr>
              <w:t>类水域功能区沿岸200m陆域</w:t>
            </w:r>
          </w:p>
        </w:tc>
        <w:tc>
          <w:tcPr>
            <w:tcW w:w="342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油草河、菜地坝河、官渡河、黎家河、沿溪河、四龙溪、五斗河、白杨坝河、悦来河、蚕溪河、龙沙河、藤子沟、桃花大堰、鲛鱼水库</w:t>
            </w:r>
          </w:p>
        </w:tc>
        <w:tc>
          <w:tcPr>
            <w:tcW w:w="121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2.3</w:t>
            </w:r>
          </w:p>
        </w:tc>
        <w:tc>
          <w:tcPr>
            <w:tcW w:w="1050"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1.4</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rHeight w:val="75" w:hRule="atLeast"/>
          <w:jc w:val="center"/>
        </w:trPr>
        <w:tc>
          <w:tcPr>
            <w:tcW w:w="40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4</w:t>
            </w:r>
          </w:p>
        </w:tc>
        <w:tc>
          <w:tcPr>
            <w:tcW w:w="201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城镇规划用地</w:t>
            </w:r>
          </w:p>
        </w:tc>
        <w:tc>
          <w:tcPr>
            <w:tcW w:w="3420"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全县33个乡镇（街道）规划区范围</w:t>
            </w:r>
          </w:p>
        </w:tc>
        <w:tc>
          <w:tcPr>
            <w:tcW w:w="121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51.27</w:t>
            </w:r>
          </w:p>
        </w:tc>
        <w:tc>
          <w:tcPr>
            <w:tcW w:w="1050"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75"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30.7</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94" w:type="dxa"/>
            <w:left w:w="187" w:type="dxa"/>
            <w:bottom w:w="94" w:type="dxa"/>
            <w:right w:w="187" w:type="dxa"/>
          </w:tblCellMar>
        </w:tblPrEx>
        <w:trPr>
          <w:trHeight w:val="60" w:hRule="atLeast"/>
          <w:jc w:val="center"/>
        </w:trPr>
        <w:tc>
          <w:tcPr>
            <w:tcW w:w="6255" w:type="dxa"/>
            <w:gridSpan w:val="3"/>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 xml:space="preserve"> 计</w:t>
            </w:r>
            <w:r>
              <w:rPr>
                <w:rFonts w:hint="eastAsia" w:ascii="MS Mincho" w:hAnsi="MS Mincho" w:eastAsia="MS Mincho" w:cs="MS Mincho"/>
                <w:snapToGrid/>
                <w:kern w:val="0"/>
                <w:sz w:val="24"/>
                <w:szCs w:val="24"/>
              </w:rPr>
              <w:t>  </w:t>
            </w:r>
            <w:r>
              <w:rPr>
                <w:rFonts w:hint="eastAsia" w:ascii="方正仿宋_GBK" w:hAnsi="宋体" w:cs="宋体"/>
                <w:snapToGrid/>
                <w:kern w:val="0"/>
                <w:sz w:val="24"/>
                <w:szCs w:val="24"/>
              </w:rPr>
              <w:t xml:space="preserve">合 </w:t>
            </w:r>
          </w:p>
        </w:tc>
        <w:tc>
          <w:tcPr>
            <w:tcW w:w="1215" w:type="dxa"/>
            <w:tcBorders>
              <w:top w:val="single" w:color="000000" w:sz="8" w:space="0"/>
              <w:left w:val="single" w:color="000000" w:sz="8" w:space="0"/>
              <w:bottom w:val="single" w:color="000000" w:sz="8" w:space="0"/>
              <w:right w:val="nil"/>
            </w:tcBorders>
            <w:tcMar>
              <w:top w:w="0" w:type="dxa"/>
              <w:left w:w="115" w:type="dxa"/>
              <w:bottom w:w="0" w:type="dxa"/>
              <w:right w:w="0" w:type="dxa"/>
            </w:tcMar>
            <w:vAlign w:val="center"/>
          </w:tcPr>
          <w:p>
            <w:pPr>
              <w:widowControl/>
              <w:wordWrap w:val="0"/>
              <w:spacing w:line="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167.06</w:t>
            </w:r>
          </w:p>
        </w:tc>
        <w:tc>
          <w:tcPr>
            <w:tcW w:w="1050" w:type="dxa"/>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pPr>
              <w:widowControl/>
              <w:wordWrap w:val="0"/>
              <w:spacing w:line="60" w:lineRule="atLeast"/>
              <w:jc w:val="center"/>
              <w:rPr>
                <w:rFonts w:ascii="宋体" w:hAnsi="宋体" w:eastAsia="宋体" w:cs="宋体"/>
                <w:snapToGrid/>
                <w:kern w:val="0"/>
                <w:sz w:val="24"/>
                <w:szCs w:val="24"/>
              </w:rPr>
            </w:pPr>
            <w:r>
              <w:rPr>
                <w:rFonts w:hint="eastAsia" w:ascii="方正仿宋_GBK" w:hAnsi="宋体" w:cs="宋体"/>
                <w:snapToGrid/>
                <w:kern w:val="0"/>
                <w:sz w:val="24"/>
                <w:szCs w:val="24"/>
              </w:rPr>
              <w:t>100.00</w:t>
            </w:r>
          </w:p>
        </w:tc>
      </w:tr>
    </w:tbl>
    <w:p>
      <w:pPr>
        <w:widowControl/>
        <w:spacing w:before="100" w:beforeAutospacing="1" w:line="562" w:lineRule="atLeast"/>
        <w:jc w:val="left"/>
        <w:rPr>
          <w:rFonts w:ascii="宋体" w:hAnsi="宋体" w:eastAsia="宋体" w:cs="宋体"/>
          <w:snapToGrid/>
          <w:kern w:val="0"/>
          <w:sz w:val="24"/>
          <w:szCs w:val="24"/>
        </w:rPr>
      </w:pPr>
      <w:r>
        <w:rPr>
          <w:rFonts w:hint="eastAsia" w:ascii="方正仿宋_GBK" w:hAnsi="宋体" w:cs="宋体"/>
          <w:snapToGrid/>
          <w:kern w:val="0"/>
          <w:sz w:val="24"/>
          <w:szCs w:val="24"/>
        </w:rPr>
        <w:t>注：各类限养区空间范围有重叠，重叠部分的面积按优先级原则只计算一次。</w:t>
      </w:r>
    </w:p>
    <w:p>
      <w:pPr>
        <w:widowControl/>
        <w:spacing w:before="100" w:beforeAutospacing="1" w:line="562" w:lineRule="atLeast"/>
        <w:jc w:val="left"/>
        <w:rPr>
          <w:rFonts w:ascii="宋体" w:hAnsi="宋体" w:eastAsia="宋体" w:cs="宋体"/>
          <w:snapToGrid/>
          <w:kern w:val="0"/>
          <w:sz w:val="24"/>
          <w:szCs w:val="24"/>
        </w:rPr>
      </w:pPr>
    </w:p>
    <w:p>
      <w:pPr>
        <w:widowControl/>
        <w:spacing w:before="100" w:beforeAutospacing="1" w:line="562" w:lineRule="atLeast"/>
        <w:jc w:val="left"/>
        <w:rPr>
          <w:rFonts w:ascii="宋体" w:hAnsi="宋体" w:eastAsia="宋体" w:cs="宋体"/>
          <w:snapToGrid/>
          <w:kern w:val="0"/>
          <w:sz w:val="24"/>
          <w:szCs w:val="24"/>
        </w:rPr>
      </w:pPr>
    </w:p>
    <w:p>
      <w:pPr>
        <w:widowControl/>
        <w:spacing w:before="100" w:beforeAutospacing="1" w:line="562" w:lineRule="atLeast"/>
        <w:jc w:val="left"/>
        <w:rPr>
          <w:rFonts w:ascii="宋体" w:hAnsi="宋体" w:eastAsia="宋体" w:cs="宋体"/>
          <w:snapToGrid/>
          <w:kern w:val="0"/>
          <w:sz w:val="24"/>
          <w:szCs w:val="24"/>
        </w:rPr>
      </w:pPr>
    </w:p>
    <w:p>
      <w:pPr>
        <w:widowControl/>
        <w:spacing w:before="100" w:beforeAutospacing="1" w:line="562" w:lineRule="atLeast"/>
        <w:jc w:val="left"/>
        <w:rPr>
          <w:rFonts w:ascii="宋体" w:hAnsi="宋体" w:eastAsia="宋体" w:cs="宋体"/>
          <w:snapToGrid/>
          <w:kern w:val="0"/>
          <w:sz w:val="24"/>
          <w:szCs w:val="24"/>
        </w:rPr>
      </w:pPr>
    </w:p>
    <w:p>
      <w:pPr>
        <w:widowControl/>
        <w:spacing w:before="100" w:beforeAutospacing="1" w:line="562" w:lineRule="atLeast"/>
        <w:jc w:val="left"/>
        <w:rPr>
          <w:rFonts w:ascii="宋体" w:hAnsi="宋体" w:eastAsia="宋体" w:cs="宋体"/>
          <w:snapToGrid/>
          <w:kern w:val="0"/>
          <w:sz w:val="24"/>
          <w:szCs w:val="24"/>
        </w:rPr>
      </w:pPr>
    </w:p>
    <w:p>
      <w:pPr>
        <w:widowControl/>
        <w:spacing w:before="100" w:beforeAutospacing="1" w:line="562" w:lineRule="atLeast"/>
        <w:jc w:val="left"/>
        <w:rPr>
          <w:rFonts w:ascii="宋体" w:hAnsi="宋体" w:eastAsia="宋体" w:cs="宋体"/>
          <w:snapToGrid/>
          <w:kern w:val="0"/>
          <w:sz w:val="24"/>
          <w:szCs w:val="24"/>
        </w:rPr>
      </w:pPr>
    </w:p>
    <w:p>
      <w:pPr>
        <w:widowControl/>
        <w:spacing w:before="100" w:beforeAutospacing="1" w:line="562" w:lineRule="atLeast"/>
        <w:jc w:val="left"/>
        <w:rPr>
          <w:rFonts w:ascii="宋体" w:hAnsi="宋体" w:eastAsia="宋体" w:cs="宋体"/>
          <w:snapToGrid/>
          <w:kern w:val="0"/>
          <w:sz w:val="24"/>
          <w:szCs w:val="24"/>
        </w:rPr>
      </w:pPr>
    </w:p>
    <w:p>
      <w:pPr>
        <w:widowControl/>
        <w:spacing w:before="100" w:beforeAutospacing="1" w:line="562" w:lineRule="atLeast"/>
        <w:jc w:val="left"/>
        <w:rPr>
          <w:rFonts w:ascii="宋体" w:hAnsi="宋体" w:eastAsia="宋体" w:cs="宋体"/>
          <w:snapToGrid/>
          <w:kern w:val="0"/>
          <w:sz w:val="24"/>
          <w:szCs w:val="24"/>
        </w:rPr>
      </w:pPr>
    </w:p>
    <w:p>
      <w:pPr>
        <w:widowControl/>
        <w:spacing w:before="100" w:beforeAutospacing="1" w:line="243" w:lineRule="atLeast"/>
        <w:jc w:val="left"/>
        <w:rPr>
          <w:rFonts w:ascii="宋体" w:hAnsi="宋体" w:eastAsia="宋体" w:cs="宋体"/>
          <w:snapToGrid/>
          <w:kern w:val="0"/>
          <w:sz w:val="24"/>
          <w:szCs w:val="24"/>
        </w:rPr>
      </w:pPr>
      <w:r>
        <w:rPr>
          <w:rFonts w:hint="eastAsia" w:ascii="方正黑体_GBK" w:hAnsi="等线" w:eastAsia="方正黑体_GBK" w:cs="宋体"/>
          <w:snapToGrid/>
          <w:kern w:val="0"/>
          <w:sz w:val="32"/>
          <w:szCs w:val="32"/>
        </w:rPr>
        <w:t>附件</w:t>
      </w:r>
      <w:r>
        <w:rPr>
          <w:rFonts w:hint="eastAsia" w:ascii="方正黑体_GBK" w:hAnsi="宋体" w:eastAsia="方正黑体_GBK" w:cs="宋体"/>
          <w:snapToGrid/>
          <w:kern w:val="0"/>
          <w:sz w:val="32"/>
          <w:szCs w:val="32"/>
        </w:rPr>
        <w:t>4</w:t>
      </w:r>
      <w:r>
        <w:rPr>
          <w:rFonts w:hint="eastAsia" w:ascii="MS Mincho" w:hAnsi="MS Mincho" w:eastAsia="MS Mincho" w:cs="MS Mincho"/>
          <w:snapToGrid/>
          <w:kern w:val="0"/>
          <w:sz w:val="32"/>
          <w:szCs w:val="32"/>
        </w:rPr>
        <w:t>    </w:t>
      </w:r>
      <w:r>
        <w:rPr>
          <w:rFonts w:hint="eastAsia" w:ascii="方正黑体_GBK" w:hAnsi="等线" w:eastAsia="方正黑体_GBK" w:cs="宋体"/>
          <w:snapToGrid/>
          <w:kern w:val="0"/>
          <w:sz w:val="32"/>
          <w:szCs w:val="32"/>
        </w:rPr>
        <w:t xml:space="preserve">： </w:t>
      </w:r>
      <w:r>
        <w:rPr>
          <w:rFonts w:hint="eastAsia" w:ascii="方正小标宋_GBK" w:hAnsi="等线" w:eastAsia="方正小标宋_GBK" w:cs="宋体"/>
          <w:snapToGrid/>
          <w:kern w:val="0"/>
          <w:sz w:val="36"/>
          <w:szCs w:val="36"/>
        </w:rPr>
        <w:t>石柱县禁养区限养区分布图</w:t>
      </w:r>
    </w:p>
    <w:p>
      <w:pPr>
        <w:widowControl/>
        <w:spacing w:before="100" w:beforeAutospacing="1" w:line="243" w:lineRule="atLeast"/>
        <w:jc w:val="left"/>
        <w:rPr>
          <w:rFonts w:ascii="宋体" w:hAnsi="宋体" w:eastAsia="宋体" w:cs="宋体"/>
          <w:snapToGrid/>
          <w:kern w:val="0"/>
          <w:sz w:val="24"/>
          <w:szCs w:val="24"/>
        </w:rPr>
      </w:pPr>
      <w:r>
        <w:rPr>
          <w:rFonts w:ascii="宋体" w:hAnsi="宋体" w:eastAsia="宋体" w:cs="宋体"/>
          <w:kern w:val="0"/>
          <w:sz w:val="24"/>
          <w:szCs w:val="24"/>
        </w:rPr>
        <w:drawing>
          <wp:inline distT="0" distB="0" distL="0" distR="0">
            <wp:extent cx="5272405" cy="7469505"/>
            <wp:effectExtent l="19050" t="0" r="4445" b="0"/>
            <wp:docPr id="1" name="图片 1" descr="http://23.99.193.13/webpic/W0202101/W020210125/W020210125737742119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23.99.193.13/webpic/W0202101/W020210125/W020210125737742119362.jpg"/>
                    <pic:cNvPicPr>
                      <a:picLocks noChangeAspect="1" noChangeArrowheads="1"/>
                    </pic:cNvPicPr>
                  </pic:nvPicPr>
                  <pic:blipFill>
                    <a:blip r:embed="rId4" cstate="print"/>
                    <a:srcRect/>
                    <a:stretch>
                      <a:fillRect/>
                    </a:stretch>
                  </pic:blipFill>
                  <pic:spPr>
                    <a:xfrm>
                      <a:off x="0" y="0"/>
                      <a:ext cx="5272405" cy="7469505"/>
                    </a:xfrm>
                    <a:prstGeom prst="rect">
                      <a:avLst/>
                    </a:prstGeom>
                    <a:noFill/>
                    <a:ln w="9525">
                      <a:noFill/>
                      <a:miter lim="800000"/>
                      <a:headEnd/>
                      <a:tailEnd/>
                    </a:ln>
                  </pic:spPr>
                </pic:pic>
              </a:graphicData>
            </a:graphic>
          </wp:inline>
        </w:drawing>
      </w:r>
    </w:p>
    <w:p>
      <w:pPr>
        <w:widowControl/>
        <w:spacing w:before="100" w:beforeAutospacing="1" w:line="662" w:lineRule="atLeast"/>
        <w:jc w:val="left"/>
        <w:rPr>
          <w:rFonts w:ascii="宋体" w:hAnsi="宋体" w:eastAsia="宋体" w:cs="宋体"/>
          <w:snapToGrid/>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0002009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5B58A0"/>
    <w:rsid w:val="005B58A0"/>
    <w:rsid w:val="007316E2"/>
    <w:rsid w:val="00A7450D"/>
    <w:rsid w:val="00B024E1"/>
    <w:rsid w:val="00B27AFB"/>
    <w:rsid w:val="00E92DF4"/>
    <w:rsid w:val="0AF73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snapToGrid w:val="0"/>
      <w:kern w:val="2"/>
      <w:sz w:val="34"/>
      <w:szCs w:val="34"/>
      <w:lang w:val="en-US" w:eastAsia="zh-CN" w:bidi="ar-SA"/>
    </w:rPr>
  </w:style>
  <w:style w:type="paragraph" w:styleId="2">
    <w:name w:val="heading 1"/>
    <w:basedOn w:val="1"/>
    <w:link w:val="5"/>
    <w:qFormat/>
    <w:uiPriority w:val="9"/>
    <w:pPr>
      <w:widowControl/>
      <w:spacing w:before="100" w:beforeAutospacing="1" w:after="100" w:afterAutospacing="1"/>
      <w:jc w:val="left"/>
      <w:outlineLvl w:val="0"/>
    </w:pPr>
    <w:rPr>
      <w:rFonts w:ascii="宋体" w:hAnsi="宋体" w:eastAsia="宋体" w:cs="宋体"/>
      <w:b/>
      <w:bCs/>
      <w:snapToGrid/>
      <w:kern w:val="36"/>
      <w:sz w:val="48"/>
      <w:szCs w:val="48"/>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uiPriority w:val="9"/>
    <w:rPr>
      <w:rFonts w:ascii="宋体" w:hAnsi="宋体" w:eastAsia="宋体" w:cs="宋体"/>
      <w:b/>
      <w:bCs/>
      <w:snapToGrid/>
      <w:kern w:val="36"/>
      <w:sz w:val="48"/>
      <w:szCs w:val="48"/>
    </w:rPr>
  </w:style>
  <w:style w:type="paragraph" w:customStyle="1" w:styleId="6">
    <w:name w:val="western"/>
    <w:basedOn w:val="1"/>
    <w:uiPriority w:val="0"/>
    <w:pPr>
      <w:widowControl/>
      <w:spacing w:before="100" w:beforeAutospacing="1" w:after="100" w:afterAutospacing="1"/>
      <w:jc w:val="left"/>
    </w:pPr>
    <w:rPr>
      <w:rFonts w:ascii="宋体" w:hAnsi="宋体" w:eastAsia="宋体" w:cs="宋体"/>
      <w:snapToGrid/>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11027</Words>
  <Characters>11847</Characters>
  <Lines>89</Lines>
  <Paragraphs>25</Paragraphs>
  <TotalTime>2</TotalTime>
  <ScaleCrop>false</ScaleCrop>
  <LinksUpToDate>false</LinksUpToDate>
  <CharactersWithSpaces>11865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2022-09-01T10:49:00Z</dcterms:created>
  <dc:creator>刘亚军</dc:creator>
  <cp:lastModifiedBy>安然弱水</cp:lastModifiedBy>
  <dcterms:modified xsi:type="dcterms:W3CDTF">2024-05-24T01:23:29Z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DDAFACCD4CB741278A676C66054488F3_12</vt:lpwstr>
  </property>
</Properties>
</file>