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ED9331">
      <w:pPr>
        <w:spacing w:line="600" w:lineRule="exact"/>
        <w:jc w:val="left"/>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2</w:t>
      </w:r>
    </w:p>
    <w:p w14:paraId="0E85CCB3">
      <w:pPr>
        <w:spacing w:line="600" w:lineRule="exact"/>
        <w:jc w:val="left"/>
        <w:rPr>
          <w:rFonts w:ascii="Times New Roman" w:hAnsi="Times New Roman" w:eastAsia="方正黑体_GBK"/>
          <w:sz w:val="32"/>
          <w:szCs w:val="32"/>
        </w:rPr>
      </w:pPr>
    </w:p>
    <w:p w14:paraId="55D47B42">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石柱土家族自治县民政局</w:t>
      </w:r>
      <w:r>
        <w:rPr>
          <w:rFonts w:ascii="Times New Roman" w:hAnsi="Times New Roman" w:eastAsia="方正小标宋_GBK"/>
          <w:sz w:val="44"/>
          <w:szCs w:val="44"/>
        </w:rPr>
        <w:t>部门2026年部门预算情况说明</w:t>
      </w:r>
    </w:p>
    <w:p w14:paraId="2516F250">
      <w:pPr>
        <w:spacing w:line="600" w:lineRule="exact"/>
        <w:ind w:firstLine="640" w:firstLineChars="200"/>
        <w:rPr>
          <w:rFonts w:ascii="Times New Roman" w:hAnsi="Times New Roman" w:eastAsia="方正黑体_GBK"/>
          <w:sz w:val="32"/>
          <w:szCs w:val="32"/>
        </w:rPr>
      </w:pPr>
    </w:p>
    <w:p w14:paraId="41C2C7EE">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一、单位基本情况</w:t>
      </w:r>
    </w:p>
    <w:p w14:paraId="11C12421">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（一）职能职责</w:t>
      </w:r>
    </w:p>
    <w:p w14:paraId="0F8779DB">
      <w:pPr>
        <w:spacing w:line="594" w:lineRule="exact"/>
        <w:ind w:firstLine="660"/>
        <w:rPr>
          <w:rFonts w:ascii="Times New Roman" w:hAnsi="Times New Roman" w:eastAsia="方正仿宋_GBK"/>
          <w:color w:val="000000"/>
          <w:sz w:val="33"/>
          <w:szCs w:val="33"/>
        </w:rPr>
      </w:pPr>
      <w:r>
        <w:rPr>
          <w:rFonts w:ascii="Times New Roman" w:hAnsi="方正仿宋_GBK" w:eastAsia="方正仿宋_GBK"/>
          <w:color w:val="000000"/>
          <w:sz w:val="33"/>
          <w:szCs w:val="33"/>
        </w:rPr>
        <w:t>石柱土家族自治县民政局贯彻落实党中央</w:t>
      </w:r>
      <w:r>
        <w:rPr>
          <w:rFonts w:hint="eastAsia" w:ascii="Times New Roman" w:hAnsi="方正仿宋_GBK" w:eastAsia="方正仿宋_GBK"/>
          <w:color w:val="000000"/>
          <w:sz w:val="33"/>
          <w:szCs w:val="33"/>
        </w:rPr>
        <w:t>、国务院</w:t>
      </w:r>
      <w:r>
        <w:rPr>
          <w:rFonts w:ascii="Times New Roman" w:hAnsi="方正仿宋_GBK" w:eastAsia="方正仿宋_GBK"/>
          <w:color w:val="000000"/>
          <w:sz w:val="33"/>
          <w:szCs w:val="33"/>
        </w:rPr>
        <w:t>关于民政工作的方针政策</w:t>
      </w:r>
      <w:r>
        <w:rPr>
          <w:rFonts w:hint="eastAsia" w:ascii="Times New Roman" w:hAnsi="方正仿宋_GBK" w:eastAsia="方正仿宋_GBK"/>
          <w:color w:val="000000"/>
          <w:sz w:val="33"/>
          <w:szCs w:val="33"/>
        </w:rPr>
        <w:t>和市委、市政府的工作要求及县委、县政府的工作安排</w:t>
      </w:r>
      <w:r>
        <w:rPr>
          <w:rFonts w:ascii="Times New Roman" w:hAnsi="方正仿宋_GBK" w:eastAsia="方正仿宋_GBK"/>
          <w:color w:val="000000"/>
          <w:sz w:val="33"/>
          <w:szCs w:val="33"/>
        </w:rPr>
        <w:t>，在履行职责过程中坚持和加强党对民政工作的集中统一领导。主要职责是：</w:t>
      </w:r>
    </w:p>
    <w:p w14:paraId="1912DF5F">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（一）贯彻执行民政工作法律法规、方针政策和地方标准；负责拟订民政工作规范性文件、发展规划，并组织实施。</w:t>
      </w:r>
    </w:p>
    <w:p w14:paraId="6F58E443">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（二）贯彻执行社会团体、基金会、社会服务机构等社会组织登记和监督管理办法，依法对社会组织进行登记管理和执法监督。</w:t>
      </w:r>
    </w:p>
    <w:p w14:paraId="4FAE2438">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（三）贯彻执行社会救助政策、标准，负责社会救助体系建设，负责城乡居民最低生活保障、特困人员救助供养、临时救助、生活无着流浪乞讨人员救助</w:t>
      </w:r>
      <w:r>
        <w:rPr>
          <w:rFonts w:hint="eastAsia" w:ascii="Times New Roman" w:hAnsi="方正仿宋_GBK" w:eastAsia="方正仿宋_GBK"/>
          <w:color w:val="000000"/>
          <w:sz w:val="33"/>
          <w:szCs w:val="33"/>
        </w:rPr>
        <w:t>及社会救助家庭经济状况信息核查、认定等工作。</w:t>
      </w:r>
    </w:p>
    <w:p w14:paraId="20EB40C2">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（四）贯彻执行城乡基层群众自治建设和社区治理政策，指导城乡社区治理体系和治理能力建设，提出加强和改进城乡基层政权建设的建议，推动基层民主政治建设。</w:t>
      </w:r>
    </w:p>
    <w:p w14:paraId="6BB522D2">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（五）贯彻执行行政区划、行政区域界</w:t>
      </w:r>
      <w:r>
        <w:rPr>
          <w:rFonts w:hint="eastAsia" w:ascii="Times New Roman" w:hAnsi="方正仿宋_GBK" w:eastAsia="方正仿宋_GBK"/>
          <w:color w:val="000000"/>
          <w:sz w:val="33"/>
          <w:szCs w:val="33"/>
        </w:rPr>
        <w:t>线</w:t>
      </w:r>
      <w:r>
        <w:rPr>
          <w:rFonts w:ascii="Times New Roman" w:hAnsi="方正仿宋_GBK" w:eastAsia="方正仿宋_GBK"/>
          <w:color w:val="000000"/>
          <w:sz w:val="33"/>
          <w:szCs w:val="33"/>
        </w:rPr>
        <w:t>管理和地名管理政策、标准，负责报县政府审核的行政区划设立、命名、变更和政府驻地迁移初审工作，负责县内行政区域界线勘定和管理工作，负责地名管理工作，负责县内自然地理实体的命名、更名审核工作。</w:t>
      </w:r>
    </w:p>
    <w:p w14:paraId="2C12BAE3">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（六）负责婚姻登记</w:t>
      </w:r>
      <w:r>
        <w:rPr>
          <w:rFonts w:hint="eastAsia" w:ascii="Times New Roman" w:hAnsi="方正仿宋_GBK" w:eastAsia="方正仿宋_GBK"/>
          <w:color w:val="000000"/>
          <w:sz w:val="33"/>
          <w:szCs w:val="33"/>
        </w:rPr>
        <w:t>工作</w:t>
      </w:r>
      <w:r>
        <w:rPr>
          <w:rFonts w:ascii="Times New Roman" w:hAnsi="方正仿宋_GBK" w:eastAsia="方正仿宋_GBK"/>
          <w:color w:val="000000"/>
          <w:sz w:val="33"/>
          <w:szCs w:val="33"/>
        </w:rPr>
        <w:t>，贯彻执行婚姻管理政策，推进婚俗改革。</w:t>
      </w:r>
    </w:p>
    <w:p w14:paraId="0B660684">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（七）负责殡葬管理工作，贯彻执行殡葬管理政策、服务规范，推进殡葬改革。</w:t>
      </w:r>
    </w:p>
    <w:p w14:paraId="125A2BED">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（八）统筹推进、督促指导、监督管理养老服务工作，贯彻落实养老服务体系建设规划、政策、标准；承担老年人福利和特殊困难老年人救助工作；负责对社会福利机构和养老机构服务进行监督、管理。</w:t>
      </w:r>
    </w:p>
    <w:p w14:paraId="406CBE2F">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（九）贯彻落实残疾人权益保护政策、残疾人福利制度。</w:t>
      </w:r>
    </w:p>
    <w:p w14:paraId="715D100B">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（十）贯彻执行儿童福利、孤弃儿童保障、儿童收养、儿童救助保护政策、标准，健全农村留守儿童关爱服务体系</w:t>
      </w:r>
      <w:r>
        <w:rPr>
          <w:rFonts w:hint="eastAsia" w:ascii="Times New Roman" w:hAnsi="方正仿宋_GBK" w:eastAsia="方正仿宋_GBK"/>
          <w:color w:val="000000"/>
          <w:sz w:val="33"/>
          <w:szCs w:val="33"/>
        </w:rPr>
        <w:t>，落实</w:t>
      </w:r>
      <w:r>
        <w:rPr>
          <w:rFonts w:ascii="Times New Roman" w:hAnsi="方正仿宋_GBK" w:eastAsia="方正仿宋_GBK"/>
          <w:color w:val="000000"/>
          <w:sz w:val="33"/>
          <w:szCs w:val="33"/>
        </w:rPr>
        <w:t>困境儿童保障制度。</w:t>
      </w:r>
    </w:p>
    <w:p w14:paraId="71AEE3AC">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（十一）贯彻执行促进慈善事业发展政策，指导社会捐助工作，受市民政局委托承担本县福利彩票管理工作。</w:t>
      </w:r>
    </w:p>
    <w:p w14:paraId="08FEAFF5">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（十二）贯彻执行社会工作、志愿服务政策和标准，会同有关部门推进社工人才队伍建设和志愿者队伍建设，促进民办社会工作服务机构发展。负责政府购买社会工作服务的统筹规划、组织实施和绩效评估工作。</w:t>
      </w:r>
    </w:p>
    <w:p w14:paraId="04218F55">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（十三）负责民政领域行政执法，具体执法工作交由相关执法队伍承担，并以部门名义统一执法。</w:t>
      </w:r>
      <w:r>
        <w:rPr>
          <w:rFonts w:hint="eastAsia" w:ascii="Times New Roman" w:hAnsi="方正仿宋_GBK" w:eastAsia="方正仿宋_GBK"/>
          <w:color w:val="000000"/>
          <w:sz w:val="33"/>
          <w:szCs w:val="33"/>
        </w:rPr>
        <w:t xml:space="preserve"> </w:t>
      </w:r>
    </w:p>
    <w:p w14:paraId="24FAFBED">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（十四）</w:t>
      </w:r>
      <w:r>
        <w:rPr>
          <w:rFonts w:hint="eastAsia" w:ascii="Times New Roman" w:hAnsi="方正仿宋_GBK" w:eastAsia="方正仿宋_GBK"/>
          <w:color w:val="000000"/>
          <w:sz w:val="33"/>
          <w:szCs w:val="33"/>
        </w:rPr>
        <w:t>负责机关、直属单位和所主管的社会组织党建工作。</w:t>
      </w:r>
    </w:p>
    <w:p w14:paraId="6A44B5CD">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（十五）完成县委、县政府交办的其他任务。</w:t>
      </w:r>
    </w:p>
    <w:p w14:paraId="6732BCE1">
      <w:pPr>
        <w:snapToGrid w:val="0"/>
        <w:spacing w:line="594" w:lineRule="exact"/>
        <w:ind w:firstLine="660" w:firstLineChars="200"/>
        <w:rPr>
          <w:rFonts w:ascii="Times New Roman" w:hAnsi="Times New Roman" w:eastAsia="方正仿宋_GBK"/>
          <w:color w:val="000000"/>
          <w:sz w:val="33"/>
          <w:szCs w:val="33"/>
        </w:rPr>
      </w:pPr>
      <w:r>
        <w:rPr>
          <w:rFonts w:ascii="Times New Roman" w:hAnsi="方正仿宋_GBK" w:eastAsia="方正仿宋_GBK"/>
          <w:color w:val="000000"/>
          <w:sz w:val="33"/>
          <w:szCs w:val="33"/>
        </w:rPr>
        <w:t>（十六）职能转变。石柱土家族自治县民政局应强化基本民生保障职能，为困难群众、孤老孤残孤儿等特殊群体提供基本社会服务，促进资源向薄弱乡镇、领域、环节倾斜。积极培育社会组织、社会工作者等多元参与主体，</w:t>
      </w:r>
      <w:r>
        <w:rPr>
          <w:rFonts w:hint="eastAsia" w:ascii="Times New Roman" w:hAnsi="方正仿宋_GBK" w:eastAsia="方正仿宋_GBK"/>
          <w:color w:val="000000"/>
          <w:sz w:val="33"/>
          <w:szCs w:val="33"/>
        </w:rPr>
        <w:t>推</w:t>
      </w:r>
      <w:r>
        <w:rPr>
          <w:rFonts w:ascii="Times New Roman" w:hAnsi="方正仿宋_GBK" w:eastAsia="方正仿宋_GBK"/>
          <w:color w:val="000000"/>
          <w:sz w:val="33"/>
          <w:szCs w:val="33"/>
        </w:rPr>
        <w:t>动搭建基层社会治理和社区公共服务平台。</w:t>
      </w:r>
    </w:p>
    <w:p w14:paraId="05E42F55">
      <w:pPr>
        <w:snapToGrid w:val="0"/>
        <w:spacing w:line="594" w:lineRule="exact"/>
        <w:ind w:firstLine="660" w:firstLineChars="200"/>
        <w:rPr>
          <w:rFonts w:ascii="Times New Roman" w:hAnsi="方正仿宋_GBK" w:eastAsia="方正仿宋_GBK"/>
          <w:color w:val="000000"/>
          <w:sz w:val="33"/>
          <w:szCs w:val="33"/>
        </w:rPr>
      </w:pPr>
      <w:r>
        <w:rPr>
          <w:rFonts w:ascii="Times New Roman" w:hAnsi="方正仿宋_GBK" w:eastAsia="方正仿宋_GBK"/>
          <w:color w:val="000000"/>
          <w:sz w:val="33"/>
          <w:szCs w:val="33"/>
        </w:rPr>
        <w:t>（十七）有关职责分工。</w:t>
      </w:r>
    </w:p>
    <w:p w14:paraId="492C0A2B">
      <w:pPr>
        <w:snapToGrid w:val="0"/>
        <w:spacing w:line="594" w:lineRule="exact"/>
        <w:ind w:firstLine="660" w:firstLineChars="200"/>
        <w:rPr>
          <w:rFonts w:ascii="Times New Roman" w:hAnsi="方正仿宋_GBK" w:eastAsia="方正仿宋_GBK"/>
          <w:color w:val="000000"/>
          <w:sz w:val="33"/>
          <w:szCs w:val="33"/>
        </w:rPr>
      </w:pPr>
      <w:r>
        <w:rPr>
          <w:rFonts w:hint="eastAsia" w:ascii="Times New Roman" w:hAnsi="方正仿宋_GBK" w:eastAsia="方正仿宋_GBK"/>
          <w:color w:val="000000"/>
          <w:sz w:val="33"/>
          <w:szCs w:val="33"/>
        </w:rPr>
        <w:t xml:space="preserve">1. </w:t>
      </w:r>
      <w:r>
        <w:rPr>
          <w:rFonts w:ascii="Times New Roman" w:hAnsi="方正仿宋_GBK" w:eastAsia="方正仿宋_GBK"/>
          <w:color w:val="000000"/>
          <w:sz w:val="33"/>
          <w:szCs w:val="33"/>
        </w:rPr>
        <w:t>与石柱土家族自治县卫生健康委员会的有关职责分工。石柱土家族自治县民政局负责统筹推进、督促指导、监督管理养老服务工作，拟订全县养老服务体系建设规划并组织实施，贯彻执行养老服务体系建</w:t>
      </w:r>
      <w:r>
        <w:rPr>
          <w:rFonts w:hint="eastAsia" w:ascii="Times New Roman" w:hAnsi="方正仿宋_GBK" w:eastAsia="方正仿宋_GBK"/>
          <w:color w:val="000000"/>
          <w:sz w:val="33"/>
          <w:szCs w:val="33"/>
        </w:rPr>
        <w:t>设的</w:t>
      </w:r>
      <w:r>
        <w:rPr>
          <w:rFonts w:ascii="Times New Roman" w:hAnsi="方正仿宋_GBK" w:eastAsia="方正仿宋_GBK"/>
          <w:color w:val="000000"/>
          <w:sz w:val="33"/>
          <w:szCs w:val="33"/>
        </w:rPr>
        <w:t>法规、政策和标准，承担老年人福利和特殊困难老年人救助工作。石柱土家族自治县卫生健康委员会组织实施应对人口老龄化、医养结合政策措施，综合协调、督促指导、组织推进老龄事业发展，承担老年疾病防治、老年人医疗照护、老年人心理健康和关怀服务等老年健康工作。</w:t>
      </w:r>
    </w:p>
    <w:p w14:paraId="2159A4A1">
      <w:pPr>
        <w:spacing w:line="600" w:lineRule="exact"/>
        <w:ind w:firstLine="660" w:firstLineChars="200"/>
        <w:rPr>
          <w:rFonts w:ascii="Times New Roman" w:hAnsi="方正仿宋_GBK" w:eastAsia="方正仿宋_GBK"/>
          <w:color w:val="000000"/>
          <w:sz w:val="33"/>
          <w:szCs w:val="33"/>
        </w:rPr>
      </w:pPr>
      <w:r>
        <w:rPr>
          <w:rFonts w:hint="eastAsia" w:ascii="Times New Roman" w:hAnsi="方正仿宋_GBK" w:eastAsia="方正仿宋_GBK"/>
          <w:color w:val="000000"/>
          <w:sz w:val="33"/>
          <w:szCs w:val="33"/>
        </w:rPr>
        <w:t>2. 与石柱县规划和自然资源局的有关职责分工。石柱县民政局会同石柱县规划和自然资源局组织编制公布行政区划信息的石柱县行政区划图。</w:t>
      </w:r>
    </w:p>
    <w:p w14:paraId="1D5839B0">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（二）单位构成</w:t>
      </w:r>
    </w:p>
    <w:p w14:paraId="6AB439E6">
      <w:pPr>
        <w:snapToGrid w:val="0"/>
        <w:spacing w:line="594" w:lineRule="exact"/>
        <w:ind w:firstLine="660" w:firstLineChars="200"/>
        <w:rPr>
          <w:rFonts w:ascii="Times New Roman" w:hAnsi="方正仿宋_GBK" w:eastAsia="方正仿宋_GBK"/>
          <w:color w:val="000000"/>
          <w:sz w:val="33"/>
          <w:szCs w:val="33"/>
        </w:rPr>
      </w:pPr>
      <w:r>
        <w:rPr>
          <w:rFonts w:hint="eastAsia" w:ascii="Times New Roman" w:hAnsi="方正仿宋_GBK" w:eastAsia="方正仿宋_GBK"/>
          <w:color w:val="000000"/>
          <w:sz w:val="33"/>
          <w:szCs w:val="33"/>
        </w:rPr>
        <w:t>民政局内设办公室、</w:t>
      </w:r>
      <w:r>
        <w:rPr>
          <w:rFonts w:ascii="Times New Roman" w:hAnsi="方正仿宋_GBK" w:eastAsia="方正仿宋_GBK"/>
          <w:color w:val="000000"/>
          <w:sz w:val="33"/>
          <w:szCs w:val="33"/>
        </w:rPr>
        <w:t>社会救助科</w:t>
      </w:r>
      <w:r>
        <w:rPr>
          <w:rFonts w:hint="eastAsia" w:ascii="Times New Roman" w:hAnsi="方正仿宋_GBK" w:eastAsia="方正仿宋_GBK"/>
          <w:color w:val="000000"/>
          <w:sz w:val="33"/>
          <w:szCs w:val="33"/>
        </w:rPr>
        <w:t>、</w:t>
      </w:r>
      <w:r>
        <w:rPr>
          <w:rFonts w:ascii="Times New Roman" w:hAnsi="方正仿宋_GBK" w:eastAsia="方正仿宋_GBK"/>
          <w:color w:val="000000"/>
          <w:sz w:val="33"/>
          <w:szCs w:val="33"/>
        </w:rPr>
        <w:t>养老福利科</w:t>
      </w:r>
      <w:r>
        <w:rPr>
          <w:rFonts w:hint="eastAsia" w:ascii="Times New Roman" w:hAnsi="方正仿宋_GBK" w:eastAsia="方正仿宋_GBK"/>
          <w:color w:val="000000"/>
          <w:sz w:val="33"/>
          <w:szCs w:val="33"/>
        </w:rPr>
        <w:t>、</w:t>
      </w:r>
      <w:r>
        <w:rPr>
          <w:rFonts w:ascii="Times New Roman" w:hAnsi="方正仿宋_GBK" w:eastAsia="方正仿宋_GBK"/>
          <w:color w:val="000000"/>
          <w:sz w:val="33"/>
          <w:szCs w:val="33"/>
        </w:rPr>
        <w:t>基层政权区划地名和社会工作科</w:t>
      </w:r>
      <w:r>
        <w:rPr>
          <w:rFonts w:hint="eastAsia" w:ascii="Times New Roman" w:hAnsi="方正仿宋_GBK" w:eastAsia="方正仿宋_GBK"/>
          <w:color w:val="000000"/>
          <w:sz w:val="33"/>
          <w:szCs w:val="33"/>
        </w:rPr>
        <w:t>、</w:t>
      </w:r>
      <w:r>
        <w:rPr>
          <w:rFonts w:ascii="Times New Roman" w:hAnsi="方正仿宋_GBK" w:eastAsia="方正仿宋_GBK"/>
          <w:color w:val="000000"/>
          <w:sz w:val="33"/>
          <w:szCs w:val="33"/>
        </w:rPr>
        <w:t>社会事务科（行政许可服务科）</w:t>
      </w:r>
      <w:r>
        <w:rPr>
          <w:rFonts w:hint="eastAsia" w:ascii="Times New Roman" w:hAnsi="方正仿宋_GBK" w:eastAsia="方正仿宋_GBK"/>
          <w:color w:val="000000"/>
          <w:sz w:val="33"/>
          <w:szCs w:val="33"/>
        </w:rPr>
        <w:t>5个科室，下属石柱土家族自治县最低生活保障中心（石柱土家族自治县救助站、石柱土家族自治县未成年人救助保护中心）、</w:t>
      </w:r>
      <w:r>
        <w:rPr>
          <w:rFonts w:ascii="Times New Roman" w:hAnsi="方正仿宋_GBK" w:eastAsia="方正仿宋_GBK"/>
          <w:color w:val="000000"/>
          <w:sz w:val="33"/>
          <w:szCs w:val="33"/>
        </w:rPr>
        <w:t>石柱土家族自治县</w:t>
      </w:r>
      <w:r>
        <w:rPr>
          <w:rFonts w:hint="eastAsia" w:ascii="Times New Roman" w:hAnsi="方正仿宋_GBK" w:eastAsia="方正仿宋_GBK"/>
          <w:color w:val="000000"/>
          <w:sz w:val="33"/>
          <w:szCs w:val="33"/>
        </w:rPr>
        <w:t>民政</w:t>
      </w:r>
      <w:r>
        <w:rPr>
          <w:rFonts w:ascii="Times New Roman" w:hAnsi="方正仿宋_GBK" w:eastAsia="方正仿宋_GBK"/>
          <w:color w:val="000000"/>
          <w:sz w:val="33"/>
          <w:szCs w:val="33"/>
        </w:rPr>
        <w:t>社会服务中心</w:t>
      </w:r>
      <w:r>
        <w:rPr>
          <w:rFonts w:hint="eastAsia" w:ascii="Times New Roman" w:hAnsi="方正仿宋_GBK" w:eastAsia="方正仿宋_GBK"/>
          <w:color w:val="000000"/>
          <w:sz w:val="33"/>
          <w:szCs w:val="33"/>
        </w:rPr>
        <w:t>（由石柱土家族自治县社会福利服务中心和石柱土家族自治县民政局婚姻登记处合并而成，挂石柱县婚姻登记处牌子）、石柱土家族自治县殡葬事务中心3个事业单位。</w:t>
      </w:r>
    </w:p>
    <w:p w14:paraId="6F25571E">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二、部门收支总体情况</w:t>
      </w:r>
    </w:p>
    <w:p w14:paraId="24B72BF1">
      <w:pPr>
        <w:spacing w:line="600" w:lineRule="exact"/>
        <w:ind w:firstLine="640" w:firstLineChars="200"/>
        <w:rPr>
          <w:rFonts w:ascii="Times New Roman" w:hAnsi="Times New Roman" w:eastAsia="方正仿宋_GBK"/>
          <w:sz w:val="32"/>
          <w:szCs w:val="32"/>
          <w:highlight w:val="yellow"/>
        </w:rPr>
      </w:pPr>
      <w:r>
        <w:rPr>
          <w:rFonts w:ascii="Times New Roman" w:hAnsi="Times New Roman" w:eastAsia="方正楷体_GBK"/>
          <w:sz w:val="32"/>
          <w:szCs w:val="32"/>
        </w:rPr>
        <w:t>（一）收入预算：</w:t>
      </w:r>
      <w:r>
        <w:rPr>
          <w:rFonts w:hint="eastAsia" w:ascii="Times New Roman" w:hAnsi="Times New Roman" w:eastAsia="方正仿宋_GBK"/>
          <w:sz w:val="32"/>
          <w:szCs w:val="32"/>
        </w:rPr>
        <w:t>2026年</w:t>
      </w:r>
      <w:r>
        <w:rPr>
          <w:rFonts w:ascii="Times New Roman" w:hAnsi="Times New Roman" w:eastAsia="方正仿宋_GBK"/>
          <w:sz w:val="32"/>
          <w:szCs w:val="32"/>
        </w:rPr>
        <w:t>年初预算数23903.47万元，其中：一般公共预算拨款21966.78万元，政府性基金预算拨款</w:t>
      </w:r>
      <w:r>
        <w:rPr>
          <w:rFonts w:hint="eastAsia" w:ascii="Times New Roman" w:hAnsi="Times New Roman" w:eastAsia="方正仿宋_GBK"/>
          <w:sz w:val="32"/>
          <w:szCs w:val="32"/>
        </w:rPr>
        <w:t>1936.69</w:t>
      </w:r>
      <w:r>
        <w:rPr>
          <w:rFonts w:ascii="Times New Roman" w:hAnsi="Times New Roman" w:eastAsia="方正仿宋_GBK"/>
          <w:sz w:val="32"/>
          <w:szCs w:val="32"/>
        </w:rPr>
        <w:t>万元；收入</w:t>
      </w:r>
      <w:r>
        <w:rPr>
          <w:rFonts w:hint="eastAsia" w:ascii="Times New Roman" w:hAnsi="Times New Roman" w:eastAsia="方正仿宋_GBK"/>
          <w:sz w:val="32"/>
          <w:szCs w:val="32"/>
        </w:rPr>
        <w:t>比2025年</w:t>
      </w:r>
      <w:r>
        <w:rPr>
          <w:rFonts w:ascii="Times New Roman" w:hAnsi="Times New Roman" w:eastAsia="方正仿宋_GBK"/>
          <w:sz w:val="32"/>
          <w:szCs w:val="32"/>
        </w:rPr>
        <w:t>增加</w:t>
      </w:r>
      <w:r>
        <w:rPr>
          <w:rFonts w:hint="eastAsia" w:ascii="Times New Roman" w:hAnsi="Times New Roman" w:eastAsia="方正仿宋_GBK"/>
          <w:sz w:val="32"/>
          <w:szCs w:val="32"/>
        </w:rPr>
        <w:t>669.8</w:t>
      </w:r>
      <w:r>
        <w:rPr>
          <w:rFonts w:ascii="Times New Roman" w:hAnsi="Times New Roman" w:eastAsia="方正仿宋_GBK"/>
          <w:sz w:val="32"/>
          <w:szCs w:val="32"/>
        </w:rPr>
        <w:t>万元，主要是一般公共预算拨款增加</w:t>
      </w:r>
      <w:r>
        <w:rPr>
          <w:rFonts w:hint="eastAsia" w:ascii="Times New Roman" w:hAnsi="Times New Roman" w:eastAsia="方正仿宋_GBK"/>
          <w:sz w:val="32"/>
          <w:szCs w:val="32"/>
        </w:rPr>
        <w:t>342.74</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政府性基金预算拨款增加</w:t>
      </w:r>
      <w:r>
        <w:rPr>
          <w:rFonts w:hint="eastAsia" w:ascii="Times New Roman" w:hAnsi="Times New Roman" w:eastAsia="方正仿宋_GBK"/>
          <w:sz w:val="32"/>
          <w:szCs w:val="32"/>
        </w:rPr>
        <w:t>327.06</w:t>
      </w:r>
      <w:r>
        <w:rPr>
          <w:rFonts w:ascii="Times New Roman" w:hAnsi="Times New Roman" w:eastAsia="方正仿宋_GBK"/>
          <w:sz w:val="32"/>
          <w:szCs w:val="32"/>
        </w:rPr>
        <w:t>万元。</w:t>
      </w:r>
    </w:p>
    <w:p w14:paraId="1045FA39">
      <w:pPr>
        <w:spacing w:line="60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（二）支出预算：</w:t>
      </w:r>
      <w:r>
        <w:rPr>
          <w:rFonts w:hint="eastAsia" w:ascii="Times New Roman" w:hAnsi="Times New Roman" w:eastAsia="方正仿宋_GBK"/>
          <w:sz w:val="32"/>
          <w:szCs w:val="32"/>
        </w:rPr>
        <w:t>2026年</w:t>
      </w:r>
      <w:r>
        <w:rPr>
          <w:rFonts w:ascii="Times New Roman" w:hAnsi="Times New Roman" w:eastAsia="方正仿宋_GBK"/>
          <w:sz w:val="32"/>
          <w:szCs w:val="32"/>
        </w:rPr>
        <w:t>年初预算数23233.67万元，其中：社会保障和就业支出</w:t>
      </w:r>
      <w:r>
        <w:rPr>
          <w:rFonts w:hint="eastAsia" w:ascii="Times New Roman" w:hAnsi="Times New Roman" w:eastAsia="方正仿宋_GBK"/>
          <w:sz w:val="32"/>
          <w:szCs w:val="32"/>
        </w:rPr>
        <w:t>21880.11</w:t>
      </w:r>
      <w:r>
        <w:rPr>
          <w:rFonts w:ascii="Times New Roman" w:hAnsi="Times New Roman" w:eastAsia="方正仿宋_GBK"/>
          <w:sz w:val="32"/>
          <w:szCs w:val="32"/>
        </w:rPr>
        <w:t>万元，卫生健康支出</w:t>
      </w:r>
      <w:r>
        <w:rPr>
          <w:rFonts w:hint="eastAsia" w:ascii="Times New Roman" w:hAnsi="Times New Roman" w:eastAsia="方正仿宋_GBK"/>
          <w:sz w:val="32"/>
          <w:szCs w:val="32"/>
        </w:rPr>
        <w:t>53.51</w:t>
      </w:r>
      <w:r>
        <w:rPr>
          <w:rFonts w:ascii="Times New Roman" w:hAnsi="Times New Roman" w:eastAsia="方正仿宋_GBK"/>
          <w:sz w:val="32"/>
          <w:szCs w:val="32"/>
        </w:rPr>
        <w:t>万元，住房保障支出</w:t>
      </w:r>
      <w:r>
        <w:rPr>
          <w:rFonts w:hint="eastAsia" w:ascii="Times New Roman" w:hAnsi="Times New Roman" w:eastAsia="方正仿宋_GBK"/>
          <w:sz w:val="32"/>
          <w:szCs w:val="32"/>
        </w:rPr>
        <w:t>53.16</w:t>
      </w:r>
      <w:r>
        <w:rPr>
          <w:rFonts w:ascii="Times New Roman" w:hAnsi="Times New Roman" w:eastAsia="方正仿宋_GBK"/>
          <w:sz w:val="32"/>
          <w:szCs w:val="32"/>
        </w:rPr>
        <w:t>万元</w:t>
      </w:r>
      <w:r>
        <w:rPr>
          <w:rFonts w:hint="eastAsia" w:ascii="Times New Roman" w:hAnsi="Times New Roman" w:eastAsia="方正仿宋_GBK"/>
          <w:sz w:val="32"/>
          <w:szCs w:val="32"/>
        </w:rPr>
        <w:t>，其他支出1916.69万元</w:t>
      </w:r>
      <w:r>
        <w:rPr>
          <w:rFonts w:ascii="Times New Roman" w:hAnsi="Times New Roman" w:eastAsia="方正仿宋_GBK"/>
          <w:sz w:val="32"/>
          <w:szCs w:val="32"/>
        </w:rPr>
        <w:t>；支出</w:t>
      </w:r>
      <w:r>
        <w:rPr>
          <w:rFonts w:hint="eastAsia" w:ascii="Times New Roman" w:hAnsi="Times New Roman" w:eastAsia="方正仿宋_GBK"/>
          <w:sz w:val="32"/>
          <w:szCs w:val="32"/>
        </w:rPr>
        <w:t>比2025年</w:t>
      </w:r>
      <w:r>
        <w:rPr>
          <w:rFonts w:ascii="Times New Roman" w:hAnsi="Times New Roman" w:eastAsia="方正仿宋_GBK"/>
          <w:sz w:val="32"/>
          <w:szCs w:val="32"/>
        </w:rPr>
        <w:t>增加</w:t>
      </w:r>
      <w:r>
        <w:rPr>
          <w:rFonts w:hint="eastAsia" w:ascii="Times New Roman" w:hAnsi="Times New Roman" w:eastAsia="方正仿宋_GBK"/>
          <w:sz w:val="32"/>
          <w:szCs w:val="32"/>
        </w:rPr>
        <w:t>669.8</w:t>
      </w:r>
      <w:r>
        <w:rPr>
          <w:rFonts w:ascii="Times New Roman" w:hAnsi="Times New Roman" w:eastAsia="方正仿宋_GBK"/>
          <w:sz w:val="32"/>
          <w:szCs w:val="32"/>
        </w:rPr>
        <w:t>万元，主要是基本支出增加</w:t>
      </w:r>
      <w:r>
        <w:rPr>
          <w:rFonts w:hint="eastAsia" w:ascii="Times New Roman" w:hAnsi="Times New Roman" w:eastAsia="方正仿宋_GBK"/>
          <w:sz w:val="32"/>
          <w:szCs w:val="32"/>
        </w:rPr>
        <w:t>31.3</w:t>
      </w:r>
      <w:r>
        <w:rPr>
          <w:rFonts w:ascii="Times New Roman" w:hAnsi="Times New Roman" w:eastAsia="方正仿宋_GBK"/>
          <w:sz w:val="32"/>
          <w:szCs w:val="32"/>
        </w:rPr>
        <w:t>万元，项目支出增加</w:t>
      </w:r>
      <w:r>
        <w:rPr>
          <w:rFonts w:hint="eastAsia" w:ascii="Times New Roman" w:hAnsi="Times New Roman" w:eastAsia="方正仿宋_GBK"/>
          <w:sz w:val="32"/>
          <w:szCs w:val="32"/>
        </w:rPr>
        <w:t>638.5</w:t>
      </w:r>
      <w:r>
        <w:rPr>
          <w:rFonts w:ascii="Times New Roman" w:hAnsi="Times New Roman" w:eastAsia="方正仿宋_GBK"/>
          <w:sz w:val="32"/>
          <w:szCs w:val="32"/>
        </w:rPr>
        <w:t>万元。</w:t>
      </w:r>
    </w:p>
    <w:p w14:paraId="4EA3B1AE">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三、部门预算情况说明</w:t>
      </w:r>
    </w:p>
    <w:p w14:paraId="6F799CD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2026年</w:t>
      </w:r>
      <w:r>
        <w:rPr>
          <w:rFonts w:ascii="Times New Roman" w:hAnsi="Times New Roman" w:eastAsia="方正仿宋_GBK"/>
          <w:sz w:val="32"/>
          <w:szCs w:val="32"/>
        </w:rPr>
        <w:t>一般公共预算财政拨款收入23233.67万元，一般公共预算财政拨款支出21966.78万元，比</w:t>
      </w:r>
      <w:r>
        <w:rPr>
          <w:rFonts w:hint="eastAsia" w:ascii="Times New Roman" w:hAnsi="Times New Roman" w:eastAsia="方正仿宋_GBK"/>
          <w:sz w:val="32"/>
          <w:szCs w:val="32"/>
        </w:rPr>
        <w:t>2025年</w:t>
      </w:r>
      <w:r>
        <w:rPr>
          <w:rFonts w:ascii="Times New Roman" w:hAnsi="Times New Roman" w:eastAsia="方正仿宋_GBK"/>
          <w:sz w:val="32"/>
          <w:szCs w:val="32"/>
        </w:rPr>
        <w:t>增加</w:t>
      </w:r>
      <w:r>
        <w:rPr>
          <w:rFonts w:hint="eastAsia" w:ascii="Times New Roman" w:hAnsi="Times New Roman" w:eastAsia="方正仿宋_GBK"/>
          <w:sz w:val="32"/>
          <w:szCs w:val="32"/>
        </w:rPr>
        <w:t>376.73</w:t>
      </w:r>
      <w:r>
        <w:rPr>
          <w:rFonts w:ascii="Times New Roman" w:hAnsi="Times New Roman" w:eastAsia="方正仿宋_GBK"/>
          <w:sz w:val="32"/>
          <w:szCs w:val="32"/>
        </w:rPr>
        <w:t>万元。其中：基本支出</w:t>
      </w:r>
      <w:r>
        <w:rPr>
          <w:rFonts w:hint="eastAsia" w:ascii="Times New Roman" w:hAnsi="Times New Roman" w:eastAsia="方正仿宋_GBK"/>
          <w:sz w:val="32"/>
          <w:szCs w:val="32"/>
        </w:rPr>
        <w:t>862.08</w:t>
      </w:r>
      <w:r>
        <w:rPr>
          <w:rFonts w:ascii="Times New Roman" w:hAnsi="Times New Roman" w:eastAsia="方正仿宋_GBK"/>
          <w:sz w:val="32"/>
          <w:szCs w:val="32"/>
        </w:rPr>
        <w:t>万元，主要用于保障</w:t>
      </w:r>
      <w:r>
        <w:rPr>
          <w:rFonts w:hint="eastAsia" w:ascii="Times New Roman" w:hAnsi="Times New Roman" w:eastAsia="方正仿宋_GBK"/>
          <w:sz w:val="32"/>
          <w:szCs w:val="32"/>
        </w:rPr>
        <w:t>民政局机关及下属事业单位</w:t>
      </w:r>
      <w:r>
        <w:rPr>
          <w:rFonts w:ascii="Times New Roman" w:hAnsi="Times New Roman" w:eastAsia="方正仿宋_GBK"/>
          <w:sz w:val="32"/>
          <w:szCs w:val="32"/>
        </w:rPr>
        <w:t>在职人员工资福利及社会保险缴费、离休人员离休费、退休人员补助等，保障部门正常运转的各项商品服务支出，比</w:t>
      </w:r>
      <w:r>
        <w:rPr>
          <w:rFonts w:hint="eastAsia" w:ascii="Times New Roman" w:hAnsi="Times New Roman" w:eastAsia="方正仿宋_GBK"/>
          <w:sz w:val="32"/>
          <w:szCs w:val="32"/>
        </w:rPr>
        <w:t>2025年</w:t>
      </w:r>
      <w:r>
        <w:rPr>
          <w:rFonts w:ascii="Times New Roman" w:hAnsi="Times New Roman" w:eastAsia="方正仿宋_GBK"/>
          <w:sz w:val="32"/>
          <w:szCs w:val="32"/>
        </w:rPr>
        <w:t>增加</w:t>
      </w:r>
      <w:r>
        <w:rPr>
          <w:rFonts w:hint="eastAsia" w:ascii="Times New Roman" w:hAnsi="Times New Roman" w:eastAsia="方正仿宋_GBK"/>
          <w:sz w:val="32"/>
          <w:szCs w:val="32"/>
        </w:rPr>
        <w:t>31.3</w:t>
      </w:r>
      <w:r>
        <w:rPr>
          <w:rFonts w:ascii="Times New Roman" w:hAnsi="Times New Roman" w:eastAsia="方正仿宋_GBK"/>
          <w:sz w:val="32"/>
          <w:szCs w:val="32"/>
        </w:rPr>
        <w:t>万元，主要原因是</w:t>
      </w:r>
      <w:r>
        <w:rPr>
          <w:rFonts w:hint="eastAsia" w:ascii="Times New Roman" w:hAnsi="Times New Roman" w:eastAsia="方正仿宋_GBK"/>
          <w:sz w:val="32"/>
          <w:szCs w:val="32"/>
        </w:rPr>
        <w:t>预计2026年每月实有人数比2025年多，工资及公用经费比2025年略增</w:t>
      </w:r>
      <w:r>
        <w:rPr>
          <w:rFonts w:ascii="Times New Roman" w:hAnsi="Times New Roman" w:eastAsia="方正仿宋_GBK"/>
          <w:sz w:val="32"/>
          <w:szCs w:val="32"/>
        </w:rPr>
        <w:t>；项目支出</w:t>
      </w:r>
      <w:r>
        <w:rPr>
          <w:rFonts w:hint="eastAsia" w:ascii="Times New Roman" w:hAnsi="Times New Roman" w:eastAsia="方正仿宋_GBK"/>
          <w:sz w:val="32"/>
          <w:szCs w:val="32"/>
        </w:rPr>
        <w:t>21104.7</w:t>
      </w:r>
      <w:r>
        <w:rPr>
          <w:rFonts w:ascii="Times New Roman" w:hAnsi="Times New Roman" w:eastAsia="方正仿宋_GBK"/>
          <w:sz w:val="32"/>
          <w:szCs w:val="32"/>
        </w:rPr>
        <w:t>万元，主要用于低保</w:t>
      </w:r>
      <w:r>
        <w:rPr>
          <w:rFonts w:hint="eastAsia" w:ascii="Times New Roman" w:hAnsi="Times New Roman" w:eastAsia="方正仿宋_GBK"/>
          <w:sz w:val="32"/>
          <w:szCs w:val="32"/>
        </w:rPr>
        <w:t>、</w:t>
      </w:r>
      <w:r>
        <w:rPr>
          <w:rFonts w:ascii="Times New Roman" w:hAnsi="Times New Roman" w:eastAsia="方正仿宋_GBK"/>
          <w:sz w:val="32"/>
          <w:szCs w:val="32"/>
        </w:rPr>
        <w:t>特困及孤儿等重点民政对象的生活救助，比</w:t>
      </w:r>
      <w:r>
        <w:rPr>
          <w:rFonts w:hint="eastAsia" w:ascii="Times New Roman" w:hAnsi="Times New Roman" w:eastAsia="方正仿宋_GBK"/>
          <w:sz w:val="32"/>
          <w:szCs w:val="32"/>
        </w:rPr>
        <w:t>2025年</w:t>
      </w:r>
      <w:r>
        <w:rPr>
          <w:rFonts w:ascii="Times New Roman" w:hAnsi="Times New Roman" w:eastAsia="方正仿宋_GBK"/>
          <w:sz w:val="32"/>
          <w:szCs w:val="32"/>
        </w:rPr>
        <w:t>增加</w:t>
      </w:r>
      <w:r>
        <w:rPr>
          <w:rFonts w:hint="eastAsia" w:ascii="Times New Roman" w:hAnsi="Times New Roman" w:eastAsia="方正仿宋_GBK"/>
          <w:sz w:val="32"/>
          <w:szCs w:val="32"/>
        </w:rPr>
        <w:t>345.42</w:t>
      </w:r>
      <w:r>
        <w:rPr>
          <w:rFonts w:ascii="Times New Roman" w:hAnsi="Times New Roman" w:eastAsia="方正仿宋_GBK"/>
          <w:sz w:val="32"/>
          <w:szCs w:val="32"/>
        </w:rPr>
        <w:t>万元，</w:t>
      </w:r>
      <w:r>
        <w:rPr>
          <w:rFonts w:hint="eastAsia" w:ascii="Times New Roman" w:hAnsi="Times New Roman" w:eastAsia="方正仿宋_GBK"/>
          <w:sz w:val="32"/>
          <w:szCs w:val="32"/>
        </w:rPr>
        <w:t>主要原因是根据市民政局文件规定，低保、特困等民政对象的救助标准提高，救助预算资金增加</w:t>
      </w:r>
      <w:r>
        <w:rPr>
          <w:rFonts w:ascii="Times New Roman" w:hAnsi="Times New Roman" w:eastAsia="方正仿宋_GBK"/>
          <w:sz w:val="32"/>
          <w:szCs w:val="32"/>
        </w:rPr>
        <w:t>。</w:t>
      </w:r>
    </w:p>
    <w:p w14:paraId="0BDA9BEC">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2026年</w:t>
      </w:r>
      <w:r>
        <w:rPr>
          <w:rFonts w:ascii="Times New Roman" w:hAnsi="Times New Roman" w:eastAsia="方正仿宋_GBK"/>
          <w:sz w:val="32"/>
          <w:szCs w:val="32"/>
        </w:rPr>
        <w:t>政府性基金预算财政拨款收入</w:t>
      </w:r>
      <w:r>
        <w:rPr>
          <w:rFonts w:hint="eastAsia" w:ascii="Times New Roman" w:hAnsi="Times New Roman" w:eastAsia="方正仿宋_GBK"/>
          <w:sz w:val="32"/>
          <w:szCs w:val="32"/>
        </w:rPr>
        <w:t>1936.69</w:t>
      </w:r>
      <w:r>
        <w:rPr>
          <w:rFonts w:ascii="Times New Roman" w:hAnsi="Times New Roman" w:eastAsia="方正仿宋_GBK"/>
          <w:sz w:val="32"/>
          <w:szCs w:val="32"/>
        </w:rPr>
        <w:t>万元，政府性基金预算支出</w:t>
      </w:r>
      <w:r>
        <w:rPr>
          <w:rFonts w:hint="eastAsia" w:ascii="Times New Roman" w:hAnsi="Times New Roman" w:eastAsia="方正仿宋_GBK"/>
          <w:sz w:val="32"/>
          <w:szCs w:val="32"/>
        </w:rPr>
        <w:t>1936.69</w:t>
      </w:r>
      <w:r>
        <w:rPr>
          <w:rFonts w:ascii="Times New Roman" w:hAnsi="Times New Roman" w:eastAsia="方正仿宋_GBK"/>
          <w:sz w:val="32"/>
          <w:szCs w:val="32"/>
        </w:rPr>
        <w:t>万元，主要用于</w:t>
      </w:r>
      <w:r>
        <w:rPr>
          <w:rFonts w:hint="eastAsia" w:ascii="Times New Roman" w:hAnsi="Times New Roman" w:eastAsia="方正仿宋_GBK"/>
          <w:sz w:val="32"/>
        </w:rPr>
        <w:t>养老服务中心建设以及利民惠民的社会工作项目等，</w:t>
      </w:r>
      <w:r>
        <w:rPr>
          <w:rFonts w:ascii="Times New Roman" w:hAnsi="Times New Roman" w:eastAsia="方正仿宋_GBK"/>
          <w:sz w:val="32"/>
          <w:szCs w:val="32"/>
        </w:rPr>
        <w:t>比</w:t>
      </w:r>
      <w:r>
        <w:rPr>
          <w:rFonts w:hint="eastAsia" w:ascii="Times New Roman" w:hAnsi="Times New Roman" w:eastAsia="方正仿宋_GBK"/>
          <w:sz w:val="32"/>
          <w:szCs w:val="32"/>
        </w:rPr>
        <w:t>2025年</w:t>
      </w:r>
      <w:r>
        <w:rPr>
          <w:rFonts w:ascii="Times New Roman" w:hAnsi="Times New Roman" w:eastAsia="方正仿宋_GBK"/>
          <w:sz w:val="32"/>
          <w:szCs w:val="32"/>
        </w:rPr>
        <w:t>增加</w:t>
      </w:r>
      <w:r>
        <w:rPr>
          <w:rFonts w:hint="eastAsia" w:ascii="Times New Roman" w:hAnsi="Times New Roman" w:eastAsia="方正仿宋_GBK"/>
          <w:sz w:val="32"/>
          <w:szCs w:val="32"/>
        </w:rPr>
        <w:t>293.08</w:t>
      </w:r>
      <w:r>
        <w:rPr>
          <w:rFonts w:ascii="Times New Roman" w:hAnsi="Times New Roman" w:eastAsia="方正仿宋_GBK"/>
          <w:sz w:val="32"/>
          <w:szCs w:val="32"/>
        </w:rPr>
        <w:t>万元，主要原因是</w:t>
      </w:r>
      <w:r>
        <w:rPr>
          <w:rFonts w:hint="eastAsia" w:ascii="Times New Roman" w:hAnsi="Times New Roman" w:eastAsia="方正仿宋_GBK"/>
          <w:sz w:val="32"/>
          <w:szCs w:val="32"/>
        </w:rPr>
        <w:t>本年预下达的福彩公益金指标略多于上年指标，且上年结转福彩公益金比2024年结转福彩公益金多。</w:t>
      </w:r>
    </w:p>
    <w:p w14:paraId="63052DCF">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四、“三公”经费情况说明</w:t>
      </w:r>
    </w:p>
    <w:p w14:paraId="6158289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2026年</w:t>
      </w:r>
      <w:r>
        <w:rPr>
          <w:rFonts w:ascii="Times New Roman" w:hAnsi="Times New Roman" w:eastAsia="方正仿宋_GBK"/>
          <w:sz w:val="32"/>
          <w:szCs w:val="32"/>
        </w:rPr>
        <w:t>“三公”经费预算</w:t>
      </w:r>
      <w:r>
        <w:rPr>
          <w:rFonts w:hint="eastAsia" w:ascii="Times New Roman" w:hAnsi="Times New Roman" w:eastAsia="方正仿宋_GBK"/>
          <w:sz w:val="32"/>
          <w:szCs w:val="32"/>
        </w:rPr>
        <w:t>8.5</w:t>
      </w:r>
      <w:r>
        <w:rPr>
          <w:rFonts w:ascii="Times New Roman" w:hAnsi="Times New Roman" w:eastAsia="方正仿宋_GBK"/>
          <w:sz w:val="32"/>
          <w:szCs w:val="32"/>
        </w:rPr>
        <w:t>万元，</w:t>
      </w:r>
      <w:r>
        <w:rPr>
          <w:rFonts w:hint="eastAsia" w:ascii="Times New Roman" w:hAnsi="Times New Roman" w:eastAsia="方正仿宋_GBK"/>
          <w:sz w:val="32"/>
          <w:szCs w:val="32"/>
        </w:rPr>
        <w:t>与2025年一致</w:t>
      </w:r>
      <w:r>
        <w:rPr>
          <w:rFonts w:ascii="Times New Roman" w:hAnsi="Times New Roman" w:eastAsia="方正仿宋_GBK"/>
          <w:sz w:val="32"/>
          <w:szCs w:val="32"/>
        </w:rPr>
        <w:t>。其中：公务接待费</w:t>
      </w:r>
      <w:r>
        <w:rPr>
          <w:rFonts w:hint="eastAsia" w:ascii="Times New Roman" w:hAnsi="Times New Roman" w:eastAsia="方正仿宋_GBK"/>
          <w:sz w:val="32"/>
          <w:szCs w:val="32"/>
        </w:rPr>
        <w:t>1</w:t>
      </w:r>
      <w:r>
        <w:rPr>
          <w:rFonts w:ascii="Times New Roman" w:hAnsi="Times New Roman" w:eastAsia="方正仿宋_GBK"/>
          <w:sz w:val="32"/>
          <w:szCs w:val="32"/>
        </w:rPr>
        <w:t>万元，</w:t>
      </w:r>
      <w:r>
        <w:rPr>
          <w:rFonts w:hint="eastAsia" w:ascii="Times New Roman" w:hAnsi="Times New Roman" w:eastAsia="方正仿宋_GBK"/>
          <w:sz w:val="32"/>
          <w:szCs w:val="32"/>
        </w:rPr>
        <w:t>与2025年一致</w:t>
      </w:r>
      <w:r>
        <w:rPr>
          <w:rFonts w:ascii="Times New Roman" w:hAnsi="Times New Roman" w:eastAsia="方正仿宋_GBK"/>
          <w:sz w:val="32"/>
          <w:szCs w:val="32"/>
        </w:rPr>
        <w:t>；公务用车运行维护费</w:t>
      </w:r>
      <w:r>
        <w:rPr>
          <w:rFonts w:hint="eastAsia" w:ascii="Times New Roman" w:hAnsi="Times New Roman" w:eastAsia="方正仿宋_GBK"/>
          <w:sz w:val="32"/>
          <w:szCs w:val="32"/>
        </w:rPr>
        <w:t>7.5</w:t>
      </w:r>
      <w:r>
        <w:rPr>
          <w:rFonts w:ascii="Times New Roman" w:hAnsi="Times New Roman" w:eastAsia="方正仿宋_GBK"/>
          <w:sz w:val="32"/>
          <w:szCs w:val="32"/>
        </w:rPr>
        <w:t>万元，</w:t>
      </w:r>
      <w:r>
        <w:rPr>
          <w:rFonts w:hint="eastAsia" w:ascii="Times New Roman" w:hAnsi="Times New Roman" w:eastAsia="方正仿宋_GBK"/>
          <w:sz w:val="32"/>
          <w:szCs w:val="32"/>
        </w:rPr>
        <w:t>与2025年一致</w:t>
      </w:r>
      <w:r>
        <w:rPr>
          <w:rFonts w:ascii="Times New Roman" w:hAnsi="Times New Roman" w:eastAsia="方正仿宋_GBK"/>
          <w:sz w:val="32"/>
          <w:szCs w:val="32"/>
        </w:rPr>
        <w:t>。</w:t>
      </w:r>
    </w:p>
    <w:p w14:paraId="537B9A1F">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五、其他重要事项的情况说明</w:t>
      </w:r>
    </w:p>
    <w:p w14:paraId="2D64DA50">
      <w:pPr>
        <w:rPr>
          <w:rFonts w:ascii="Times New Roman" w:hAnsi="Times New Roman" w:eastAsia="方正仿宋_GBK"/>
          <w:sz w:val="32"/>
          <w:szCs w:val="32"/>
        </w:rPr>
      </w:pPr>
      <w:r>
        <w:rPr>
          <w:rFonts w:hint="eastAsia" w:ascii="Times New Roman" w:hAnsi="Times New Roman" w:eastAsia="方正仿宋_GBK"/>
          <w:sz w:val="32"/>
          <w:szCs w:val="32"/>
        </w:rPr>
        <w:t>（一）</w:t>
      </w:r>
      <w:r>
        <w:rPr>
          <w:rFonts w:ascii="Times New Roman" w:hAnsi="Times New Roman" w:eastAsia="方正仿宋_GBK"/>
          <w:sz w:val="32"/>
          <w:szCs w:val="32"/>
        </w:rPr>
        <w:t>机关运行经费。</w:t>
      </w:r>
      <w:r>
        <w:rPr>
          <w:rFonts w:hint="eastAsia" w:ascii="Times New Roman" w:hAnsi="Times New Roman" w:eastAsia="方正仿宋_GBK"/>
          <w:sz w:val="32"/>
          <w:szCs w:val="32"/>
        </w:rPr>
        <w:t>2026年</w:t>
      </w:r>
      <w:r>
        <w:rPr>
          <w:rFonts w:ascii="Times New Roman" w:hAnsi="Times New Roman" w:eastAsia="方正仿宋_GBK"/>
          <w:sz w:val="32"/>
          <w:szCs w:val="32"/>
        </w:rPr>
        <w:t>一般公共预算财政拨款运行经费</w:t>
      </w:r>
      <w:r>
        <w:rPr>
          <w:rFonts w:hint="eastAsia" w:ascii="Times New Roman" w:hAnsi="Times New Roman" w:eastAsia="方正仿宋_GBK"/>
          <w:sz w:val="32"/>
          <w:szCs w:val="32"/>
        </w:rPr>
        <w:t>125.01</w:t>
      </w:r>
      <w:r>
        <w:rPr>
          <w:rFonts w:ascii="Times New Roman" w:hAnsi="Times New Roman" w:eastAsia="方正仿宋_GBK"/>
          <w:sz w:val="32"/>
          <w:szCs w:val="32"/>
        </w:rPr>
        <w:t>万元，</w:t>
      </w:r>
      <w:r>
        <w:rPr>
          <w:rFonts w:hint="eastAsia" w:ascii="Times New Roman" w:hAnsi="Times New Roman" w:eastAsia="方正仿宋_GBK"/>
          <w:sz w:val="32"/>
          <w:szCs w:val="32"/>
        </w:rPr>
        <w:t>比2025年</w:t>
      </w:r>
      <w:r>
        <w:rPr>
          <w:rFonts w:ascii="Times New Roman" w:hAnsi="Times New Roman" w:eastAsia="方正仿宋_GBK"/>
          <w:sz w:val="32"/>
          <w:szCs w:val="32"/>
        </w:rPr>
        <w:t>增加</w:t>
      </w:r>
      <w:r>
        <w:rPr>
          <w:rFonts w:hint="eastAsia" w:ascii="Times New Roman" w:hAnsi="Times New Roman" w:eastAsia="方正仿宋_GBK"/>
          <w:sz w:val="32"/>
          <w:szCs w:val="32"/>
        </w:rPr>
        <w:t>3.68</w:t>
      </w:r>
      <w:r>
        <w:rPr>
          <w:rFonts w:ascii="Times New Roman" w:hAnsi="Times New Roman" w:eastAsia="方正仿宋_GBK"/>
          <w:sz w:val="32"/>
          <w:szCs w:val="32"/>
        </w:rPr>
        <w:t>万元，主要原因为</w:t>
      </w:r>
      <w:r>
        <w:rPr>
          <w:rFonts w:hint="eastAsia" w:ascii="Times New Roman" w:hAnsi="Times New Roman" w:eastAsia="方正仿宋_GBK"/>
          <w:sz w:val="32"/>
          <w:szCs w:val="32"/>
        </w:rPr>
        <w:t>预计2026年实有人月数比2025年全年略多，公用经费增加</w:t>
      </w:r>
      <w:r>
        <w:rPr>
          <w:rFonts w:ascii="Times New Roman" w:hAnsi="Times New Roman" w:eastAsia="方正仿宋_GBK"/>
          <w:sz w:val="32"/>
          <w:szCs w:val="32"/>
        </w:rPr>
        <w:t>；主要用于办公费、印刷费、邮电费、水电</w:t>
      </w:r>
      <w:r>
        <w:rPr>
          <w:rFonts w:ascii="Times New Roman" w:hAnsi="Times New Roman" w:eastAsia="方正仿宋_GBK"/>
          <w:sz w:val="32"/>
        </w:rPr>
        <w:t>费、物管费、差旅费、会议费、培训费及其他商品和服务支出等。</w:t>
      </w:r>
    </w:p>
    <w:p w14:paraId="79E4C32B">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政府采购情况。所属各预算单位政府采购预算总额</w:t>
      </w:r>
      <w:r>
        <w:rPr>
          <w:rFonts w:hint="eastAsia" w:ascii="Times New Roman" w:hAnsi="Times New Roman" w:eastAsia="方正仿宋_GBK"/>
          <w:sz w:val="32"/>
          <w:szCs w:val="32"/>
        </w:rPr>
        <w:t>0</w:t>
      </w:r>
      <w:r>
        <w:rPr>
          <w:rFonts w:ascii="Times New Roman" w:hAnsi="Times New Roman" w:eastAsia="方正仿宋_GBK"/>
          <w:sz w:val="32"/>
          <w:szCs w:val="32"/>
        </w:rPr>
        <w:t>万元：政府采购货物预算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万元、政府采购工程预算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万元、政府采购服务预算</w:t>
      </w:r>
      <w:r>
        <w:rPr>
          <w:rFonts w:hint="eastAsia" w:ascii="Times New Roman" w:hAnsi="Times New Roman" w:eastAsia="方正仿宋_GBK"/>
          <w:sz w:val="32"/>
          <w:szCs w:val="32"/>
        </w:rPr>
        <w:t>0</w:t>
      </w:r>
      <w:r>
        <w:rPr>
          <w:rFonts w:ascii="Times New Roman" w:hAnsi="Times New Roman" w:eastAsia="方正仿宋_GBK"/>
          <w:sz w:val="32"/>
          <w:szCs w:val="32"/>
        </w:rPr>
        <w:t>万元；其中一般公共预算拨款政府采购</w:t>
      </w:r>
      <w:r>
        <w:rPr>
          <w:rFonts w:hint="eastAsia" w:ascii="Times New Roman" w:hAnsi="Times New Roman" w:eastAsia="方正仿宋_GBK"/>
          <w:sz w:val="32"/>
          <w:szCs w:val="32"/>
        </w:rPr>
        <w:t>0</w:t>
      </w:r>
      <w:r>
        <w:rPr>
          <w:rFonts w:ascii="Times New Roman" w:hAnsi="Times New Roman" w:eastAsia="方正仿宋_GBK"/>
          <w:sz w:val="32"/>
          <w:szCs w:val="32"/>
        </w:rPr>
        <w:t>万元：政府采购货物预算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万元、政府采购工程预算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万元、政府采购服务预算</w:t>
      </w:r>
      <w:r>
        <w:rPr>
          <w:rFonts w:hint="eastAsia" w:ascii="Times New Roman" w:hAnsi="Times New Roman" w:eastAsia="方正仿宋_GBK"/>
          <w:sz w:val="32"/>
          <w:szCs w:val="32"/>
        </w:rPr>
        <w:t>0</w:t>
      </w:r>
      <w:r>
        <w:rPr>
          <w:rFonts w:ascii="Times New Roman" w:hAnsi="Times New Roman" w:eastAsia="方正仿宋_GBK"/>
          <w:sz w:val="32"/>
          <w:szCs w:val="32"/>
        </w:rPr>
        <w:t>万元。</w:t>
      </w:r>
    </w:p>
    <w:p w14:paraId="4CFBC86E">
      <w:pPr>
        <w:ind w:left="105" w:leftChars="50"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绩效目标设置情况。</w:t>
      </w:r>
      <w:r>
        <w:rPr>
          <w:rFonts w:hint="eastAsia" w:ascii="Times New Roman" w:hAnsi="Times New Roman" w:eastAsia="方正仿宋_GBK"/>
          <w:sz w:val="32"/>
          <w:szCs w:val="32"/>
        </w:rPr>
        <w:t>2026年</w:t>
      </w:r>
      <w:r>
        <w:rPr>
          <w:rFonts w:ascii="Times New Roman" w:hAnsi="Times New Roman" w:eastAsia="方正仿宋_GBK"/>
          <w:sz w:val="32"/>
          <w:szCs w:val="32"/>
        </w:rPr>
        <w:t>项目支出均实行了绩效目标管理，涉及一般公共预算财政拨款</w:t>
      </w:r>
      <w:r>
        <w:rPr>
          <w:rFonts w:hint="eastAsia" w:ascii="Times New Roman" w:hAnsi="Times New Roman" w:eastAsia="方正仿宋_GBK" w:cs="仿宋_GB2312"/>
          <w:color w:val="000000"/>
          <w:sz w:val="32"/>
        </w:rPr>
        <w:t>23041.39</w:t>
      </w:r>
      <w:r>
        <w:rPr>
          <w:rFonts w:ascii="Times New Roman" w:hAnsi="Times New Roman" w:eastAsia="方正仿宋_GBK"/>
          <w:sz w:val="32"/>
          <w:szCs w:val="32"/>
        </w:rPr>
        <w:t>万元。</w:t>
      </w:r>
    </w:p>
    <w:p w14:paraId="417FD1DF">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国有资产占有使用情况。</w:t>
      </w:r>
      <w:r>
        <w:rPr>
          <w:rFonts w:hint="eastAsia" w:ascii="Times New Roman" w:hAnsi="Times New Roman" w:eastAsia="方正仿宋_GBK"/>
          <w:sz w:val="32"/>
          <w:szCs w:val="32"/>
        </w:rPr>
        <w:t>截至2025年</w:t>
      </w:r>
      <w:r>
        <w:rPr>
          <w:rFonts w:ascii="Times New Roman" w:hAnsi="Times New Roman" w:eastAsia="方正仿宋_GBK"/>
          <w:sz w:val="32"/>
          <w:szCs w:val="32"/>
        </w:rPr>
        <w:t xml:space="preserve">12月，所属各预算单位共有车辆 </w:t>
      </w:r>
      <w:r>
        <w:rPr>
          <w:rFonts w:hint="eastAsia" w:ascii="Times New Roman" w:hAnsi="Times New Roman" w:eastAsia="方正仿宋_GBK"/>
          <w:sz w:val="32"/>
          <w:szCs w:val="32"/>
        </w:rPr>
        <w:t>3</w:t>
      </w:r>
      <w:r>
        <w:rPr>
          <w:rFonts w:ascii="Times New Roman" w:hAnsi="Times New Roman" w:eastAsia="方正仿宋_GBK"/>
          <w:sz w:val="32"/>
          <w:szCs w:val="32"/>
        </w:rPr>
        <w:t>辆，其中一般公务用车</w:t>
      </w:r>
      <w:r>
        <w:rPr>
          <w:rFonts w:hint="eastAsia" w:ascii="Times New Roman" w:hAnsi="Times New Roman" w:eastAsia="方正仿宋_GBK"/>
          <w:sz w:val="32"/>
          <w:szCs w:val="32"/>
        </w:rPr>
        <w:t>3</w:t>
      </w:r>
      <w:r>
        <w:rPr>
          <w:rFonts w:ascii="Times New Roman" w:hAnsi="Times New Roman" w:eastAsia="方正仿宋_GBK"/>
          <w:sz w:val="32"/>
          <w:szCs w:val="32"/>
        </w:rPr>
        <w:t>辆、执勤执法用车</w:t>
      </w:r>
      <w:r>
        <w:rPr>
          <w:rFonts w:hint="eastAsia" w:ascii="Times New Roman" w:hAnsi="Times New Roman" w:eastAsia="方正仿宋_GBK"/>
          <w:sz w:val="32"/>
          <w:szCs w:val="32"/>
        </w:rPr>
        <w:t>0</w:t>
      </w:r>
      <w:r>
        <w:rPr>
          <w:rFonts w:ascii="Times New Roman" w:hAnsi="Times New Roman" w:eastAsia="方正仿宋_GBK"/>
          <w:sz w:val="32"/>
          <w:szCs w:val="32"/>
        </w:rPr>
        <w:t>辆。</w:t>
      </w:r>
      <w:r>
        <w:rPr>
          <w:rFonts w:hint="eastAsia" w:ascii="Times New Roman" w:hAnsi="Times New Roman" w:eastAsia="方正仿宋_GBK"/>
          <w:sz w:val="32"/>
          <w:szCs w:val="32"/>
        </w:rPr>
        <w:t>2026年</w:t>
      </w:r>
      <w:r>
        <w:rPr>
          <w:rFonts w:ascii="Times New Roman" w:hAnsi="Times New Roman" w:eastAsia="方正仿宋_GBK"/>
          <w:sz w:val="32"/>
          <w:szCs w:val="32"/>
        </w:rPr>
        <w:t>一般公共预算安排购置车辆</w:t>
      </w:r>
      <w:r>
        <w:rPr>
          <w:rFonts w:hint="eastAsia" w:ascii="Times New Roman" w:hAnsi="Times New Roman" w:eastAsia="方正仿宋_GBK"/>
          <w:sz w:val="32"/>
          <w:szCs w:val="32"/>
        </w:rPr>
        <w:t>0</w:t>
      </w:r>
      <w:r>
        <w:rPr>
          <w:rFonts w:ascii="Times New Roman" w:hAnsi="Times New Roman" w:eastAsia="方正仿宋_GBK"/>
          <w:sz w:val="32"/>
          <w:szCs w:val="32"/>
        </w:rPr>
        <w:t>辆，其中一般公务用车</w:t>
      </w:r>
      <w:r>
        <w:rPr>
          <w:rFonts w:hint="eastAsia" w:ascii="Times New Roman" w:hAnsi="Times New Roman" w:eastAsia="方正仿宋_GBK"/>
          <w:sz w:val="32"/>
          <w:szCs w:val="32"/>
        </w:rPr>
        <w:t>0</w:t>
      </w:r>
      <w:r>
        <w:rPr>
          <w:rFonts w:ascii="Times New Roman" w:hAnsi="Times New Roman" w:eastAsia="方正仿宋_GBK"/>
          <w:sz w:val="32"/>
          <w:szCs w:val="32"/>
        </w:rPr>
        <w:t xml:space="preserve">辆、执勤执法用车 </w:t>
      </w:r>
      <w:r>
        <w:rPr>
          <w:rFonts w:hint="eastAsia" w:ascii="Times New Roman" w:hAnsi="Times New Roman" w:eastAsia="方正仿宋_GBK"/>
          <w:sz w:val="32"/>
          <w:szCs w:val="32"/>
        </w:rPr>
        <w:t>0</w:t>
      </w:r>
      <w:r>
        <w:rPr>
          <w:rFonts w:ascii="Times New Roman" w:hAnsi="Times New Roman" w:eastAsia="方正仿宋_GBK"/>
          <w:sz w:val="32"/>
          <w:szCs w:val="32"/>
        </w:rPr>
        <w:t>辆。</w:t>
      </w:r>
    </w:p>
    <w:p w14:paraId="5F932033">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六、专业性名词解释</w:t>
      </w:r>
    </w:p>
    <w:p w14:paraId="025CFEE6">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（一）财政拨款收入</w:t>
      </w:r>
      <w:r>
        <w:rPr>
          <w:rFonts w:ascii="Times New Roman" w:hAnsi="Times New Roman" w:eastAsia="方正仿宋_GBK"/>
          <w:sz w:val="32"/>
        </w:rPr>
        <w:t>：指本年度从本级财政部门取得</w:t>
      </w:r>
      <w:bookmarkStart w:id="0" w:name="_GoBack"/>
      <w:bookmarkEnd w:id="0"/>
      <w:r>
        <w:rPr>
          <w:rFonts w:ascii="Times New Roman" w:hAnsi="Times New Roman" w:eastAsia="方正仿宋_GBK"/>
          <w:sz w:val="32"/>
        </w:rPr>
        <w:t>的财政拨款，包括一般公共预算财政拨款</w:t>
      </w:r>
      <w:r>
        <w:rPr>
          <w:rFonts w:hint="eastAsia" w:ascii="Times New Roman" w:hAnsi="Times New Roman" w:eastAsia="方正仿宋_GBK"/>
          <w:sz w:val="32"/>
        </w:rPr>
        <w:t>、</w:t>
      </w:r>
      <w:r>
        <w:rPr>
          <w:rFonts w:ascii="Times New Roman" w:hAnsi="Times New Roman" w:eastAsia="方正仿宋_GBK"/>
          <w:sz w:val="32"/>
        </w:rPr>
        <w:t>政府性基金预算财政拨款和</w:t>
      </w:r>
      <w:r>
        <w:rPr>
          <w:rFonts w:ascii="Times New Roman" w:hAnsi="Times New Roman" w:eastAsia="方正仿宋_GBK"/>
          <w:sz w:val="32"/>
          <w:szCs w:val="32"/>
        </w:rPr>
        <w:t>国有资本经营预算</w:t>
      </w:r>
      <w:r>
        <w:rPr>
          <w:rFonts w:ascii="Times New Roman" w:hAnsi="Times New Roman" w:eastAsia="方正仿宋_GBK"/>
          <w:sz w:val="32"/>
        </w:rPr>
        <w:t>财政拨款。</w:t>
      </w:r>
    </w:p>
    <w:p w14:paraId="71D118B7">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（二）其他收入</w:t>
      </w:r>
      <w:r>
        <w:rPr>
          <w:rFonts w:ascii="Times New Roman" w:hAnsi="Times New Roman" w:eastAsia="方正仿宋_GBK"/>
          <w:sz w:val="32"/>
        </w:rPr>
        <w:t>：指单位取得的除“财政拨款收入</w:t>
      </w:r>
      <w:r>
        <w:rPr>
          <w:rFonts w:hint="eastAsia" w:ascii="Times New Roman" w:hAnsi="Times New Roman" w:eastAsia="方正仿宋_GBK"/>
          <w:sz w:val="32"/>
        </w:rPr>
        <w:t>”“</w:t>
      </w:r>
      <w:r>
        <w:rPr>
          <w:rFonts w:ascii="Times New Roman" w:hAnsi="Times New Roman" w:eastAsia="方正仿宋_GBK"/>
          <w:sz w:val="32"/>
        </w:rPr>
        <w:t>事业收入</w:t>
      </w:r>
      <w:r>
        <w:rPr>
          <w:rFonts w:hint="eastAsia" w:ascii="Times New Roman" w:hAnsi="Times New Roman" w:eastAsia="方正仿宋_GBK"/>
          <w:sz w:val="32"/>
        </w:rPr>
        <w:t>”“</w:t>
      </w:r>
      <w:r>
        <w:rPr>
          <w:rFonts w:ascii="Times New Roman" w:hAnsi="Times New Roman" w:eastAsia="方正仿宋_GBK"/>
          <w:sz w:val="32"/>
        </w:rPr>
        <w:t>经营收入”等以外的收入。</w:t>
      </w:r>
    </w:p>
    <w:p w14:paraId="3C060E29">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（三）基本支出</w:t>
      </w:r>
      <w:r>
        <w:rPr>
          <w:rFonts w:ascii="Times New Roman" w:hAnsi="Times New Roman" w:eastAsia="方正仿宋_GBK"/>
          <w:sz w:val="32"/>
        </w:rPr>
        <w:t>：指为保障机构正常运转、完成日常工作任务而发生的人员经费和公用经费。</w:t>
      </w:r>
    </w:p>
    <w:p w14:paraId="1B28DD1F">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（四）项目支出</w:t>
      </w:r>
      <w:r>
        <w:rPr>
          <w:rFonts w:ascii="Times New Roman" w:hAnsi="Times New Roman" w:eastAsia="方正仿宋_GBK"/>
          <w:sz w:val="32"/>
        </w:rPr>
        <w:t>：指在基本支出之外为完成特定行政任务和事业发展目标所发生的支出。</w:t>
      </w:r>
    </w:p>
    <w:p w14:paraId="43803C18">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（五）“三公”经费</w:t>
      </w:r>
      <w:r>
        <w:rPr>
          <w:rFonts w:ascii="Times New Roman" w:hAnsi="Times New Roman" w:eastAsia="方正仿宋_GBK"/>
          <w:sz w:val="32"/>
        </w:rPr>
        <w:t>：</w:t>
      </w:r>
      <w:r>
        <w:rPr>
          <w:rFonts w:hint="eastAsia" w:ascii="Times New Roman" w:hAnsi="Times New Roman" w:eastAsia="方正仿宋_GBK"/>
          <w:sz w:val="32"/>
        </w:rPr>
        <w:t>指使</w:t>
      </w:r>
      <w:r>
        <w:rPr>
          <w:rFonts w:ascii="Times New Roman" w:hAnsi="Times New Roman" w:eastAsia="方正仿宋_GBK"/>
          <w:sz w:val="32"/>
        </w:rPr>
        <w:t>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0F4351">
      <w:pPr>
        <w:ind w:firstLine="640" w:firstLineChars="200"/>
        <w:rPr>
          <w:rFonts w:ascii="Times New Roman" w:hAnsi="Times New Roman" w:eastAsia="方正仿宋_GBK"/>
          <w:sz w:val="32"/>
          <w:szCs w:val="32"/>
        </w:rPr>
      </w:pPr>
    </w:p>
    <w:p w14:paraId="4FDDFCB7">
      <w:pPr>
        <w:jc w:val="center"/>
        <w:rPr>
          <w:rFonts w:ascii="Times New Roman" w:hAnsi="Times New Roman" w:eastAsia="方正仿宋_GBK"/>
          <w:sz w:val="32"/>
          <w:szCs w:val="32"/>
          <w:highlight w:val="yellow"/>
        </w:rPr>
      </w:pPr>
      <w:r>
        <w:rPr>
          <w:rFonts w:ascii="Times New Roman" w:hAnsi="Times New Roman" w:eastAsia="方正仿宋_GBK"/>
          <w:sz w:val="32"/>
          <w:szCs w:val="32"/>
        </w:rPr>
        <w:t>部门预算公开联系人：</w:t>
      </w:r>
      <w:r>
        <w:rPr>
          <w:rFonts w:hint="eastAsia" w:ascii="Times New Roman" w:hAnsi="Times New Roman" w:eastAsia="方正仿宋_GBK"/>
          <w:sz w:val="32"/>
          <w:szCs w:val="32"/>
        </w:rPr>
        <w:t>游银燕</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联系方式：023-</w:t>
      </w:r>
      <w:r>
        <w:rPr>
          <w:rFonts w:hint="eastAsia" w:ascii="Times New Roman" w:hAnsi="Times New Roman" w:eastAsia="方正仿宋_GBK"/>
          <w:sz w:val="32"/>
          <w:szCs w:val="32"/>
        </w:rPr>
        <w:t>73332145</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2"/>
  </w:compat>
  <w:docVars>
    <w:docVar w:name="commondata" w:val="eyJoZGlkIjoiMDQ2MTRkYzkzM2FlYjViZDkzOTEyZjFkYzI3ZDY2ZmUifQ=="/>
  </w:docVars>
  <w:rsids>
    <w:rsidRoot w:val="00B25CF0"/>
    <w:rsid w:val="000065FF"/>
    <w:rsid w:val="00025D49"/>
    <w:rsid w:val="000B6F81"/>
    <w:rsid w:val="000E6986"/>
    <w:rsid w:val="000E7A86"/>
    <w:rsid w:val="00104156"/>
    <w:rsid w:val="001C295B"/>
    <w:rsid w:val="001E591F"/>
    <w:rsid w:val="001F62A7"/>
    <w:rsid w:val="00201E27"/>
    <w:rsid w:val="00264D5B"/>
    <w:rsid w:val="00295D2E"/>
    <w:rsid w:val="002F0B32"/>
    <w:rsid w:val="00315FF1"/>
    <w:rsid w:val="00326B00"/>
    <w:rsid w:val="00357D5D"/>
    <w:rsid w:val="00366915"/>
    <w:rsid w:val="003C56C2"/>
    <w:rsid w:val="003F3271"/>
    <w:rsid w:val="00412B49"/>
    <w:rsid w:val="0048380D"/>
    <w:rsid w:val="004838F7"/>
    <w:rsid w:val="004E6C5E"/>
    <w:rsid w:val="005124F3"/>
    <w:rsid w:val="00562209"/>
    <w:rsid w:val="005A5BC6"/>
    <w:rsid w:val="005F4A5C"/>
    <w:rsid w:val="006E66F0"/>
    <w:rsid w:val="00746575"/>
    <w:rsid w:val="00750582"/>
    <w:rsid w:val="0075644E"/>
    <w:rsid w:val="0076031D"/>
    <w:rsid w:val="007656FB"/>
    <w:rsid w:val="00796554"/>
    <w:rsid w:val="00825E43"/>
    <w:rsid w:val="00892B61"/>
    <w:rsid w:val="009027F8"/>
    <w:rsid w:val="009A024E"/>
    <w:rsid w:val="009C0C1E"/>
    <w:rsid w:val="00A657B7"/>
    <w:rsid w:val="00A85988"/>
    <w:rsid w:val="00AB4CBD"/>
    <w:rsid w:val="00AF7912"/>
    <w:rsid w:val="00B25CF0"/>
    <w:rsid w:val="00B55F09"/>
    <w:rsid w:val="00B67C25"/>
    <w:rsid w:val="00BA6131"/>
    <w:rsid w:val="00BB7769"/>
    <w:rsid w:val="00C22196"/>
    <w:rsid w:val="00C264FA"/>
    <w:rsid w:val="00CB5754"/>
    <w:rsid w:val="00CC1EFB"/>
    <w:rsid w:val="00CC6777"/>
    <w:rsid w:val="00D07A08"/>
    <w:rsid w:val="00D17EA8"/>
    <w:rsid w:val="00DA0707"/>
    <w:rsid w:val="00DE312C"/>
    <w:rsid w:val="00E10E1B"/>
    <w:rsid w:val="00E4250B"/>
    <w:rsid w:val="00E438FD"/>
    <w:rsid w:val="00E83EC4"/>
    <w:rsid w:val="00F07238"/>
    <w:rsid w:val="00F35787"/>
    <w:rsid w:val="00F602BE"/>
    <w:rsid w:val="00FE3041"/>
    <w:rsid w:val="00FF7A73"/>
    <w:rsid w:val="05BA39BF"/>
    <w:rsid w:val="0D7A365A"/>
    <w:rsid w:val="133B1901"/>
    <w:rsid w:val="146D039A"/>
    <w:rsid w:val="19DB55F5"/>
    <w:rsid w:val="1DD801A3"/>
    <w:rsid w:val="1EAF42D1"/>
    <w:rsid w:val="274B199A"/>
    <w:rsid w:val="2A1750A8"/>
    <w:rsid w:val="2BE20CDE"/>
    <w:rsid w:val="32513FE1"/>
    <w:rsid w:val="387110B4"/>
    <w:rsid w:val="3A720DEA"/>
    <w:rsid w:val="3B9B3520"/>
    <w:rsid w:val="489617E1"/>
    <w:rsid w:val="4B1E5B34"/>
    <w:rsid w:val="4C8005D6"/>
    <w:rsid w:val="4D5D69EE"/>
    <w:rsid w:val="5A254D94"/>
    <w:rsid w:val="5B8E1A9F"/>
    <w:rsid w:val="5CF21E57"/>
    <w:rsid w:val="5F9955F7"/>
    <w:rsid w:val="65A30990"/>
    <w:rsid w:val="67920983"/>
    <w:rsid w:val="6AA0021E"/>
    <w:rsid w:val="6B180D44"/>
    <w:rsid w:val="71597F39"/>
    <w:rsid w:val="79CF62B4"/>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页脚 Char"/>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b9536883-ba5d-4a24-b2bf-4433c26edb72</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2159A4A1</paraID>
      <start>4</start>
      <end>7</end>
      <status>ignored</status>
      <modifiedWord/>
      <trackRevisions>false</trackRevisions>
    </reviewItem>
    <reviewItem>
      <errorID>a2b93ab8-ecf5-42ae-b179-ecb8f1ffc7f2</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2159A4A1</paraID>
      <start>23</start>
      <end>26</end>
      <status>ignored</status>
      <modifiedWord/>
      <trackRevisions>false</trackRevisions>
    </reviewItem>
    <reviewItem>
      <errorID>f715e638-11c7-4d6e-8394-a4d4c4341307</errorID>
      <errorWord>石柱县</errorWord>
      <group>L1_Knowledge</group>
      <groupName>知识性问题</groupName>
      <ability>L2_Location</ability>
      <abilityName>地名检查</abilityName>
      <candidateList>
        <item>石柱土家族自治县</item>
      </candidateList>
      <explain>自治区州县缩写不规范。《地名管理条例》第十八条规定，标识牌、公共平台发布的信息、各类公文证件、学习类公开出版物、地图、法律法规规定等场景范围内必须使用标准地名。</explain>
      <paraID>6AB439E6</paraID>
      <start>163</start>
      <end>166</end>
      <status>ignored</status>
      <modifiedWord/>
      <trackRevisions>false</trackRevisions>
    </reviewItem>
    <reviewItem>
      <errorID>ed9a9f61-bd5b-4e91-a5ae-e7b0b54e2dd8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24B72BF1</paraID>
      <start>32</start>
      <end>40</end>
      <status>ignored</status>
      <modifiedWord/>
      <trackRevisions>false</trackRevisions>
    </reviewItem>
    <reviewItem>
      <errorID>4ab83da0-5396-444e-9314-8b98b85a4a28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24B72BF1</paraID>
      <start>91</start>
      <end>99</end>
      <status>ignored</status>
      <modifiedWord/>
      <trackRevisions>false</trackRevisions>
    </reviewItem>
    <reviewItem>
      <errorID>1f6abe33-e6db-45c0-b71d-a37f266f54a0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79E4C32B</paraID>
      <start>67</start>
      <end>75</end>
      <status>ignored</status>
      <modifiedWord/>
      <trackRevisions>false</trackRevisions>
    </reviewItem>
  </reviewItems>
  <config/>
</contractReview>
</file>

<file path=customXml/itemProps1.xml><?xml version="1.0" encoding="utf-8"?>
<ds:datastoreItem xmlns:ds="http://schemas.openxmlformats.org/officeDocument/2006/customXml" ds:itemID="{620fd253-f4de-4f17-aa77-f60c96c086e2}">
  <ds:schemaRefs/>
</ds:datastoreItem>
</file>

<file path=docProps/app.xml><?xml version="1.0" encoding="utf-8"?>
<Properties xmlns="http://schemas.openxmlformats.org/officeDocument/2006/extended-properties" xmlns:vt="http://schemas.openxmlformats.org/officeDocument/2006/docPropsVTypes">
  <Template>Normal</Template>
  <Pages>7</Pages>
  <Words>3050</Words>
  <Characters>3289</Characters>
  <Lines>23</Lines>
  <Paragraphs>6</Paragraphs>
  <TotalTime>990</TotalTime>
  <ScaleCrop>false</ScaleCrop>
  <LinksUpToDate>false</LinksUpToDate>
  <CharactersWithSpaces>3307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夏至未至</cp:lastModifiedBy>
  <cp:lastPrinted>2018-01-02T08:11:00Z</cp:lastPrinted>
  <dcterms:modified xsi:type="dcterms:W3CDTF">2026-02-09T01:55:07Z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E91AAB9274BE40E0B5EB6542A9D90973_13</vt:lpwstr>
  </property>
  <property fmtid="{D5CDD505-2E9C-101B-9397-08002B2CF9AE}" pid="4" name="KSOTemplateDocerSaveRecord">
    <vt:lpwstr>eyJoZGlkIjoiM2FjYmYwZjcxYmY2ODhjZTc4YzkwZmE4MzRjZjVmZGIiLCJ1c2VySWQiOiI1MDcxOTM1NzEifQ==</vt:lpwstr>
  </property>
</Properties>
</file>