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D76098F">
      <w:pPr>
        <w:spacing w:line="600" w:lineRule="exact"/>
        <w:jc w:val="center"/>
        <w:rPr>
          <w:rFonts w:hint="eastAsia" w:ascii="Times New Roman" w:hAnsi="Times New Roman" w:eastAsia="方正小标宋_GBK" w:cs="华文中宋"/>
          <w:spacing w:val="-10"/>
          <w:sz w:val="44"/>
          <w:szCs w:val="44"/>
        </w:rPr>
      </w:pPr>
      <w:r>
        <w:rPr>
          <w:rFonts w:hint="eastAsia" w:ascii="Times New Roman" w:hAnsi="Times New Roman" w:eastAsia="方正小标宋_GBK" w:cs="华文中宋"/>
          <w:spacing w:val="-10"/>
          <w:sz w:val="44"/>
          <w:szCs w:val="44"/>
        </w:rPr>
        <w:t>石柱土家族自治县民政局（本级）</w:t>
      </w:r>
    </w:p>
    <w:p w14:paraId="2B11BE79">
      <w:pPr>
        <w:spacing w:line="600" w:lineRule="exact"/>
        <w:jc w:val="center"/>
        <w:rPr>
          <w:rFonts w:hint="eastAsia" w:ascii="Times New Roman" w:hAnsi="Times New Roman" w:eastAsia="方正小标宋_GBK" w:cs="华文中宋"/>
          <w:spacing w:val="-10"/>
          <w:sz w:val="44"/>
          <w:szCs w:val="44"/>
        </w:rPr>
      </w:pPr>
      <w:r>
        <w:rPr>
          <w:rFonts w:hint="eastAsia" w:ascii="Times New Roman" w:hAnsi="Times New Roman" w:eastAsia="方正小标宋_GBK" w:cs="华文中宋"/>
          <w:spacing w:val="-10"/>
          <w:sz w:val="44"/>
          <w:szCs w:val="44"/>
        </w:rPr>
        <w:t>2024年单位预算情况说明</w:t>
      </w:r>
    </w:p>
    <w:p w14:paraId="70E27716">
      <w:pPr>
        <w:spacing w:line="600" w:lineRule="exact"/>
        <w:ind w:firstLine="640" w:firstLineChars="200"/>
        <w:jc w:val="center"/>
        <w:rPr>
          <w:rFonts w:hint="eastAsia" w:ascii="Times New Roman" w:hAnsi="Times New Roman" w:eastAsia="华文中宋" w:cs="华文中宋"/>
          <w:sz w:val="32"/>
          <w:szCs w:val="32"/>
        </w:rPr>
      </w:pPr>
    </w:p>
    <w:p w14:paraId="0B1DBBB7">
      <w:pPr>
        <w:spacing w:line="600" w:lineRule="exact"/>
        <w:ind w:firstLine="640" w:firstLineChars="200"/>
        <w:rPr>
          <w:rFonts w:hint="eastAsia" w:ascii="Times New Roman" w:hAnsi="Times New Roman" w:eastAsia="方正黑体_GBK" w:cs="仿宋_GB2312"/>
          <w:color w:val="000000"/>
          <w:sz w:val="32"/>
          <w:szCs w:val="32"/>
        </w:rPr>
      </w:pPr>
      <w:r>
        <w:rPr>
          <w:rFonts w:hint="eastAsia" w:ascii="Times New Roman" w:hAnsi="Times New Roman" w:eastAsia="方正黑体_GBK" w:cs="仿宋_GB2312"/>
          <w:color w:val="000000"/>
          <w:sz w:val="32"/>
          <w:szCs w:val="32"/>
        </w:rPr>
        <w:t>一、单位基本情况</w:t>
      </w:r>
    </w:p>
    <w:p w14:paraId="29726F7B">
      <w:pPr>
        <w:spacing w:line="600" w:lineRule="exact"/>
        <w:ind w:firstLine="640" w:firstLineChars="200"/>
        <w:rPr>
          <w:rFonts w:hint="eastAsia" w:ascii="Times New Roman" w:hAnsi="Times New Roman" w:eastAsia="方正楷体_GBK" w:cs="方正楷体_GBK"/>
          <w:color w:val="000000"/>
          <w:sz w:val="32"/>
          <w:szCs w:val="32"/>
        </w:rPr>
      </w:pPr>
      <w:r>
        <w:rPr>
          <w:rFonts w:hint="eastAsia" w:ascii="Times New Roman" w:hAnsi="Times New Roman" w:eastAsia="方正楷体_GBK" w:cs="方正楷体_GBK"/>
          <w:color w:val="000000"/>
          <w:sz w:val="32"/>
          <w:szCs w:val="32"/>
        </w:rPr>
        <w:t>（一）职能职责</w:t>
      </w:r>
    </w:p>
    <w:p w14:paraId="7A961C99">
      <w:pPr>
        <w:snapToGrid w:val="0"/>
        <w:spacing w:line="594"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（一）贯彻执行民政工作法律法规、方针政策和地方标准；负责拟订民政工作规范性文件、发展规划，并组织实施。</w:t>
      </w:r>
    </w:p>
    <w:p w14:paraId="681E2A51">
      <w:pPr>
        <w:snapToGrid w:val="0"/>
        <w:spacing w:line="594"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（二）贯彻执行社会团体、基金会、社会服务机构等社会组织登记和监督管理办法，依法对社会组织进行登记管理和执法监督。</w:t>
      </w:r>
    </w:p>
    <w:p w14:paraId="5619FF46">
      <w:pPr>
        <w:snapToGrid w:val="0"/>
        <w:spacing w:line="594"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（三）贯彻执行社会救助政策、标准，负责社会救助体系建设，负责城乡居民最低生活保障、特困人员救助供养、临时救助、生活无着流浪乞讨人员救助</w:t>
      </w:r>
      <w:r>
        <w:rPr>
          <w:rFonts w:hint="eastAsia" w:ascii="Times New Roman" w:hAnsi="Times New Roman" w:eastAsia="方正仿宋_GBK"/>
          <w:color w:val="000000"/>
          <w:sz w:val="32"/>
          <w:szCs w:val="32"/>
        </w:rPr>
        <w:t>及社会救助家庭经济状况信息核查、认定等工作。</w:t>
      </w:r>
    </w:p>
    <w:p w14:paraId="540D4D80">
      <w:pPr>
        <w:snapToGrid w:val="0"/>
        <w:spacing w:line="594"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（四）贯彻执行城乡基层群众自治建设和社区治理政策，指导城乡社区治理体系和治理能力建设，提出加强和改进城乡基层政权建设的建议，推动基层民主政治建设。</w:t>
      </w:r>
    </w:p>
    <w:p w14:paraId="1AA39C32">
      <w:pPr>
        <w:snapToGrid w:val="0"/>
        <w:spacing w:line="594"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（五）贯彻执行行政区划、行政区域</w:t>
      </w:r>
      <w:r>
        <w:rPr>
          <w:rFonts w:hint="eastAsia" w:ascii="Times New Roman" w:hAnsi="Times New Roman" w:eastAsia="方正仿宋_GBK"/>
          <w:color w:val="000000"/>
          <w:sz w:val="32"/>
          <w:szCs w:val="32"/>
          <w:lang w:eastAsia="zh-CN"/>
        </w:rPr>
        <w:t>界线</w:t>
      </w:r>
      <w:r>
        <w:rPr>
          <w:rFonts w:ascii="Times New Roman" w:hAnsi="Times New Roman" w:eastAsia="方正仿宋_GBK"/>
          <w:color w:val="000000"/>
          <w:sz w:val="32"/>
          <w:szCs w:val="32"/>
        </w:rPr>
        <w:t>管理和地名管理政策、标准，负责报县政府审核的行政区划设立、命名、变更和政府驻地迁移初审工作，负责县内行政区域界线勘定和管理工作，负责地名管理工作，负责县内自然地理实体的命名、更名审核工作。</w:t>
      </w:r>
    </w:p>
    <w:p w14:paraId="41C81324">
      <w:pPr>
        <w:snapToGrid w:val="0"/>
        <w:spacing w:line="594"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（六）负责婚姻登记</w:t>
      </w:r>
      <w:r>
        <w:rPr>
          <w:rFonts w:hint="eastAsia" w:ascii="Times New Roman" w:hAnsi="Times New Roman" w:eastAsia="方正仿宋_GBK"/>
          <w:color w:val="000000"/>
          <w:sz w:val="32"/>
          <w:szCs w:val="32"/>
        </w:rPr>
        <w:t>工作</w:t>
      </w:r>
      <w:r>
        <w:rPr>
          <w:rFonts w:ascii="Times New Roman" w:hAnsi="Times New Roman" w:eastAsia="方正仿宋_GBK"/>
          <w:color w:val="000000"/>
          <w:sz w:val="32"/>
          <w:szCs w:val="32"/>
        </w:rPr>
        <w:t>，贯彻执行婚姻管理政策，推进婚俗改革。</w:t>
      </w:r>
    </w:p>
    <w:p w14:paraId="3E19ED0B">
      <w:pPr>
        <w:snapToGrid w:val="0"/>
        <w:spacing w:line="594"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（七）负责殡葬管理工作，贯彻执行殡葬管理政策、服务规范，推进殡葬改革。</w:t>
      </w:r>
    </w:p>
    <w:p w14:paraId="7FDD0A44">
      <w:pPr>
        <w:snapToGrid w:val="0"/>
        <w:spacing w:line="594"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（八）统筹推进、督促指导、监督管理养老服务工作，贯彻落实养老服务体系建设规划、政策、标准；承担老年人福利和特殊困难老年人救助工作；负责对社会福利机构和养老机构服务进行监督、管理。</w:t>
      </w:r>
    </w:p>
    <w:p w14:paraId="24EEEA31">
      <w:pPr>
        <w:snapToGrid w:val="0"/>
        <w:spacing w:line="594"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（九）贯彻落实残疾人权益保护政策、残疾人福利制度。</w:t>
      </w:r>
    </w:p>
    <w:p w14:paraId="03A0FD6B">
      <w:pPr>
        <w:snapToGrid w:val="0"/>
        <w:spacing w:line="594"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（十）贯彻执行儿童福利、孤弃儿童保障、儿童收养、儿童救助保护政策、标准，健全农村留守儿童关爱服务体系</w:t>
      </w:r>
      <w:r>
        <w:rPr>
          <w:rFonts w:hint="eastAsia" w:ascii="Times New Roman" w:hAnsi="Times New Roman" w:eastAsia="方正仿宋_GBK"/>
          <w:color w:val="000000"/>
          <w:sz w:val="32"/>
          <w:szCs w:val="32"/>
        </w:rPr>
        <w:t>，落实</w:t>
      </w:r>
      <w:r>
        <w:rPr>
          <w:rFonts w:ascii="Times New Roman" w:hAnsi="Times New Roman" w:eastAsia="方正仿宋_GBK"/>
          <w:color w:val="000000"/>
          <w:sz w:val="32"/>
          <w:szCs w:val="32"/>
        </w:rPr>
        <w:t>困境儿童保障制度。</w:t>
      </w:r>
    </w:p>
    <w:p w14:paraId="6CD19AD2">
      <w:pPr>
        <w:snapToGrid w:val="0"/>
        <w:spacing w:line="594"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（十一）贯彻执行促进慈善事业发展政策，指导社会捐助工作，受市民政局委托承担本县福利彩票管理工作。</w:t>
      </w:r>
    </w:p>
    <w:p w14:paraId="389A59F1">
      <w:pPr>
        <w:snapToGrid w:val="0"/>
        <w:spacing w:line="594"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（十二）贯彻执行社会工作、志愿服务政策和标准，会同有关部门推进社工人才队伍建设和志愿者队伍建设，促进民办社会工作服务机构发展。负责政府购买社会工作服务的统筹规划、组织实施和绩效评估工作。</w:t>
      </w:r>
    </w:p>
    <w:p w14:paraId="03718C79">
      <w:pPr>
        <w:snapToGrid w:val="0"/>
        <w:spacing w:line="594"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（十三）负责民政领域行政执法，具体执法工作交由相关执法队伍承担，并以部门名义统一执法。</w:t>
      </w:r>
      <w:r>
        <w:rPr>
          <w:rFonts w:hint="eastAsia" w:ascii="Times New Roman" w:hAnsi="Times New Roman" w:eastAsia="方正仿宋_GBK"/>
          <w:color w:val="000000"/>
          <w:sz w:val="32"/>
          <w:szCs w:val="32"/>
        </w:rPr>
        <w:t xml:space="preserve"> </w:t>
      </w:r>
    </w:p>
    <w:p w14:paraId="47653D3C">
      <w:pPr>
        <w:snapToGrid w:val="0"/>
        <w:spacing w:line="594"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（十四）</w:t>
      </w:r>
      <w:r>
        <w:rPr>
          <w:rFonts w:hint="eastAsia" w:ascii="Times New Roman" w:hAnsi="Times New Roman" w:eastAsia="方正仿宋_GBK"/>
          <w:color w:val="000000"/>
          <w:sz w:val="32"/>
          <w:szCs w:val="32"/>
        </w:rPr>
        <w:t>负责机关、直属单位和所主管的社会组织党建工作。</w:t>
      </w:r>
    </w:p>
    <w:p w14:paraId="72CEDA78">
      <w:pPr>
        <w:snapToGrid w:val="0"/>
        <w:spacing w:line="594"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（十五）完成县委、县政府交办的其他任务。</w:t>
      </w:r>
    </w:p>
    <w:p w14:paraId="62088705">
      <w:pPr>
        <w:snapToGrid w:val="0"/>
        <w:spacing w:line="594"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十六）职能转变。石柱土家族自治县民政局应强化基本民生保障职能，为困难群众、孤老孤残孤儿等特殊群体提供基本社会服务，促进资源向薄弱乡镇、领域、环节倾斜。积极培育社会组织、社会工作者等多元参与主体，</w:t>
      </w:r>
      <w:r>
        <w:rPr>
          <w:rFonts w:hint="eastAsia" w:ascii="Times New Roman" w:hAnsi="Times New Roman" w:eastAsia="方正仿宋_GBK"/>
          <w:color w:val="000000"/>
          <w:sz w:val="32"/>
          <w:szCs w:val="32"/>
        </w:rPr>
        <w:t>推</w:t>
      </w:r>
      <w:r>
        <w:rPr>
          <w:rFonts w:ascii="Times New Roman" w:hAnsi="Times New Roman" w:eastAsia="方正仿宋_GBK"/>
          <w:color w:val="000000"/>
          <w:sz w:val="32"/>
          <w:szCs w:val="32"/>
        </w:rPr>
        <w:t>动搭建基层社会治理和社区公共服务平台。</w:t>
      </w:r>
    </w:p>
    <w:p w14:paraId="45CCE815">
      <w:pPr>
        <w:snapToGrid w:val="0"/>
        <w:spacing w:line="594" w:lineRule="exact"/>
        <w:ind w:firstLine="640" w:firstLineChars="200"/>
        <w:rPr>
          <w:rFonts w:hint="eastAsia" w:ascii="Times New Roman" w:hAnsi="Times New Roman" w:eastAsia="方正仿宋_GBK"/>
          <w:color w:val="000000"/>
          <w:sz w:val="32"/>
          <w:szCs w:val="32"/>
        </w:rPr>
      </w:pPr>
      <w:r>
        <w:rPr>
          <w:rFonts w:ascii="Times New Roman" w:hAnsi="Times New Roman" w:eastAsia="方正仿宋_GBK"/>
          <w:color w:val="000000"/>
          <w:sz w:val="32"/>
          <w:szCs w:val="32"/>
        </w:rPr>
        <w:t>（十七）有关职责分工。</w:t>
      </w:r>
    </w:p>
    <w:p w14:paraId="5CE83BCD">
      <w:pPr>
        <w:snapToGrid w:val="0"/>
        <w:spacing w:line="594" w:lineRule="exact"/>
        <w:ind w:firstLine="640" w:firstLineChars="200"/>
        <w:rPr>
          <w:rFonts w:hint="eastAsia" w:ascii="Times New Roman" w:hAnsi="Times New Roman" w:eastAsia="方正仿宋_GBK"/>
          <w:color w:val="000000"/>
          <w:sz w:val="32"/>
          <w:szCs w:val="32"/>
        </w:rPr>
      </w:pPr>
      <w:r>
        <w:rPr>
          <w:rFonts w:hint="eastAsia" w:ascii="Times New Roman" w:hAnsi="Times New Roman" w:eastAsia="方正仿宋_GBK"/>
          <w:color w:val="000000"/>
          <w:sz w:val="32"/>
          <w:szCs w:val="32"/>
        </w:rPr>
        <w:t>1.</w:t>
      </w:r>
      <w:r>
        <w:rPr>
          <w:rFonts w:ascii="Times New Roman" w:hAnsi="Times New Roman" w:eastAsia="方正仿宋_GBK"/>
          <w:color w:val="000000"/>
          <w:sz w:val="32"/>
          <w:szCs w:val="32"/>
        </w:rPr>
        <w:t>与石柱土家族自治县卫生健康委员会的有关职责分工。石柱土家族自治县民政局负责统筹推进、督促指导、监督管理养老服务工作，拟订全县养老服务体系建设规划并组织实施，贯彻执行养老服务体系建设法规、政策和标准，承担老年人福利和特殊困难老年人救助工作。石柱土家族自治县卫生健康委员会组织实施应对人口老龄化、医养结合政策措施，综合协调、督促指导、组织推进老龄事业发展，承担老年疾病防治、老年人医疗照护、老年人心理健康和关怀服务等老年健康工作。</w:t>
      </w:r>
    </w:p>
    <w:p w14:paraId="54F7FD8E">
      <w:pPr>
        <w:spacing w:line="600" w:lineRule="exact"/>
        <w:ind w:firstLine="640" w:firstLineChars="200"/>
        <w:rPr>
          <w:rFonts w:hint="eastAsia" w:ascii="Times New Roman" w:hAnsi="Times New Roman" w:eastAsia="方正仿宋_GBK" w:cs="仿宋_GB2312"/>
          <w:color w:val="000000"/>
          <w:sz w:val="32"/>
          <w:szCs w:val="32"/>
        </w:rPr>
      </w:pPr>
      <w:r>
        <w:rPr>
          <w:rFonts w:hint="eastAsia" w:ascii="Times New Roman" w:hAnsi="Times New Roman" w:eastAsia="方正仿宋_GBK"/>
          <w:color w:val="000000"/>
          <w:sz w:val="32"/>
          <w:szCs w:val="32"/>
        </w:rPr>
        <w:t>2.与石柱县规划和自然资源局的有关职责分工。石柱县民政局会同石柱县规划和自然资源局组织编制公布行政区划信息的石柱县行政区划图。</w:t>
      </w:r>
    </w:p>
    <w:p w14:paraId="0F4955E4">
      <w:pPr>
        <w:spacing w:line="600" w:lineRule="exact"/>
        <w:ind w:firstLine="640" w:firstLineChars="200"/>
        <w:rPr>
          <w:rFonts w:hint="eastAsia" w:ascii="Times New Roman" w:hAnsi="Times New Roman" w:eastAsia="方正楷体_GBK" w:cs="方正楷体_GBK"/>
          <w:color w:val="000000"/>
          <w:sz w:val="32"/>
          <w:szCs w:val="32"/>
        </w:rPr>
      </w:pPr>
      <w:r>
        <w:rPr>
          <w:rFonts w:hint="eastAsia" w:ascii="Times New Roman" w:hAnsi="Times New Roman" w:eastAsia="方正楷体_GBK" w:cs="方正楷体_GBK"/>
          <w:color w:val="000000"/>
          <w:sz w:val="32"/>
          <w:szCs w:val="32"/>
        </w:rPr>
        <w:t>（二）单位构成</w:t>
      </w:r>
    </w:p>
    <w:p w14:paraId="52E8FAF5">
      <w:pPr>
        <w:spacing w:line="600" w:lineRule="exact"/>
        <w:ind w:firstLine="640" w:firstLineChars="200"/>
        <w:rPr>
          <w:rFonts w:hint="eastAsia" w:ascii="Times New Roman" w:hAnsi="Times New Roman" w:eastAsia="方正仿宋_GBK" w:cs="仿宋_GB2312"/>
          <w:color w:val="000000"/>
          <w:sz w:val="32"/>
          <w:szCs w:val="32"/>
        </w:rPr>
      </w:pPr>
      <w:r>
        <w:rPr>
          <w:rFonts w:ascii="Times New Roman" w:hAnsi="Times New Roman" w:eastAsia="方正仿宋_GBK"/>
          <w:color w:val="000000"/>
          <w:sz w:val="32"/>
          <w:szCs w:val="32"/>
        </w:rPr>
        <w:t>石柱土家族自治县民政局设下列内设机构有</w:t>
      </w:r>
      <w:r>
        <w:rPr>
          <w:rFonts w:hint="eastAsia" w:ascii="Times New Roman" w:hAnsi="Times New Roman" w:eastAsia="方正仿宋_GBK"/>
          <w:color w:val="000000"/>
          <w:sz w:val="32"/>
          <w:szCs w:val="32"/>
        </w:rPr>
        <w:t>：办公室、</w:t>
      </w:r>
      <w:r>
        <w:rPr>
          <w:rFonts w:ascii="Times New Roman" w:hAnsi="Times New Roman" w:eastAsia="方正仿宋_GBK"/>
          <w:color w:val="000000"/>
          <w:sz w:val="32"/>
          <w:szCs w:val="32"/>
        </w:rPr>
        <w:t>社会救助科</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指导最低生活保障及社会救助家庭经济状况信息核查认定工作</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养老福利科</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指导养老服务、老年人福利、儿童福利等供养机构管理工作</w:t>
      </w:r>
      <w:r>
        <w:rPr>
          <w:rFonts w:hint="eastAsia" w:ascii="Times New Roman" w:hAnsi="Times New Roman" w:eastAsia="方正仿宋_GBK"/>
          <w:color w:val="000000"/>
          <w:sz w:val="32"/>
          <w:szCs w:val="32"/>
        </w:rPr>
        <w:t>）、基</w:t>
      </w:r>
      <w:r>
        <w:rPr>
          <w:rFonts w:ascii="Times New Roman" w:hAnsi="Times New Roman" w:eastAsia="方正仿宋_GBK"/>
          <w:color w:val="000000"/>
          <w:sz w:val="32"/>
          <w:szCs w:val="32"/>
        </w:rPr>
        <w:t>层政权区划地名和社会工作科</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负责指导慈善协会工作</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社会事务科（行政许可服务科）</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指导婚姻登记机构和残疾人社会福利、殡葬服务、生活无着流浪乞讨人员救助管理机构相关工作</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机关党支部</w:t>
      </w:r>
      <w:r>
        <w:rPr>
          <w:rFonts w:hint="eastAsia" w:ascii="Times New Roman" w:hAnsi="Times New Roman" w:eastAsia="方正仿宋_GBK" w:cs="仿宋_GB2312"/>
          <w:color w:val="000000"/>
          <w:sz w:val="32"/>
          <w:szCs w:val="32"/>
        </w:rPr>
        <w:t>。</w:t>
      </w:r>
    </w:p>
    <w:p w14:paraId="5EEE5D9C">
      <w:pPr>
        <w:spacing w:line="600" w:lineRule="exact"/>
        <w:ind w:firstLine="640" w:firstLineChars="200"/>
        <w:rPr>
          <w:rFonts w:hint="eastAsia" w:ascii="Times New Roman" w:hAnsi="Times New Roman" w:eastAsia="方正黑体_GBK" w:cs="仿宋_GB2312"/>
          <w:color w:val="000000"/>
          <w:sz w:val="32"/>
          <w:szCs w:val="32"/>
        </w:rPr>
      </w:pPr>
      <w:r>
        <w:rPr>
          <w:rFonts w:hint="eastAsia" w:ascii="Times New Roman" w:hAnsi="Times New Roman" w:eastAsia="方正黑体_GBK" w:cs="仿宋_GB2312"/>
          <w:color w:val="000000"/>
          <w:sz w:val="32"/>
          <w:szCs w:val="32"/>
        </w:rPr>
        <w:t>二、单位收支总体情况</w:t>
      </w:r>
    </w:p>
    <w:p w14:paraId="7F366FAD">
      <w:pPr>
        <w:spacing w:line="600" w:lineRule="exact"/>
        <w:ind w:firstLine="640" w:firstLineChars="200"/>
        <w:rPr>
          <w:rFonts w:hint="eastAsia" w:ascii="Times New Roman" w:hAnsi="Times New Roman" w:eastAsia="方正仿宋_GBK" w:cs="仿宋_GB2312"/>
          <w:color w:val="000000"/>
          <w:sz w:val="32"/>
          <w:szCs w:val="32"/>
        </w:rPr>
      </w:pPr>
      <w:r>
        <w:rPr>
          <w:rFonts w:hint="eastAsia" w:ascii="Times New Roman" w:hAnsi="Times New Roman" w:eastAsia="方正楷体_GBK" w:cs="方正楷体_GBK"/>
          <w:color w:val="000000"/>
          <w:sz w:val="32"/>
          <w:szCs w:val="32"/>
        </w:rPr>
        <w:t>（一）收入预算</w:t>
      </w:r>
      <w:r>
        <w:rPr>
          <w:rFonts w:hint="eastAsia" w:ascii="Times New Roman" w:hAnsi="Times New Roman" w:eastAsia="方正仿宋_GBK" w:cs="仿宋_GB2312"/>
          <w:color w:val="000000"/>
          <w:sz w:val="32"/>
          <w:szCs w:val="32"/>
        </w:rPr>
        <w:t>：</w:t>
      </w:r>
      <w:r>
        <w:rPr>
          <w:rFonts w:ascii="Times New Roman" w:hAnsi="Times New Roman" w:eastAsia="方正仿宋_GBK"/>
          <w:color w:val="000000"/>
          <w:sz w:val="32"/>
          <w:szCs w:val="32"/>
        </w:rPr>
        <w:t>2024年年初预算数15666.45万元，其中：一般公共预算拨款15507.17万元，政府性基金预算拨款159.28万元，国有资本经营预算拨款</w:t>
      </w:r>
      <w:r>
        <w:rPr>
          <w:rFonts w:hint="eastAsia" w:ascii="Times New Roman" w:hAnsi="Times New Roman" w:eastAsia="方正仿宋_GBK"/>
          <w:color w:val="000000"/>
          <w:sz w:val="32"/>
          <w:szCs w:val="32"/>
        </w:rPr>
        <w:t>0</w:t>
      </w:r>
      <w:r>
        <w:rPr>
          <w:rFonts w:ascii="Times New Roman" w:hAnsi="Times New Roman" w:eastAsia="方正仿宋_GBK"/>
          <w:color w:val="000000"/>
          <w:sz w:val="32"/>
          <w:szCs w:val="32"/>
        </w:rPr>
        <w:t>万元，财政专户管理资金</w:t>
      </w:r>
      <w:r>
        <w:rPr>
          <w:rFonts w:hint="eastAsia" w:ascii="Times New Roman" w:hAnsi="Times New Roman" w:eastAsia="方正仿宋_GBK"/>
          <w:color w:val="000000"/>
          <w:sz w:val="32"/>
          <w:szCs w:val="32"/>
        </w:rPr>
        <w:t>0</w:t>
      </w:r>
      <w:r>
        <w:rPr>
          <w:rFonts w:ascii="Times New Roman" w:hAnsi="Times New Roman" w:eastAsia="方正仿宋_GBK"/>
          <w:color w:val="000000"/>
          <w:sz w:val="32"/>
          <w:szCs w:val="32"/>
        </w:rPr>
        <w:t>万元，事业收入资金</w:t>
      </w:r>
      <w:r>
        <w:rPr>
          <w:rFonts w:hint="eastAsia" w:ascii="Times New Roman" w:hAnsi="Times New Roman" w:eastAsia="方正仿宋_GBK"/>
          <w:color w:val="000000"/>
          <w:sz w:val="32"/>
          <w:szCs w:val="32"/>
        </w:rPr>
        <w:t>0</w:t>
      </w:r>
      <w:r>
        <w:rPr>
          <w:rFonts w:ascii="Times New Roman" w:hAnsi="Times New Roman" w:eastAsia="方正仿宋_GBK"/>
          <w:color w:val="000000"/>
          <w:sz w:val="32"/>
          <w:szCs w:val="32"/>
        </w:rPr>
        <w:t>万元，上级补助收入资金</w:t>
      </w:r>
      <w:r>
        <w:rPr>
          <w:rFonts w:hint="eastAsia" w:ascii="Times New Roman" w:hAnsi="Times New Roman" w:eastAsia="方正仿宋_GBK"/>
          <w:color w:val="000000"/>
          <w:sz w:val="32"/>
          <w:szCs w:val="32"/>
        </w:rPr>
        <w:t>0</w:t>
      </w:r>
      <w:r>
        <w:rPr>
          <w:rFonts w:ascii="Times New Roman" w:hAnsi="Times New Roman" w:eastAsia="方正仿宋_GBK"/>
          <w:color w:val="000000"/>
          <w:sz w:val="32"/>
          <w:szCs w:val="32"/>
        </w:rPr>
        <w:t>万元，附属单位上缴收入资金</w:t>
      </w:r>
      <w:r>
        <w:rPr>
          <w:rFonts w:hint="eastAsia" w:ascii="Times New Roman" w:hAnsi="Times New Roman" w:eastAsia="方正仿宋_GBK"/>
          <w:color w:val="000000"/>
          <w:sz w:val="32"/>
          <w:szCs w:val="32"/>
        </w:rPr>
        <w:t>0</w:t>
      </w:r>
      <w:r>
        <w:rPr>
          <w:rFonts w:ascii="Times New Roman" w:hAnsi="Times New Roman" w:eastAsia="方正仿宋_GBK"/>
          <w:color w:val="000000"/>
          <w:sz w:val="32"/>
          <w:szCs w:val="32"/>
        </w:rPr>
        <w:t>万元，事业单位经营收入资金</w:t>
      </w:r>
      <w:r>
        <w:rPr>
          <w:rFonts w:hint="eastAsia" w:ascii="Times New Roman" w:hAnsi="Times New Roman" w:eastAsia="方正仿宋_GBK"/>
          <w:color w:val="000000"/>
          <w:sz w:val="32"/>
          <w:szCs w:val="32"/>
        </w:rPr>
        <w:t>0</w:t>
      </w:r>
      <w:r>
        <w:rPr>
          <w:rFonts w:ascii="Times New Roman" w:hAnsi="Times New Roman" w:eastAsia="方正仿宋_GBK"/>
          <w:color w:val="000000"/>
          <w:sz w:val="32"/>
          <w:szCs w:val="32"/>
        </w:rPr>
        <w:t>万元，</w:t>
      </w:r>
      <w:r>
        <w:rPr>
          <w:rFonts w:hint="eastAsia" w:ascii="Times New Roman" w:hAnsi="Times New Roman" w:eastAsia="方正仿宋_GBK"/>
          <w:color w:val="000000"/>
          <w:sz w:val="32"/>
          <w:szCs w:val="32"/>
        </w:rPr>
        <w:t>上年</w:t>
      </w:r>
      <w:r>
        <w:rPr>
          <w:rFonts w:ascii="Times New Roman" w:hAnsi="Times New Roman" w:eastAsia="方正仿宋_GBK"/>
          <w:color w:val="000000"/>
          <w:sz w:val="32"/>
          <w:szCs w:val="32"/>
        </w:rPr>
        <w:t>结转资金</w:t>
      </w:r>
      <w:r>
        <w:rPr>
          <w:rFonts w:hint="eastAsia" w:ascii="Times New Roman" w:hAnsi="Times New Roman" w:eastAsia="方正仿宋_GBK"/>
          <w:color w:val="000000"/>
          <w:sz w:val="32"/>
          <w:szCs w:val="32"/>
        </w:rPr>
        <w:t>385.23</w:t>
      </w:r>
      <w:r>
        <w:rPr>
          <w:rFonts w:ascii="Times New Roman" w:hAnsi="Times New Roman" w:eastAsia="方正仿宋_GBK"/>
          <w:color w:val="000000"/>
          <w:sz w:val="32"/>
          <w:szCs w:val="32"/>
        </w:rPr>
        <w:t>万元；收入</w:t>
      </w:r>
      <w:r>
        <w:rPr>
          <w:rFonts w:hint="eastAsia" w:ascii="Times New Roman" w:hAnsi="Times New Roman" w:eastAsia="方正仿宋_GBK"/>
          <w:color w:val="000000"/>
          <w:sz w:val="32"/>
          <w:szCs w:val="32"/>
        </w:rPr>
        <w:t>比2023年</w:t>
      </w:r>
      <w:r>
        <w:rPr>
          <w:rFonts w:ascii="Times New Roman" w:hAnsi="Times New Roman" w:eastAsia="方正仿宋_GBK"/>
          <w:color w:val="000000"/>
          <w:sz w:val="32"/>
          <w:szCs w:val="32"/>
        </w:rPr>
        <w:t>减少</w:t>
      </w:r>
      <w:r>
        <w:rPr>
          <w:rFonts w:hint="eastAsia" w:ascii="Times New Roman" w:hAnsi="Times New Roman" w:eastAsia="方正仿宋_GBK"/>
          <w:color w:val="000000"/>
          <w:sz w:val="32"/>
          <w:szCs w:val="32"/>
        </w:rPr>
        <w:t>1187.49</w:t>
      </w:r>
      <w:r>
        <w:rPr>
          <w:rFonts w:ascii="Times New Roman" w:hAnsi="Times New Roman" w:eastAsia="方正仿宋_GBK"/>
          <w:color w:val="000000"/>
          <w:sz w:val="32"/>
          <w:szCs w:val="32"/>
        </w:rPr>
        <w:t>万元，主要是一般公共预算拨款减少</w:t>
      </w:r>
      <w:r>
        <w:rPr>
          <w:rFonts w:hint="eastAsia" w:ascii="Times New Roman" w:hAnsi="Times New Roman" w:eastAsia="方正仿宋_GBK"/>
          <w:color w:val="000000"/>
          <w:sz w:val="32"/>
          <w:szCs w:val="32"/>
        </w:rPr>
        <w:t>974.8</w:t>
      </w:r>
      <w:r>
        <w:rPr>
          <w:rFonts w:ascii="Times New Roman" w:hAnsi="Times New Roman" w:eastAsia="方正仿宋_GBK"/>
          <w:color w:val="000000"/>
          <w:sz w:val="32"/>
          <w:szCs w:val="32"/>
        </w:rPr>
        <w:t>万元</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政府性基金预算拨款减少</w:t>
      </w:r>
      <w:r>
        <w:rPr>
          <w:rFonts w:hint="eastAsia" w:ascii="Times New Roman" w:hAnsi="Times New Roman" w:eastAsia="方正仿宋_GBK"/>
          <w:color w:val="000000"/>
          <w:sz w:val="32"/>
          <w:szCs w:val="32"/>
        </w:rPr>
        <w:t>212.69</w:t>
      </w:r>
      <w:r>
        <w:rPr>
          <w:rFonts w:ascii="Times New Roman" w:hAnsi="Times New Roman" w:eastAsia="方正仿宋_GBK"/>
          <w:color w:val="000000"/>
          <w:sz w:val="32"/>
          <w:szCs w:val="32"/>
        </w:rPr>
        <w:t>万元。</w:t>
      </w:r>
    </w:p>
    <w:p w14:paraId="6F0C97FA">
      <w:pPr>
        <w:spacing w:line="600" w:lineRule="exact"/>
        <w:ind w:firstLine="640" w:firstLineChars="200"/>
        <w:rPr>
          <w:rFonts w:hint="eastAsia" w:ascii="Times New Roman" w:hAnsi="Times New Roman" w:eastAsia="方正仿宋_GBK" w:cs="仿宋_GB2312"/>
          <w:color w:val="000000"/>
          <w:sz w:val="32"/>
          <w:szCs w:val="32"/>
        </w:rPr>
      </w:pPr>
      <w:r>
        <w:rPr>
          <w:rFonts w:hint="eastAsia" w:ascii="Times New Roman" w:hAnsi="Times New Roman" w:eastAsia="方正楷体_GBK" w:cs="方正楷体_GBK"/>
          <w:color w:val="000000"/>
          <w:sz w:val="32"/>
          <w:szCs w:val="32"/>
        </w:rPr>
        <w:t>（二）支出预算</w:t>
      </w:r>
      <w:r>
        <w:rPr>
          <w:rFonts w:hint="eastAsia" w:ascii="Times New Roman" w:hAnsi="Times New Roman" w:eastAsia="方正仿宋_GBK" w:cs="仿宋_GB2312"/>
          <w:color w:val="000000"/>
          <w:sz w:val="32"/>
          <w:szCs w:val="32"/>
        </w:rPr>
        <w:t>：</w:t>
      </w:r>
      <w:r>
        <w:rPr>
          <w:rFonts w:ascii="Times New Roman" w:hAnsi="Times New Roman" w:eastAsia="方正仿宋_GBK"/>
          <w:color w:val="000000"/>
          <w:sz w:val="32"/>
          <w:szCs w:val="32"/>
        </w:rPr>
        <w:t>2024年年初预算数15666.45万元，其中：社会保障和就业支出15469.45万元，卫生健康支出21.52万元，住房保障支出16.21万元；支出</w:t>
      </w:r>
      <w:r>
        <w:rPr>
          <w:rFonts w:hint="eastAsia" w:ascii="Times New Roman" w:hAnsi="Times New Roman" w:eastAsia="方正仿宋_GBK"/>
          <w:color w:val="000000"/>
          <w:sz w:val="32"/>
          <w:szCs w:val="32"/>
        </w:rPr>
        <w:t>比2023年</w:t>
      </w:r>
      <w:r>
        <w:rPr>
          <w:rFonts w:ascii="Times New Roman" w:hAnsi="Times New Roman" w:eastAsia="方正仿宋_GBK"/>
          <w:color w:val="000000"/>
          <w:sz w:val="32"/>
          <w:szCs w:val="32"/>
        </w:rPr>
        <w:t>减少</w:t>
      </w:r>
      <w:r>
        <w:rPr>
          <w:rFonts w:hint="eastAsia" w:ascii="Times New Roman" w:hAnsi="Times New Roman" w:eastAsia="方正仿宋_GBK"/>
          <w:color w:val="000000"/>
          <w:sz w:val="32"/>
          <w:szCs w:val="32"/>
        </w:rPr>
        <w:t>1187.49</w:t>
      </w:r>
      <w:r>
        <w:rPr>
          <w:rFonts w:ascii="Times New Roman" w:hAnsi="Times New Roman" w:eastAsia="方正仿宋_GBK"/>
          <w:color w:val="000000"/>
          <w:sz w:val="32"/>
          <w:szCs w:val="32"/>
        </w:rPr>
        <w:t>万元，主要是基本支出</w:t>
      </w:r>
      <w:r>
        <w:rPr>
          <w:rFonts w:hint="eastAsia" w:ascii="Times New Roman" w:hAnsi="Times New Roman" w:eastAsia="方正仿宋_GBK"/>
          <w:color w:val="000000"/>
          <w:sz w:val="32"/>
          <w:szCs w:val="32"/>
        </w:rPr>
        <w:t>减少49.49</w:t>
      </w:r>
      <w:r>
        <w:rPr>
          <w:rFonts w:ascii="Times New Roman" w:hAnsi="Times New Roman" w:eastAsia="方正仿宋_GBK"/>
          <w:color w:val="000000"/>
          <w:sz w:val="32"/>
          <w:szCs w:val="32"/>
        </w:rPr>
        <w:t>万元，项目支出</w:t>
      </w:r>
      <w:r>
        <w:rPr>
          <w:rFonts w:hint="eastAsia" w:ascii="Times New Roman" w:hAnsi="Times New Roman" w:eastAsia="方正仿宋_GBK"/>
          <w:color w:val="000000"/>
          <w:sz w:val="32"/>
          <w:szCs w:val="32"/>
        </w:rPr>
        <w:t>减少1137.99</w:t>
      </w:r>
      <w:r>
        <w:rPr>
          <w:rFonts w:ascii="Times New Roman" w:hAnsi="Times New Roman" w:eastAsia="方正仿宋_GBK"/>
          <w:color w:val="000000"/>
          <w:sz w:val="32"/>
          <w:szCs w:val="32"/>
        </w:rPr>
        <w:t>万元。</w:t>
      </w:r>
    </w:p>
    <w:p w14:paraId="0C8EFDA7">
      <w:pPr>
        <w:spacing w:line="600" w:lineRule="exact"/>
        <w:ind w:firstLine="640" w:firstLineChars="200"/>
        <w:rPr>
          <w:rFonts w:hint="eastAsia" w:ascii="Times New Roman" w:hAnsi="Times New Roman" w:eastAsia="方正仿宋_GBK" w:cs="仿宋_GB2312"/>
          <w:color w:val="000000"/>
          <w:sz w:val="32"/>
          <w:szCs w:val="32"/>
        </w:rPr>
      </w:pPr>
      <w:r>
        <w:rPr>
          <w:rFonts w:hint="eastAsia" w:ascii="Times New Roman" w:hAnsi="Times New Roman" w:eastAsia="方正黑体_GBK" w:cs="仿宋_GB2312"/>
          <w:color w:val="000000"/>
          <w:sz w:val="32"/>
          <w:szCs w:val="32"/>
        </w:rPr>
        <w:t>三</w:t>
      </w:r>
      <w:r>
        <w:rPr>
          <w:rFonts w:ascii="Times New Roman" w:hAnsi="Times New Roman" w:eastAsia="方正黑体_GBK" w:cs="仿宋_GB2312"/>
          <w:color w:val="000000"/>
          <w:sz w:val="32"/>
          <w:szCs w:val="32"/>
        </w:rPr>
        <w:t>、</w:t>
      </w:r>
      <w:r>
        <w:rPr>
          <w:rFonts w:hint="eastAsia" w:ascii="Times New Roman" w:hAnsi="Times New Roman" w:eastAsia="方正黑体_GBK" w:cs="仿宋_GB2312"/>
          <w:color w:val="000000"/>
          <w:sz w:val="32"/>
          <w:szCs w:val="32"/>
        </w:rPr>
        <w:t>单位预算情况说明</w:t>
      </w:r>
    </w:p>
    <w:p w14:paraId="47E18A35">
      <w:pPr>
        <w:spacing w:line="60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2024年一般公共预算财政拨款收入15507.17万元，一般公共预算财政拨款支出15507.17万元，比2023年减少</w:t>
      </w:r>
      <w:r>
        <w:rPr>
          <w:rFonts w:hint="eastAsia" w:ascii="Times New Roman" w:hAnsi="Times New Roman" w:eastAsia="方正仿宋_GBK"/>
          <w:color w:val="000000"/>
          <w:sz w:val="32"/>
          <w:szCs w:val="32"/>
        </w:rPr>
        <w:t>974.8</w:t>
      </w:r>
      <w:r>
        <w:rPr>
          <w:rFonts w:ascii="Times New Roman" w:hAnsi="Times New Roman" w:eastAsia="方正仿宋_GBK"/>
          <w:color w:val="000000"/>
          <w:sz w:val="32"/>
          <w:szCs w:val="32"/>
        </w:rPr>
        <w:t>万元。其中：基本支出</w:t>
      </w:r>
      <w:r>
        <w:rPr>
          <w:rFonts w:hint="eastAsia" w:ascii="Times New Roman" w:hAnsi="Times New Roman" w:eastAsia="方正仿宋_GBK"/>
          <w:color w:val="000000"/>
          <w:sz w:val="32"/>
          <w:szCs w:val="32"/>
        </w:rPr>
        <w:t>309.08</w:t>
      </w:r>
      <w:r>
        <w:rPr>
          <w:rFonts w:ascii="Times New Roman" w:hAnsi="Times New Roman" w:eastAsia="方正仿宋_GBK"/>
          <w:color w:val="000000"/>
          <w:sz w:val="32"/>
          <w:szCs w:val="32"/>
        </w:rPr>
        <w:t>万元，主要用于保障</w:t>
      </w:r>
      <w:r>
        <w:rPr>
          <w:rFonts w:hint="eastAsia" w:ascii="Times New Roman" w:hAnsi="Times New Roman" w:eastAsia="方正仿宋_GBK"/>
          <w:color w:val="000000"/>
          <w:sz w:val="32"/>
          <w:szCs w:val="32"/>
        </w:rPr>
        <w:t>民政局机关</w:t>
      </w:r>
      <w:r>
        <w:rPr>
          <w:rFonts w:ascii="Times New Roman" w:hAnsi="Times New Roman" w:eastAsia="方正仿宋_GBK"/>
          <w:color w:val="000000"/>
          <w:sz w:val="32"/>
          <w:szCs w:val="32"/>
        </w:rPr>
        <w:t>在职人员工资福利及社会保险缴费、离休人员离休费、退休人员补助等，保障部门正常运转的各项商品服务支出，比2023年减少</w:t>
      </w:r>
      <w:r>
        <w:rPr>
          <w:rFonts w:hint="eastAsia" w:ascii="Times New Roman" w:hAnsi="Times New Roman" w:eastAsia="方正仿宋_GBK"/>
          <w:color w:val="000000"/>
          <w:sz w:val="32"/>
          <w:szCs w:val="32"/>
        </w:rPr>
        <w:t>49.49</w:t>
      </w:r>
      <w:r>
        <w:rPr>
          <w:rFonts w:ascii="Times New Roman" w:hAnsi="Times New Roman" w:eastAsia="方正仿宋_GBK"/>
          <w:color w:val="000000"/>
          <w:sz w:val="32"/>
          <w:szCs w:val="32"/>
        </w:rPr>
        <w:t>万元，主要原因是</w:t>
      </w:r>
      <w:r>
        <w:rPr>
          <w:rFonts w:hint="eastAsia" w:ascii="Times New Roman" w:hAnsi="Times New Roman" w:eastAsia="方正仿宋_GBK"/>
          <w:color w:val="000000"/>
          <w:sz w:val="32"/>
          <w:szCs w:val="32"/>
        </w:rPr>
        <w:t>机关</w:t>
      </w:r>
      <w:r>
        <w:rPr>
          <w:rFonts w:ascii="Times New Roman" w:hAnsi="Times New Roman" w:eastAsia="方正仿宋_GBK"/>
          <w:color w:val="000000"/>
          <w:sz w:val="32"/>
          <w:szCs w:val="32"/>
        </w:rPr>
        <w:t>在职人员因退休减少</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人员工资及保险减少；项目支出15198.1万元，主要用于</w:t>
      </w:r>
      <w:r>
        <w:rPr>
          <w:rFonts w:hint="eastAsia" w:ascii="Times New Roman" w:hAnsi="Times New Roman" w:eastAsia="方正仿宋_GBK"/>
          <w:color w:val="000000"/>
          <w:sz w:val="32"/>
          <w:szCs w:val="32"/>
        </w:rPr>
        <w:t>低保、</w:t>
      </w:r>
      <w:r>
        <w:rPr>
          <w:rFonts w:ascii="Times New Roman" w:hAnsi="Times New Roman" w:eastAsia="方正仿宋_GBK"/>
          <w:color w:val="000000"/>
          <w:sz w:val="32"/>
          <w:szCs w:val="32"/>
        </w:rPr>
        <w:t>特困</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残疾人</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孤儿等重点</w:t>
      </w:r>
      <w:r>
        <w:rPr>
          <w:rFonts w:hint="eastAsia" w:ascii="Times New Roman" w:hAnsi="Times New Roman" w:eastAsia="方正仿宋_GBK"/>
          <w:color w:val="000000"/>
          <w:sz w:val="32"/>
          <w:szCs w:val="32"/>
        </w:rPr>
        <w:t>民政</w:t>
      </w:r>
      <w:r>
        <w:rPr>
          <w:rFonts w:ascii="Times New Roman" w:hAnsi="Times New Roman" w:eastAsia="方正仿宋_GBK"/>
          <w:color w:val="000000"/>
          <w:sz w:val="32"/>
          <w:szCs w:val="32"/>
        </w:rPr>
        <w:t>对象的基本生活救助，比2023年减少</w:t>
      </w:r>
      <w:r>
        <w:rPr>
          <w:rFonts w:hint="eastAsia" w:ascii="Times New Roman" w:hAnsi="Times New Roman" w:eastAsia="方正仿宋_GBK"/>
          <w:color w:val="000000"/>
          <w:sz w:val="32"/>
          <w:szCs w:val="32"/>
        </w:rPr>
        <w:t>925.3</w:t>
      </w:r>
      <w:r>
        <w:rPr>
          <w:rFonts w:ascii="Times New Roman" w:hAnsi="Times New Roman" w:eastAsia="方正仿宋_GBK"/>
          <w:color w:val="000000"/>
          <w:sz w:val="32"/>
          <w:szCs w:val="32"/>
        </w:rPr>
        <w:t>万元，主要原因是一是</w:t>
      </w:r>
      <w:r>
        <w:rPr>
          <w:rFonts w:hint="eastAsia" w:ascii="Times New Roman" w:hAnsi="Times New Roman" w:eastAsia="方正仿宋_GBK"/>
          <w:color w:val="000000"/>
          <w:sz w:val="32"/>
          <w:szCs w:val="32"/>
        </w:rPr>
        <w:t>部分</w:t>
      </w:r>
      <w:r>
        <w:rPr>
          <w:rFonts w:ascii="Times New Roman" w:hAnsi="Times New Roman" w:eastAsia="方正仿宋_GBK"/>
          <w:color w:val="000000"/>
          <w:sz w:val="32"/>
          <w:szCs w:val="32"/>
        </w:rPr>
        <w:t>民政对象的人数减少</w:t>
      </w:r>
      <w:r>
        <w:rPr>
          <w:rFonts w:hint="eastAsia" w:ascii="Times New Roman" w:hAnsi="Times New Roman" w:eastAsia="方正仿宋_GBK"/>
          <w:color w:val="000000"/>
          <w:sz w:val="32"/>
          <w:szCs w:val="32"/>
        </w:rPr>
        <w:t>，救济费减少；二是2023年预算有债券资金项目，2024年未做债券资金项目预算</w:t>
      </w:r>
      <w:r>
        <w:rPr>
          <w:rFonts w:ascii="Times New Roman" w:hAnsi="Times New Roman" w:eastAsia="方正仿宋_GBK"/>
          <w:color w:val="000000"/>
          <w:sz w:val="32"/>
          <w:szCs w:val="32"/>
        </w:rPr>
        <w:t>。</w:t>
      </w:r>
    </w:p>
    <w:p w14:paraId="0D5A5E97">
      <w:pPr>
        <w:spacing w:line="60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2024年政府性基金预算财政拨款收入159.28万元，政府性基金预算支出159.28万元，主要</w:t>
      </w:r>
      <w:r>
        <w:rPr>
          <w:rFonts w:hint="eastAsia" w:ascii="Times New Roman" w:hAnsi="Times New Roman" w:eastAsia="方正仿宋_GBK"/>
          <w:color w:val="000000"/>
          <w:sz w:val="32"/>
          <w:szCs w:val="32"/>
        </w:rPr>
        <w:t>用于养老服务中心建设以及利民惠民的社会工作项目等</w:t>
      </w:r>
      <w:r>
        <w:rPr>
          <w:rFonts w:ascii="Times New Roman" w:hAnsi="Times New Roman" w:eastAsia="方正仿宋_GBK"/>
          <w:color w:val="000000"/>
          <w:sz w:val="32"/>
          <w:szCs w:val="32"/>
        </w:rPr>
        <w:t>，比2023年减少</w:t>
      </w:r>
      <w:r>
        <w:rPr>
          <w:rFonts w:hint="eastAsia" w:ascii="Times New Roman" w:hAnsi="Times New Roman" w:eastAsia="方正仿宋_GBK"/>
          <w:color w:val="000000"/>
          <w:sz w:val="32"/>
          <w:szCs w:val="32"/>
        </w:rPr>
        <w:t>212.69</w:t>
      </w:r>
      <w:r>
        <w:rPr>
          <w:rFonts w:ascii="Times New Roman" w:hAnsi="Times New Roman" w:eastAsia="方正仿宋_GBK"/>
          <w:color w:val="000000"/>
          <w:sz w:val="32"/>
          <w:szCs w:val="32"/>
        </w:rPr>
        <w:t>万元，主要原因是</w:t>
      </w:r>
      <w:r>
        <w:rPr>
          <w:rFonts w:hint="eastAsia" w:ascii="Times New Roman" w:hAnsi="Times New Roman" w:eastAsia="方正仿宋_GBK"/>
          <w:color w:val="000000"/>
          <w:sz w:val="32"/>
          <w:szCs w:val="32"/>
        </w:rPr>
        <w:t>2023年结转较多，2024年暂无结转。</w:t>
      </w:r>
    </w:p>
    <w:p w14:paraId="199A7521">
      <w:pPr>
        <w:spacing w:line="600" w:lineRule="exact"/>
        <w:ind w:firstLine="640" w:firstLineChars="200"/>
        <w:rPr>
          <w:rFonts w:hint="eastAsia" w:ascii="Times New Roman" w:hAnsi="Times New Roman" w:eastAsia="方正仿宋_GBK" w:cs="仿宋_GB2312"/>
          <w:color w:val="000000"/>
          <w:sz w:val="32"/>
          <w:szCs w:val="32"/>
        </w:rPr>
      </w:pPr>
      <w:r>
        <w:rPr>
          <w:rFonts w:hint="eastAsia" w:ascii="Times New Roman" w:hAnsi="Times New Roman" w:eastAsia="方正黑体_GBK" w:cs="仿宋_GB2312"/>
          <w:color w:val="000000"/>
          <w:sz w:val="32"/>
          <w:szCs w:val="32"/>
        </w:rPr>
        <w:t>四</w:t>
      </w:r>
      <w:r>
        <w:rPr>
          <w:rFonts w:ascii="Times New Roman" w:hAnsi="Times New Roman" w:eastAsia="方正黑体_GBK" w:cs="仿宋_GB2312"/>
          <w:color w:val="000000"/>
          <w:sz w:val="32"/>
          <w:szCs w:val="32"/>
        </w:rPr>
        <w:t>、</w:t>
      </w:r>
      <w:r>
        <w:rPr>
          <w:rFonts w:hint="eastAsia" w:ascii="Times New Roman" w:hAnsi="Times New Roman" w:eastAsia="方正黑体_GBK" w:cs="仿宋_GB2312"/>
          <w:color w:val="000000"/>
          <w:sz w:val="32"/>
          <w:szCs w:val="32"/>
        </w:rPr>
        <w:t>“三公”经费情况说明</w:t>
      </w:r>
    </w:p>
    <w:p w14:paraId="66B4177F">
      <w:pPr>
        <w:spacing w:line="60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2024年</w:t>
      </w:r>
      <w:r>
        <w:rPr>
          <w:rFonts w:hint="eastAsia" w:ascii="Times New Roman" w:hAnsi="Times New Roman" w:eastAsia="方正仿宋_GBK"/>
          <w:color w:val="000000"/>
          <w:sz w:val="32"/>
          <w:szCs w:val="32"/>
          <w:lang w:eastAsia="zh-CN"/>
        </w:rPr>
        <w:t>“</w:t>
      </w:r>
      <w:r>
        <w:rPr>
          <w:rFonts w:ascii="Times New Roman" w:hAnsi="Times New Roman" w:eastAsia="方正仿宋_GBK"/>
          <w:color w:val="000000"/>
          <w:sz w:val="32"/>
          <w:szCs w:val="32"/>
        </w:rPr>
        <w:t>三公</w:t>
      </w:r>
      <w:r>
        <w:rPr>
          <w:rFonts w:hint="eastAsia" w:ascii="Times New Roman" w:hAnsi="Times New Roman" w:eastAsia="方正仿宋_GBK"/>
          <w:color w:val="000000"/>
          <w:sz w:val="32"/>
          <w:szCs w:val="32"/>
          <w:lang w:eastAsia="zh-CN"/>
        </w:rPr>
        <w:t>”</w:t>
      </w:r>
      <w:r>
        <w:rPr>
          <w:rFonts w:ascii="Times New Roman" w:hAnsi="Times New Roman" w:eastAsia="方正仿宋_GBK"/>
          <w:color w:val="000000"/>
          <w:sz w:val="32"/>
          <w:szCs w:val="32"/>
        </w:rPr>
        <w:t>经费预算</w:t>
      </w:r>
      <w:r>
        <w:rPr>
          <w:rFonts w:hint="eastAsia" w:ascii="Times New Roman" w:hAnsi="Times New Roman" w:eastAsia="方正仿宋_GBK"/>
          <w:color w:val="000000"/>
          <w:sz w:val="32"/>
          <w:szCs w:val="32"/>
        </w:rPr>
        <w:t>8.5</w:t>
      </w:r>
      <w:r>
        <w:rPr>
          <w:rFonts w:ascii="Times New Roman" w:hAnsi="Times New Roman" w:eastAsia="方正仿宋_GBK"/>
          <w:color w:val="000000"/>
          <w:sz w:val="32"/>
          <w:szCs w:val="32"/>
        </w:rPr>
        <w:t>万元，比2023年增加</w:t>
      </w:r>
      <w:r>
        <w:rPr>
          <w:rFonts w:hint="eastAsia" w:ascii="Times New Roman" w:hAnsi="Times New Roman" w:eastAsia="方正仿宋_GBK"/>
          <w:color w:val="000000"/>
          <w:sz w:val="32"/>
          <w:szCs w:val="32"/>
        </w:rPr>
        <w:t>3.88</w:t>
      </w:r>
      <w:r>
        <w:rPr>
          <w:rFonts w:ascii="Times New Roman" w:hAnsi="Times New Roman" w:eastAsia="方正仿宋_GBK"/>
          <w:color w:val="000000"/>
          <w:sz w:val="32"/>
          <w:szCs w:val="32"/>
        </w:rPr>
        <w:t>万元。其中：公务接待费</w:t>
      </w:r>
      <w:r>
        <w:rPr>
          <w:rFonts w:hint="eastAsia" w:ascii="Times New Roman" w:hAnsi="Times New Roman" w:eastAsia="方正仿宋_GBK"/>
          <w:color w:val="000000"/>
          <w:sz w:val="32"/>
          <w:szCs w:val="32"/>
        </w:rPr>
        <w:t>0.98</w:t>
      </w:r>
      <w:r>
        <w:rPr>
          <w:rFonts w:ascii="Times New Roman" w:hAnsi="Times New Roman" w:eastAsia="方正仿宋_GBK"/>
          <w:color w:val="000000"/>
          <w:sz w:val="32"/>
          <w:szCs w:val="32"/>
        </w:rPr>
        <w:t>万元，</w:t>
      </w:r>
      <w:r>
        <w:rPr>
          <w:rFonts w:hint="eastAsia" w:ascii="Times New Roman" w:hAnsi="Times New Roman" w:eastAsia="方正仿宋_GBK"/>
          <w:color w:val="000000"/>
          <w:sz w:val="32"/>
          <w:szCs w:val="32"/>
        </w:rPr>
        <w:t>与</w:t>
      </w:r>
      <w:r>
        <w:rPr>
          <w:rFonts w:ascii="Times New Roman" w:hAnsi="Times New Roman" w:eastAsia="方正仿宋_GBK"/>
          <w:color w:val="000000"/>
          <w:sz w:val="32"/>
          <w:szCs w:val="32"/>
        </w:rPr>
        <w:t>上年一致</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公务用车运行维护费</w:t>
      </w:r>
      <w:r>
        <w:rPr>
          <w:rFonts w:hint="eastAsia" w:ascii="Times New Roman" w:hAnsi="Times New Roman" w:eastAsia="方正仿宋_GBK"/>
          <w:color w:val="000000"/>
          <w:sz w:val="32"/>
          <w:szCs w:val="32"/>
        </w:rPr>
        <w:t>7.5</w:t>
      </w:r>
      <w:r>
        <w:rPr>
          <w:rFonts w:ascii="Times New Roman" w:hAnsi="Times New Roman" w:eastAsia="方正仿宋_GBK"/>
          <w:color w:val="000000"/>
          <w:sz w:val="32"/>
          <w:szCs w:val="32"/>
        </w:rPr>
        <w:t>万元，比2023年增加</w:t>
      </w:r>
      <w:r>
        <w:rPr>
          <w:rFonts w:hint="eastAsia" w:ascii="Times New Roman" w:hAnsi="Times New Roman" w:eastAsia="方正仿宋_GBK"/>
          <w:color w:val="000000"/>
          <w:sz w:val="32"/>
          <w:szCs w:val="32"/>
        </w:rPr>
        <w:t>3.88</w:t>
      </w:r>
      <w:r>
        <w:rPr>
          <w:rFonts w:ascii="Times New Roman" w:hAnsi="Times New Roman" w:eastAsia="方正仿宋_GBK"/>
          <w:color w:val="000000"/>
          <w:sz w:val="32"/>
          <w:szCs w:val="32"/>
        </w:rPr>
        <w:t>万元，</w:t>
      </w:r>
      <w:r>
        <w:rPr>
          <w:rFonts w:hint="eastAsia" w:ascii="Times New Roman" w:hAnsi="Times New Roman" w:eastAsia="方正仿宋_GBK"/>
          <w:color w:val="000000"/>
          <w:sz w:val="32"/>
          <w:szCs w:val="32"/>
          <w:lang w:eastAsia="zh-CN"/>
        </w:rPr>
        <w:t>主要原因是</w:t>
      </w:r>
      <w:r>
        <w:rPr>
          <w:rFonts w:hint="eastAsia" w:ascii="Times New Roman" w:hAnsi="Times New Roman" w:eastAsia="方正仿宋_GBK"/>
          <w:color w:val="000000"/>
          <w:sz w:val="32"/>
          <w:szCs w:val="32"/>
        </w:rPr>
        <w:t>加强民政对象的精准救助，需加大对民政对象的核实，增加公车开支</w:t>
      </w:r>
      <w:r>
        <w:rPr>
          <w:rFonts w:ascii="Times New Roman" w:hAnsi="Times New Roman" w:eastAsia="方正仿宋_GBK"/>
          <w:color w:val="000000"/>
          <w:sz w:val="32"/>
          <w:szCs w:val="32"/>
        </w:rPr>
        <w:t>。</w:t>
      </w:r>
    </w:p>
    <w:p w14:paraId="5978C5AA">
      <w:pPr>
        <w:spacing w:line="600" w:lineRule="exact"/>
        <w:ind w:firstLine="640" w:firstLineChars="200"/>
        <w:rPr>
          <w:rFonts w:hint="eastAsia" w:ascii="Times New Roman" w:hAnsi="Times New Roman" w:eastAsia="方正黑体_GBK" w:cs="仿宋_GB2312"/>
          <w:color w:val="000000"/>
          <w:sz w:val="32"/>
          <w:szCs w:val="32"/>
        </w:rPr>
      </w:pPr>
      <w:r>
        <w:rPr>
          <w:rFonts w:hint="eastAsia" w:ascii="Times New Roman" w:hAnsi="Times New Roman" w:eastAsia="方正黑体_GBK" w:cs="仿宋_GB2312"/>
          <w:color w:val="000000"/>
          <w:sz w:val="32"/>
          <w:szCs w:val="32"/>
        </w:rPr>
        <w:t>五、其他重要事项的情况说明</w:t>
      </w:r>
    </w:p>
    <w:p w14:paraId="56029DA6">
      <w:pPr>
        <w:ind w:firstLine="640" w:firstLineChars="200"/>
        <w:rPr>
          <w:rFonts w:hint="eastAsia" w:ascii="Times New Roman" w:hAnsi="Times New Roman" w:eastAsia="方正仿宋_GBK" w:cs="仿宋_GB2312"/>
          <w:color w:val="000000"/>
          <w:sz w:val="32"/>
          <w:szCs w:val="32"/>
        </w:rPr>
      </w:pPr>
      <w:r>
        <w:rPr>
          <w:rFonts w:hint="eastAsia" w:ascii="Times New Roman" w:hAnsi="Times New Roman" w:eastAsia="方正楷体_GBK" w:cs="方正楷体_GBK"/>
          <w:color w:val="000000"/>
          <w:sz w:val="32"/>
          <w:szCs w:val="32"/>
        </w:rPr>
        <w:t>（一）机关运行经费</w:t>
      </w:r>
      <w:r>
        <w:rPr>
          <w:rFonts w:hint="eastAsia" w:ascii="Times New Roman" w:hAnsi="Times New Roman" w:eastAsia="方正仿宋_GBK" w:cs="仿宋_GB2312"/>
          <w:color w:val="000000"/>
          <w:sz w:val="32"/>
          <w:szCs w:val="32"/>
        </w:rPr>
        <w:t>。</w:t>
      </w:r>
      <w:r>
        <w:rPr>
          <w:rFonts w:ascii="Times New Roman" w:hAnsi="Times New Roman" w:eastAsia="方正仿宋_GBK"/>
          <w:color w:val="000000"/>
          <w:sz w:val="32"/>
          <w:szCs w:val="32"/>
        </w:rPr>
        <w:t>2024年一般公共预算财政拨款运行经费</w:t>
      </w:r>
      <w:r>
        <w:rPr>
          <w:rFonts w:hint="eastAsia" w:ascii="Times New Roman" w:hAnsi="Times New Roman" w:eastAsia="方正仿宋_GBK"/>
          <w:color w:val="000000"/>
          <w:sz w:val="32"/>
          <w:szCs w:val="32"/>
        </w:rPr>
        <w:t>39.14</w:t>
      </w:r>
      <w:r>
        <w:rPr>
          <w:rFonts w:ascii="Times New Roman" w:hAnsi="Times New Roman" w:eastAsia="方正仿宋_GBK"/>
          <w:color w:val="000000"/>
          <w:sz w:val="32"/>
          <w:szCs w:val="32"/>
        </w:rPr>
        <w:t>万元，</w:t>
      </w:r>
      <w:r>
        <w:rPr>
          <w:rFonts w:hint="eastAsia" w:ascii="Times New Roman" w:hAnsi="Times New Roman" w:eastAsia="方正仿宋_GBK"/>
          <w:color w:val="000000"/>
          <w:sz w:val="32"/>
          <w:szCs w:val="32"/>
        </w:rPr>
        <w:t>比2023年</w:t>
      </w:r>
      <w:r>
        <w:rPr>
          <w:rFonts w:ascii="Times New Roman" w:hAnsi="Times New Roman" w:eastAsia="方正仿宋_GBK"/>
          <w:color w:val="000000"/>
          <w:sz w:val="32"/>
          <w:szCs w:val="32"/>
        </w:rPr>
        <w:t>增加减少</w:t>
      </w:r>
      <w:r>
        <w:rPr>
          <w:rFonts w:hint="eastAsia" w:ascii="Times New Roman" w:hAnsi="Times New Roman" w:eastAsia="方正仿宋_GBK"/>
          <w:color w:val="000000"/>
          <w:sz w:val="32"/>
          <w:szCs w:val="32"/>
        </w:rPr>
        <w:t>4.18</w:t>
      </w:r>
      <w:r>
        <w:rPr>
          <w:rFonts w:ascii="Times New Roman" w:hAnsi="Times New Roman" w:eastAsia="方正仿宋_GBK"/>
          <w:color w:val="000000"/>
          <w:sz w:val="32"/>
          <w:szCs w:val="32"/>
        </w:rPr>
        <w:t>万元，主要原因为</w:t>
      </w:r>
      <w:r>
        <w:rPr>
          <w:rFonts w:hint="eastAsia" w:ascii="Times New Roman" w:hAnsi="Times New Roman" w:eastAsia="方正仿宋_GBK"/>
          <w:color w:val="000000"/>
          <w:sz w:val="32"/>
          <w:szCs w:val="32"/>
        </w:rPr>
        <w:t>县财政贯彻</w:t>
      </w:r>
      <w:r>
        <w:rPr>
          <w:rFonts w:ascii="Times New Roman" w:hAnsi="Times New Roman" w:eastAsia="方正仿宋_GBK"/>
          <w:color w:val="000000"/>
          <w:sz w:val="32"/>
          <w:szCs w:val="32"/>
        </w:rPr>
        <w:t>过</w:t>
      </w:r>
      <w:r>
        <w:rPr>
          <w:rFonts w:hint="eastAsia" w:ascii="Times New Roman" w:hAnsi="Times New Roman" w:eastAsia="方正仿宋_GBK"/>
          <w:color w:val="000000"/>
          <w:sz w:val="32"/>
          <w:szCs w:val="32"/>
        </w:rPr>
        <w:t>“苦日子”的精神，减少商品服务定额的预算</w:t>
      </w:r>
      <w:r>
        <w:rPr>
          <w:rFonts w:ascii="Times New Roman" w:hAnsi="Times New Roman" w:eastAsia="方正仿宋_GBK"/>
          <w:color w:val="000000"/>
          <w:sz w:val="32"/>
          <w:szCs w:val="32"/>
        </w:rPr>
        <w:t>；主要用于办公费、印刷费、邮电费、水电费、物管费、差旅费、会议费、培训费及其他商品和服务支出等。</w:t>
      </w:r>
    </w:p>
    <w:p w14:paraId="7024C6C7">
      <w:pPr>
        <w:ind w:firstLine="640" w:firstLineChars="200"/>
        <w:rPr>
          <w:rFonts w:hint="eastAsia" w:ascii="Times New Roman" w:hAnsi="Times New Roman" w:eastAsia="方正仿宋_GBK" w:cs="仿宋_GB2312"/>
          <w:color w:val="000000"/>
          <w:sz w:val="32"/>
          <w:szCs w:val="32"/>
        </w:rPr>
      </w:pPr>
      <w:r>
        <w:rPr>
          <w:rFonts w:hint="eastAsia" w:ascii="Times New Roman" w:hAnsi="Times New Roman" w:eastAsia="方正楷体_GBK" w:cs="方正楷体_GBK"/>
          <w:color w:val="000000"/>
          <w:sz w:val="32"/>
          <w:szCs w:val="32"/>
        </w:rPr>
        <w:t>（二）政府采购情况</w:t>
      </w:r>
      <w:r>
        <w:rPr>
          <w:rFonts w:hint="eastAsia" w:ascii="Times New Roman" w:hAnsi="Times New Roman" w:eastAsia="方正仿宋_GBK" w:cs="仿宋_GB2312"/>
          <w:color w:val="000000"/>
          <w:sz w:val="32"/>
          <w:szCs w:val="32"/>
        </w:rPr>
        <w:t>。本单位政府采购预算总额458.45万元：政府采购货物预算7.2万元、政府采购工程预算220万元、政府采购服务预算231.25万元；其中一般公共预算拨款政府采购342.45万元：政府采购货物预算7.2万元、政府采购工程预算120万元、政府采购服务预算215.25万元。</w:t>
      </w:r>
    </w:p>
    <w:p w14:paraId="18DA0412">
      <w:pPr>
        <w:ind w:firstLine="640" w:firstLineChars="200"/>
        <w:rPr>
          <w:rFonts w:hint="eastAsia" w:ascii="Times New Roman" w:hAnsi="Times New Roman" w:eastAsia="方正仿宋_GBK" w:cs="仿宋_GB2312"/>
          <w:color w:val="000000"/>
          <w:sz w:val="32"/>
          <w:szCs w:val="32"/>
        </w:rPr>
      </w:pPr>
      <w:r>
        <w:rPr>
          <w:rFonts w:hint="eastAsia" w:ascii="Times New Roman" w:hAnsi="Times New Roman" w:eastAsia="方正楷体_GBK" w:cs="方正楷体_GBK"/>
          <w:color w:val="000000"/>
          <w:sz w:val="32"/>
          <w:szCs w:val="32"/>
        </w:rPr>
        <w:t>（三）绩效目标设置情况</w:t>
      </w:r>
      <w:r>
        <w:rPr>
          <w:rFonts w:hint="eastAsia" w:ascii="Times New Roman" w:hAnsi="Times New Roman" w:eastAsia="方正仿宋_GBK" w:cs="仿宋_GB2312"/>
          <w:color w:val="000000"/>
          <w:sz w:val="32"/>
          <w:szCs w:val="32"/>
        </w:rPr>
        <w:t>。2024年项目支出均实行了绩效目标管理，涉及一般公共预算财政拨款</w:t>
      </w:r>
      <w:r>
        <w:rPr>
          <w:rFonts w:ascii="Times New Roman" w:hAnsi="Times New Roman" w:eastAsia="方正仿宋_GBK" w:cs="仿宋_GB2312"/>
          <w:color w:val="000000"/>
          <w:sz w:val="32"/>
          <w:szCs w:val="32"/>
        </w:rPr>
        <w:t>16172.1</w:t>
      </w:r>
      <w:r>
        <w:rPr>
          <w:rFonts w:hint="eastAsia" w:ascii="Times New Roman" w:hAnsi="Times New Roman" w:eastAsia="方正仿宋_GBK" w:cs="仿宋_GB2312"/>
          <w:color w:val="000000"/>
          <w:sz w:val="32"/>
          <w:szCs w:val="32"/>
        </w:rPr>
        <w:t>万元。</w:t>
      </w:r>
    </w:p>
    <w:p w14:paraId="1B30A680">
      <w:pPr>
        <w:ind w:firstLine="640" w:firstLineChars="200"/>
        <w:rPr>
          <w:rFonts w:hint="eastAsia" w:ascii="Times New Roman" w:hAnsi="Times New Roman" w:eastAsia="方正仿宋_GBK" w:cs="仿宋_GB2312"/>
          <w:color w:val="000000"/>
          <w:sz w:val="32"/>
          <w:szCs w:val="32"/>
        </w:rPr>
      </w:pPr>
      <w:r>
        <w:rPr>
          <w:rFonts w:hint="eastAsia" w:ascii="Times New Roman" w:hAnsi="Times New Roman" w:eastAsia="方正楷体_GBK" w:cs="方正楷体_GBK"/>
          <w:color w:val="000000"/>
          <w:sz w:val="32"/>
          <w:szCs w:val="32"/>
        </w:rPr>
        <w:t>（四）国有资产占有使用情况</w:t>
      </w:r>
      <w:r>
        <w:rPr>
          <w:rFonts w:hint="eastAsia" w:ascii="Times New Roman" w:hAnsi="Times New Roman" w:eastAsia="方正仿宋_GBK" w:cs="仿宋_GB2312"/>
          <w:color w:val="000000"/>
          <w:sz w:val="32"/>
          <w:szCs w:val="32"/>
        </w:rPr>
        <w:t>。截</w:t>
      </w:r>
      <w:r>
        <w:rPr>
          <w:rFonts w:hint="eastAsia" w:ascii="Times New Roman" w:hAnsi="Times New Roman" w:eastAsia="方正仿宋_GBK" w:cs="仿宋_GB2312"/>
          <w:color w:val="000000"/>
          <w:sz w:val="32"/>
          <w:szCs w:val="32"/>
          <w:lang w:val="en-US" w:eastAsia="zh-CN"/>
        </w:rPr>
        <w:t>至</w:t>
      </w:r>
      <w:bookmarkStart w:id="0" w:name="_GoBack"/>
      <w:bookmarkEnd w:id="0"/>
      <w:r>
        <w:rPr>
          <w:rFonts w:hint="eastAsia" w:ascii="Times New Roman" w:hAnsi="Times New Roman" w:eastAsia="方正仿宋_GBK" w:cs="仿宋_GB2312"/>
          <w:color w:val="000000"/>
          <w:sz w:val="32"/>
          <w:szCs w:val="32"/>
        </w:rPr>
        <w:t>2023年12月，本单位共有车辆3辆，其中一般公务用车3辆、执勤执法用0辆。2024年一般公共预算安排购置车辆3辆，其中一般公务用车3辆、执勤执法用车0辆。</w:t>
      </w:r>
    </w:p>
    <w:p w14:paraId="6971EA34">
      <w:pPr>
        <w:spacing w:line="600" w:lineRule="exact"/>
        <w:ind w:firstLine="640" w:firstLineChars="200"/>
        <w:rPr>
          <w:rFonts w:hint="eastAsia" w:ascii="Times New Roman" w:hAnsi="Times New Roman" w:eastAsia="方正黑体_GBK" w:cs="仿宋_GB2312"/>
          <w:color w:val="000000"/>
          <w:sz w:val="32"/>
          <w:szCs w:val="32"/>
        </w:rPr>
      </w:pPr>
      <w:r>
        <w:rPr>
          <w:rFonts w:hint="eastAsia" w:ascii="Times New Roman" w:hAnsi="Times New Roman" w:eastAsia="方正黑体_GBK" w:cs="仿宋_GB2312"/>
          <w:color w:val="000000"/>
          <w:sz w:val="32"/>
          <w:szCs w:val="32"/>
        </w:rPr>
        <w:t>六</w:t>
      </w:r>
      <w:r>
        <w:rPr>
          <w:rFonts w:ascii="Times New Roman" w:hAnsi="Times New Roman" w:eastAsia="方正黑体_GBK" w:cs="仿宋_GB2312"/>
          <w:color w:val="000000"/>
          <w:sz w:val="32"/>
          <w:szCs w:val="32"/>
        </w:rPr>
        <w:t>、</w:t>
      </w:r>
      <w:r>
        <w:rPr>
          <w:rFonts w:hint="eastAsia" w:ascii="Times New Roman" w:hAnsi="Times New Roman" w:eastAsia="方正黑体_GBK" w:cs="仿宋_GB2312"/>
          <w:color w:val="000000"/>
          <w:sz w:val="32"/>
          <w:szCs w:val="32"/>
        </w:rPr>
        <w:t>专业性名词解释</w:t>
      </w:r>
    </w:p>
    <w:p w14:paraId="74AC1185">
      <w:pPr>
        <w:pStyle w:val="13"/>
        <w:tabs>
          <w:tab w:val="center" w:pos="4153"/>
          <w:tab w:val="left" w:pos="7275"/>
        </w:tabs>
        <w:spacing w:line="600" w:lineRule="exact"/>
        <w:ind w:firstLine="640"/>
        <w:jc w:val="left"/>
        <w:rPr>
          <w:rFonts w:hint="eastAsia" w:ascii="Times New Roman" w:hAnsi="Times New Roman" w:eastAsia="方正仿宋_GBK"/>
          <w:color w:val="000000"/>
          <w:sz w:val="32"/>
          <w:szCs w:val="32"/>
        </w:rPr>
      </w:pPr>
      <w:r>
        <w:rPr>
          <w:rFonts w:hint="eastAsia" w:ascii="Times New Roman" w:hAnsi="Times New Roman" w:eastAsia="方正楷体_GBK" w:cs="方正楷体_GBK"/>
          <w:color w:val="000000"/>
          <w:sz w:val="32"/>
          <w:szCs w:val="32"/>
        </w:rPr>
        <w:t>（一）财政拨款收入</w:t>
      </w:r>
      <w:r>
        <w:rPr>
          <w:rFonts w:hint="eastAsia" w:ascii="Times New Roman" w:hAnsi="Times New Roman" w:eastAsia="方正仿宋_GBK"/>
          <w:color w:val="000000"/>
          <w:sz w:val="32"/>
          <w:szCs w:val="32"/>
        </w:rPr>
        <w:t>：指本年度从本级财政部门取得的财政拨款，包括一般公共预算财政拨款和政府性基金预算财政拨款。</w:t>
      </w:r>
    </w:p>
    <w:p w14:paraId="3254B340">
      <w:pPr>
        <w:pStyle w:val="13"/>
        <w:tabs>
          <w:tab w:val="center" w:pos="4153"/>
          <w:tab w:val="left" w:pos="7275"/>
        </w:tabs>
        <w:spacing w:line="600" w:lineRule="exact"/>
        <w:ind w:firstLine="640"/>
        <w:jc w:val="left"/>
        <w:rPr>
          <w:rFonts w:hint="eastAsia" w:ascii="Times New Roman" w:hAnsi="Times New Roman" w:eastAsia="方正仿宋_GBK"/>
          <w:color w:val="000000"/>
          <w:sz w:val="32"/>
          <w:szCs w:val="32"/>
        </w:rPr>
      </w:pPr>
      <w:r>
        <w:rPr>
          <w:rFonts w:hint="eastAsia" w:ascii="Times New Roman" w:hAnsi="Times New Roman" w:eastAsia="方正楷体_GBK" w:cs="方正楷体_GBK"/>
          <w:color w:val="000000"/>
          <w:sz w:val="32"/>
          <w:szCs w:val="32"/>
        </w:rPr>
        <w:t>（二）其他收入</w:t>
      </w:r>
      <w:r>
        <w:rPr>
          <w:rFonts w:hint="eastAsia" w:ascii="Times New Roman" w:hAnsi="Times New Roman" w:eastAsia="方正仿宋_GBK"/>
          <w:color w:val="000000"/>
          <w:sz w:val="32"/>
          <w:szCs w:val="32"/>
        </w:rPr>
        <w:t>：指单位取得的除“财政拨款收入”、“事业收入”、“经营收入”等以外的收入。</w:t>
      </w:r>
    </w:p>
    <w:p w14:paraId="61B20156">
      <w:pPr>
        <w:pStyle w:val="13"/>
        <w:tabs>
          <w:tab w:val="center" w:pos="4153"/>
          <w:tab w:val="left" w:pos="7275"/>
        </w:tabs>
        <w:spacing w:line="600" w:lineRule="exact"/>
        <w:ind w:firstLine="640"/>
        <w:jc w:val="left"/>
        <w:rPr>
          <w:rFonts w:hint="eastAsia" w:ascii="Times New Roman" w:hAnsi="Times New Roman" w:eastAsia="方正仿宋_GBK"/>
          <w:color w:val="000000"/>
          <w:sz w:val="32"/>
          <w:szCs w:val="32"/>
        </w:rPr>
      </w:pPr>
      <w:r>
        <w:rPr>
          <w:rFonts w:hint="eastAsia" w:ascii="Times New Roman" w:hAnsi="Times New Roman" w:eastAsia="方正楷体_GBK" w:cs="方正楷体_GBK"/>
          <w:color w:val="000000"/>
          <w:sz w:val="32"/>
          <w:szCs w:val="32"/>
        </w:rPr>
        <w:t>（三）基本支出</w:t>
      </w:r>
      <w:r>
        <w:rPr>
          <w:rFonts w:hint="eastAsia" w:ascii="Times New Roman" w:hAnsi="Times New Roman" w:eastAsia="方正仿宋_GBK"/>
          <w:color w:val="000000"/>
          <w:sz w:val="32"/>
          <w:szCs w:val="32"/>
        </w:rPr>
        <w:t>：指为保障机构正常运转、完成日常工作任务而发生的人员经费和公用经费。</w:t>
      </w:r>
    </w:p>
    <w:p w14:paraId="00905F7F">
      <w:pPr>
        <w:pStyle w:val="13"/>
        <w:tabs>
          <w:tab w:val="center" w:pos="4153"/>
          <w:tab w:val="left" w:pos="7275"/>
        </w:tabs>
        <w:spacing w:line="600" w:lineRule="exact"/>
        <w:ind w:firstLine="640"/>
        <w:jc w:val="left"/>
        <w:rPr>
          <w:rFonts w:hint="eastAsia" w:ascii="Times New Roman" w:hAnsi="Times New Roman" w:eastAsia="方正仿宋_GBK"/>
          <w:color w:val="000000"/>
          <w:sz w:val="32"/>
          <w:szCs w:val="32"/>
        </w:rPr>
      </w:pPr>
      <w:r>
        <w:rPr>
          <w:rFonts w:hint="eastAsia" w:ascii="Times New Roman" w:hAnsi="Times New Roman" w:eastAsia="方正楷体_GBK" w:cs="方正楷体_GBK"/>
          <w:color w:val="000000"/>
          <w:sz w:val="32"/>
          <w:szCs w:val="32"/>
        </w:rPr>
        <w:t>（四）项目支出</w:t>
      </w:r>
      <w:r>
        <w:rPr>
          <w:rFonts w:hint="eastAsia" w:ascii="Times New Roman" w:hAnsi="Times New Roman" w:eastAsia="方正仿宋_GBK"/>
          <w:color w:val="000000"/>
          <w:sz w:val="32"/>
          <w:szCs w:val="32"/>
        </w:rPr>
        <w:t>：指在基本支出之外为完成特定行政任务和事业发展目标所发生的支出。</w:t>
      </w:r>
    </w:p>
    <w:p w14:paraId="5427195C">
      <w:pPr>
        <w:ind w:firstLine="640" w:firstLineChars="200"/>
        <w:rPr>
          <w:rFonts w:hint="eastAsia" w:ascii="Times New Roman" w:hAnsi="Times New Roman" w:eastAsia="方正仿宋_GBK"/>
          <w:color w:val="000000"/>
          <w:sz w:val="32"/>
          <w:szCs w:val="32"/>
        </w:rPr>
      </w:pPr>
      <w:r>
        <w:rPr>
          <w:rFonts w:hint="eastAsia" w:ascii="Times New Roman" w:hAnsi="Times New Roman" w:eastAsia="方正楷体_GBK" w:cs="方正楷体_GBK"/>
          <w:color w:val="000000"/>
          <w:sz w:val="32"/>
          <w:szCs w:val="32"/>
        </w:rPr>
        <w:t>（五）“三公”经费</w:t>
      </w:r>
      <w:r>
        <w:rPr>
          <w:rFonts w:hint="eastAsia" w:ascii="Times New Roman" w:hAnsi="Times New Roman" w:eastAsia="方正仿宋_GBK"/>
          <w:color w:val="000000"/>
          <w:sz w:val="32"/>
          <w:szCs w:val="32"/>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555875E">
      <w:pPr>
        <w:ind w:firstLine="640" w:firstLineChars="200"/>
        <w:rPr>
          <w:rFonts w:ascii="Times New Roman" w:hAnsi="Times New Roman" w:eastAsia="方正仿宋_GBK"/>
          <w:color w:val="000000"/>
          <w:sz w:val="32"/>
          <w:szCs w:val="32"/>
          <w:highlight w:val="yellow"/>
        </w:rPr>
      </w:pPr>
      <w:r>
        <w:rPr>
          <w:rFonts w:ascii="Times New Roman" w:hAnsi="Times New Roman" w:eastAsia="方正仿宋_GBK"/>
          <w:color w:val="000000"/>
          <w:sz w:val="32"/>
          <w:szCs w:val="32"/>
        </w:rPr>
        <w:t>部门预算公开联系人：</w:t>
      </w:r>
      <w:r>
        <w:rPr>
          <w:rFonts w:hint="eastAsia" w:ascii="Times New Roman" w:hAnsi="Times New Roman" w:eastAsia="方正仿宋_GBK"/>
          <w:color w:val="000000"/>
          <w:sz w:val="32"/>
          <w:szCs w:val="32"/>
        </w:rPr>
        <w:t>游银燕</w:t>
      </w:r>
      <w:r>
        <w:rPr>
          <w:rFonts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rPr>
        <w:t xml:space="preserve">   </w:t>
      </w:r>
      <w:r>
        <w:rPr>
          <w:rFonts w:ascii="Times New Roman" w:hAnsi="Times New Roman" w:eastAsia="方正仿宋_GBK"/>
          <w:color w:val="000000"/>
          <w:sz w:val="32"/>
          <w:szCs w:val="32"/>
        </w:rPr>
        <w:t xml:space="preserve"> 联系方式：023-</w:t>
      </w:r>
      <w:r>
        <w:rPr>
          <w:rFonts w:hint="eastAsia" w:ascii="Times New Roman" w:hAnsi="Times New Roman" w:eastAsia="方正仿宋_GBK"/>
          <w:color w:val="000000"/>
          <w:sz w:val="32"/>
          <w:szCs w:val="32"/>
        </w:rPr>
        <w:t>73332145</w:t>
      </w:r>
    </w:p>
    <w:sectPr>
      <w:footerReference r:id="rId3" w:type="default"/>
      <w:footerReference r:id="rId4" w:type="even"/>
      <w:pgSz w:w="11906" w:h="16838"/>
      <w:pgMar w:top="2098" w:right="1531" w:bottom="1985" w:left="1531"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楷体_GBK">
    <w:altName w:val="Arial Unicode MS"/>
    <w:panose1 w:val="03000509000000000000"/>
    <w:charset w:val="86"/>
    <w:family w:val="script"/>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E55B2">
    <w:pPr>
      <w:pStyle w:val="3"/>
      <w:jc w:val="right"/>
      <w:rPr>
        <w:rFonts w:ascii="Times New Roman" w:hAnsi="Times New Roman" w:eastAsia="方正楷体_GBK"/>
        <w:sz w:val="28"/>
      </w:rPr>
    </w:pPr>
    <w:r>
      <w:rPr>
        <w:rStyle w:val="8"/>
        <w:rFonts w:ascii="Times New Roman" w:hAnsi="Times New Roman" w:eastAsia="方正楷体_GBK"/>
        <w:sz w:val="28"/>
      </w:rPr>
      <w:t>―</w:t>
    </w:r>
    <w:r>
      <w:rPr>
        <w:rFonts w:ascii="Times New Roman" w:hAnsi="Times New Roman" w:eastAsia="方正楷体_GBK"/>
        <w:kern w:val="0"/>
        <w:sz w:val="28"/>
      </w:rPr>
      <w:t xml:space="preserve"> </w:t>
    </w:r>
    <w:r>
      <w:rPr>
        <w:rFonts w:ascii="Times New Roman" w:hAnsi="Times New Roman" w:eastAsia="方正楷体_GBK"/>
        <w:kern w:val="0"/>
        <w:sz w:val="28"/>
      </w:rPr>
      <w:fldChar w:fldCharType="begin"/>
    </w:r>
    <w:r>
      <w:rPr>
        <w:rFonts w:ascii="Times New Roman" w:hAnsi="Times New Roman" w:eastAsia="方正楷体_GBK"/>
        <w:kern w:val="0"/>
        <w:sz w:val="28"/>
      </w:rPr>
      <w:instrText xml:space="preserve"> PAGE </w:instrText>
    </w:r>
    <w:r>
      <w:rPr>
        <w:rFonts w:ascii="Times New Roman" w:hAnsi="Times New Roman" w:eastAsia="方正楷体_GBK"/>
        <w:kern w:val="0"/>
        <w:sz w:val="28"/>
      </w:rPr>
      <w:fldChar w:fldCharType="separate"/>
    </w:r>
    <w:r>
      <w:rPr>
        <w:rFonts w:ascii="Times New Roman" w:hAnsi="Times New Roman" w:eastAsia="方正楷体_GBK"/>
        <w:kern w:val="0"/>
        <w:sz w:val="28"/>
      </w:rPr>
      <w:t>5</w:t>
    </w:r>
    <w:r>
      <w:rPr>
        <w:rFonts w:ascii="Times New Roman" w:hAnsi="Times New Roman" w:eastAsia="方正楷体_GBK"/>
        <w:kern w:val="0"/>
        <w:sz w:val="28"/>
      </w:rPr>
      <w:fldChar w:fldCharType="end"/>
    </w:r>
    <w:r>
      <w:rPr>
        <w:rFonts w:ascii="Times New Roman" w:hAnsi="Times New Roman" w:eastAsia="方正楷体_GBK"/>
        <w:kern w:val="0"/>
        <w:sz w:val="28"/>
      </w:rPr>
      <w:t xml:space="preserve"> </w:t>
    </w:r>
    <w:r>
      <w:rPr>
        <w:rStyle w:val="8"/>
        <w:rFonts w:ascii="Times New Roman" w:hAnsi="Times New Roman" w:eastAsia="方正楷体_GBK"/>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7EC76">
    <w:pPr>
      <w:pStyle w:val="3"/>
      <w:ind w:right="360"/>
      <w:rPr>
        <w:rFonts w:ascii="Times New Roman" w:hAnsi="Times New Roman" w:eastAsia="方正楷体_GBK"/>
        <w:sz w:val="28"/>
      </w:rPr>
    </w:pPr>
    <w:r>
      <w:rPr>
        <w:rStyle w:val="8"/>
        <w:rFonts w:ascii="Times New Roman" w:hAnsi="Times New Roman" w:eastAsia="方正楷体_GBK"/>
        <w:sz w:val="28"/>
      </w:rPr>
      <w:t>―</w:t>
    </w:r>
    <w:r>
      <w:rPr>
        <w:rFonts w:ascii="Times New Roman" w:hAnsi="Times New Roman" w:eastAsia="方正楷体_GBK"/>
        <w:kern w:val="0"/>
        <w:sz w:val="28"/>
      </w:rPr>
      <w:t xml:space="preserve"> </w:t>
    </w:r>
    <w:r>
      <w:rPr>
        <w:rFonts w:ascii="Times New Roman" w:hAnsi="Times New Roman" w:eastAsia="方正楷体_GBK"/>
        <w:kern w:val="0"/>
        <w:sz w:val="28"/>
      </w:rPr>
      <w:fldChar w:fldCharType="begin"/>
    </w:r>
    <w:r>
      <w:rPr>
        <w:rFonts w:ascii="Times New Roman" w:hAnsi="Times New Roman" w:eastAsia="方正楷体_GBK"/>
        <w:kern w:val="0"/>
        <w:sz w:val="28"/>
      </w:rPr>
      <w:instrText xml:space="preserve"> PAGE </w:instrText>
    </w:r>
    <w:r>
      <w:rPr>
        <w:rFonts w:ascii="Times New Roman" w:hAnsi="Times New Roman" w:eastAsia="方正楷体_GBK"/>
        <w:kern w:val="0"/>
        <w:sz w:val="28"/>
      </w:rPr>
      <w:fldChar w:fldCharType="separate"/>
    </w:r>
    <w:r>
      <w:rPr>
        <w:rFonts w:ascii="Times New Roman" w:hAnsi="Times New Roman" w:eastAsia="方正楷体_GBK"/>
        <w:kern w:val="0"/>
        <w:sz w:val="28"/>
      </w:rPr>
      <w:t>6</w:t>
    </w:r>
    <w:r>
      <w:rPr>
        <w:rFonts w:ascii="Times New Roman" w:hAnsi="Times New Roman" w:eastAsia="方正楷体_GBK"/>
        <w:kern w:val="0"/>
        <w:sz w:val="28"/>
      </w:rPr>
      <w:fldChar w:fldCharType="end"/>
    </w:r>
    <w:r>
      <w:rPr>
        <w:rFonts w:ascii="Times New Roman" w:hAnsi="Times New Roman" w:eastAsia="方正楷体_GBK"/>
        <w:kern w:val="0"/>
        <w:sz w:val="28"/>
      </w:rPr>
      <w:t xml:space="preserve"> </w:t>
    </w:r>
    <w:r>
      <w:rPr>
        <w:rStyle w:val="8"/>
        <w:rFonts w:ascii="Times New Roman" w:hAnsi="Times New Roman" w:eastAsia="方正楷体_GBK"/>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2NzEwNzA3YWYxOTczNWFkZWEwN2Q5NjliOTZiODQifQ=="/>
  </w:docVars>
  <w:rsids>
    <w:rsidRoot w:val="004F7D1D"/>
    <w:rsid w:val="00006FB1"/>
    <w:rsid w:val="0001271B"/>
    <w:rsid w:val="00023A4C"/>
    <w:rsid w:val="00042219"/>
    <w:rsid w:val="00047C7A"/>
    <w:rsid w:val="00053834"/>
    <w:rsid w:val="000551A4"/>
    <w:rsid w:val="000624D8"/>
    <w:rsid w:val="0007330D"/>
    <w:rsid w:val="00075914"/>
    <w:rsid w:val="0008570C"/>
    <w:rsid w:val="00091B93"/>
    <w:rsid w:val="00093301"/>
    <w:rsid w:val="00096685"/>
    <w:rsid w:val="000A60FC"/>
    <w:rsid w:val="000C3BC5"/>
    <w:rsid w:val="000C594E"/>
    <w:rsid w:val="000D2E8F"/>
    <w:rsid w:val="000D6437"/>
    <w:rsid w:val="000D6569"/>
    <w:rsid w:val="000F1499"/>
    <w:rsid w:val="000F5707"/>
    <w:rsid w:val="0010264D"/>
    <w:rsid w:val="00106A76"/>
    <w:rsid w:val="00125C07"/>
    <w:rsid w:val="0014404E"/>
    <w:rsid w:val="001525DD"/>
    <w:rsid w:val="00161474"/>
    <w:rsid w:val="00165A74"/>
    <w:rsid w:val="00191ADC"/>
    <w:rsid w:val="001957F9"/>
    <w:rsid w:val="001C0A7C"/>
    <w:rsid w:val="001D0CAA"/>
    <w:rsid w:val="001D4937"/>
    <w:rsid w:val="001E1AED"/>
    <w:rsid w:val="001E31D9"/>
    <w:rsid w:val="00202E0A"/>
    <w:rsid w:val="002132E9"/>
    <w:rsid w:val="00213635"/>
    <w:rsid w:val="00226F1D"/>
    <w:rsid w:val="00242727"/>
    <w:rsid w:val="00246006"/>
    <w:rsid w:val="00246AA4"/>
    <w:rsid w:val="00252849"/>
    <w:rsid w:val="002605A5"/>
    <w:rsid w:val="002611BE"/>
    <w:rsid w:val="0026529F"/>
    <w:rsid w:val="0027005A"/>
    <w:rsid w:val="002773F0"/>
    <w:rsid w:val="00280A93"/>
    <w:rsid w:val="00286440"/>
    <w:rsid w:val="002959B6"/>
    <w:rsid w:val="002B41F1"/>
    <w:rsid w:val="002C4122"/>
    <w:rsid w:val="002D2A88"/>
    <w:rsid w:val="002E46A9"/>
    <w:rsid w:val="0030024E"/>
    <w:rsid w:val="003019D9"/>
    <w:rsid w:val="00341606"/>
    <w:rsid w:val="00346387"/>
    <w:rsid w:val="0034700C"/>
    <w:rsid w:val="00357A28"/>
    <w:rsid w:val="00367516"/>
    <w:rsid w:val="00375FC9"/>
    <w:rsid w:val="00383298"/>
    <w:rsid w:val="003872D5"/>
    <w:rsid w:val="0039559F"/>
    <w:rsid w:val="003B11A5"/>
    <w:rsid w:val="003B33C4"/>
    <w:rsid w:val="003B36C2"/>
    <w:rsid w:val="003D14F0"/>
    <w:rsid w:val="003D2398"/>
    <w:rsid w:val="003D7234"/>
    <w:rsid w:val="003D7504"/>
    <w:rsid w:val="003E4EB6"/>
    <w:rsid w:val="003F6450"/>
    <w:rsid w:val="00414CB1"/>
    <w:rsid w:val="00430B72"/>
    <w:rsid w:val="00437D88"/>
    <w:rsid w:val="004417DC"/>
    <w:rsid w:val="00445520"/>
    <w:rsid w:val="00462595"/>
    <w:rsid w:val="004756B4"/>
    <w:rsid w:val="00481BAA"/>
    <w:rsid w:val="0049017F"/>
    <w:rsid w:val="00492FB3"/>
    <w:rsid w:val="00496C6A"/>
    <w:rsid w:val="004B1650"/>
    <w:rsid w:val="004C42ED"/>
    <w:rsid w:val="004C60BD"/>
    <w:rsid w:val="004D1E02"/>
    <w:rsid w:val="004E592A"/>
    <w:rsid w:val="004E6E1A"/>
    <w:rsid w:val="004F1853"/>
    <w:rsid w:val="004F7D1D"/>
    <w:rsid w:val="00500B1D"/>
    <w:rsid w:val="00506DF4"/>
    <w:rsid w:val="00507823"/>
    <w:rsid w:val="005174B9"/>
    <w:rsid w:val="00536713"/>
    <w:rsid w:val="00543257"/>
    <w:rsid w:val="00572736"/>
    <w:rsid w:val="00580DDD"/>
    <w:rsid w:val="0058350C"/>
    <w:rsid w:val="00595C24"/>
    <w:rsid w:val="005A1227"/>
    <w:rsid w:val="005A4606"/>
    <w:rsid w:val="005A4AD7"/>
    <w:rsid w:val="005B0F11"/>
    <w:rsid w:val="005C3DD7"/>
    <w:rsid w:val="005E18A6"/>
    <w:rsid w:val="005F1960"/>
    <w:rsid w:val="006115F1"/>
    <w:rsid w:val="00620BCE"/>
    <w:rsid w:val="0066585E"/>
    <w:rsid w:val="006809FA"/>
    <w:rsid w:val="006C01C3"/>
    <w:rsid w:val="006D0C33"/>
    <w:rsid w:val="006D1609"/>
    <w:rsid w:val="006E0BEC"/>
    <w:rsid w:val="006E455F"/>
    <w:rsid w:val="006F7539"/>
    <w:rsid w:val="00714828"/>
    <w:rsid w:val="007158F8"/>
    <w:rsid w:val="0071734A"/>
    <w:rsid w:val="007252E3"/>
    <w:rsid w:val="00742C4D"/>
    <w:rsid w:val="007620B8"/>
    <w:rsid w:val="00762CF8"/>
    <w:rsid w:val="00765DF5"/>
    <w:rsid w:val="007713EB"/>
    <w:rsid w:val="00791CE4"/>
    <w:rsid w:val="007B10D4"/>
    <w:rsid w:val="007B22D6"/>
    <w:rsid w:val="007B5ACF"/>
    <w:rsid w:val="007B6182"/>
    <w:rsid w:val="007C4C9B"/>
    <w:rsid w:val="007D2AEA"/>
    <w:rsid w:val="007E0B4D"/>
    <w:rsid w:val="007E6A39"/>
    <w:rsid w:val="007F68E5"/>
    <w:rsid w:val="00801BFF"/>
    <w:rsid w:val="00803270"/>
    <w:rsid w:val="00805D05"/>
    <w:rsid w:val="00813B4F"/>
    <w:rsid w:val="00830BF3"/>
    <w:rsid w:val="00833B65"/>
    <w:rsid w:val="008560C6"/>
    <w:rsid w:val="00876439"/>
    <w:rsid w:val="00880920"/>
    <w:rsid w:val="00893BF5"/>
    <w:rsid w:val="008A13B7"/>
    <w:rsid w:val="008A622D"/>
    <w:rsid w:val="008C5778"/>
    <w:rsid w:val="008D2570"/>
    <w:rsid w:val="008E3C27"/>
    <w:rsid w:val="008E5A19"/>
    <w:rsid w:val="008E7590"/>
    <w:rsid w:val="008F1CA6"/>
    <w:rsid w:val="008F731A"/>
    <w:rsid w:val="00905727"/>
    <w:rsid w:val="00914195"/>
    <w:rsid w:val="009208E9"/>
    <w:rsid w:val="00926FE2"/>
    <w:rsid w:val="00933A24"/>
    <w:rsid w:val="00936EDC"/>
    <w:rsid w:val="00940465"/>
    <w:rsid w:val="00942ED0"/>
    <w:rsid w:val="0094655E"/>
    <w:rsid w:val="00946D33"/>
    <w:rsid w:val="009561D9"/>
    <w:rsid w:val="009653AE"/>
    <w:rsid w:val="00972AB0"/>
    <w:rsid w:val="00983001"/>
    <w:rsid w:val="0098712E"/>
    <w:rsid w:val="009B77D4"/>
    <w:rsid w:val="009D27EC"/>
    <w:rsid w:val="009E6734"/>
    <w:rsid w:val="009F01A9"/>
    <w:rsid w:val="00A05F72"/>
    <w:rsid w:val="00A07288"/>
    <w:rsid w:val="00A174AB"/>
    <w:rsid w:val="00A21DCD"/>
    <w:rsid w:val="00A33F5E"/>
    <w:rsid w:val="00A35F07"/>
    <w:rsid w:val="00A3721F"/>
    <w:rsid w:val="00A45A23"/>
    <w:rsid w:val="00A52D34"/>
    <w:rsid w:val="00A712EA"/>
    <w:rsid w:val="00A8020D"/>
    <w:rsid w:val="00A802E9"/>
    <w:rsid w:val="00A80B6C"/>
    <w:rsid w:val="00AA324B"/>
    <w:rsid w:val="00AB25DF"/>
    <w:rsid w:val="00AC6F85"/>
    <w:rsid w:val="00AE0A20"/>
    <w:rsid w:val="00AE4156"/>
    <w:rsid w:val="00B1352B"/>
    <w:rsid w:val="00B24FA7"/>
    <w:rsid w:val="00B257E3"/>
    <w:rsid w:val="00B54CE7"/>
    <w:rsid w:val="00B558CC"/>
    <w:rsid w:val="00B56688"/>
    <w:rsid w:val="00B65450"/>
    <w:rsid w:val="00B6777C"/>
    <w:rsid w:val="00B72347"/>
    <w:rsid w:val="00B86388"/>
    <w:rsid w:val="00BB3B39"/>
    <w:rsid w:val="00BC2C3D"/>
    <w:rsid w:val="00BD0BB9"/>
    <w:rsid w:val="00BD5FA5"/>
    <w:rsid w:val="00BE573E"/>
    <w:rsid w:val="00BF67E7"/>
    <w:rsid w:val="00C2696C"/>
    <w:rsid w:val="00C427D3"/>
    <w:rsid w:val="00C47446"/>
    <w:rsid w:val="00C5758E"/>
    <w:rsid w:val="00C601F9"/>
    <w:rsid w:val="00C7602D"/>
    <w:rsid w:val="00C827DC"/>
    <w:rsid w:val="00C95346"/>
    <w:rsid w:val="00CA4340"/>
    <w:rsid w:val="00CB0296"/>
    <w:rsid w:val="00CC4A96"/>
    <w:rsid w:val="00CD1C4A"/>
    <w:rsid w:val="00CE1014"/>
    <w:rsid w:val="00CF42ED"/>
    <w:rsid w:val="00D0143D"/>
    <w:rsid w:val="00D10AB7"/>
    <w:rsid w:val="00D1125B"/>
    <w:rsid w:val="00D160DD"/>
    <w:rsid w:val="00D21CDE"/>
    <w:rsid w:val="00D40ADE"/>
    <w:rsid w:val="00D411DD"/>
    <w:rsid w:val="00D46486"/>
    <w:rsid w:val="00D64C2C"/>
    <w:rsid w:val="00D66063"/>
    <w:rsid w:val="00D77D37"/>
    <w:rsid w:val="00D80BC2"/>
    <w:rsid w:val="00D8489C"/>
    <w:rsid w:val="00D8620E"/>
    <w:rsid w:val="00DA7788"/>
    <w:rsid w:val="00DA7FE6"/>
    <w:rsid w:val="00DB0EC5"/>
    <w:rsid w:val="00DB4539"/>
    <w:rsid w:val="00DE3685"/>
    <w:rsid w:val="00DE5805"/>
    <w:rsid w:val="00E00D68"/>
    <w:rsid w:val="00E01CEB"/>
    <w:rsid w:val="00E11FB2"/>
    <w:rsid w:val="00E275D0"/>
    <w:rsid w:val="00E40ED1"/>
    <w:rsid w:val="00E4747D"/>
    <w:rsid w:val="00E712B9"/>
    <w:rsid w:val="00E96899"/>
    <w:rsid w:val="00EC09E7"/>
    <w:rsid w:val="00EE21B6"/>
    <w:rsid w:val="00EF1B14"/>
    <w:rsid w:val="00EF782E"/>
    <w:rsid w:val="00EF7D6B"/>
    <w:rsid w:val="00F11A07"/>
    <w:rsid w:val="00F22254"/>
    <w:rsid w:val="00F258CE"/>
    <w:rsid w:val="00F46DD2"/>
    <w:rsid w:val="00F605C0"/>
    <w:rsid w:val="00F649FE"/>
    <w:rsid w:val="00F66710"/>
    <w:rsid w:val="00F7080E"/>
    <w:rsid w:val="00F770AE"/>
    <w:rsid w:val="00F84112"/>
    <w:rsid w:val="00F84AC6"/>
    <w:rsid w:val="00F86A3C"/>
    <w:rsid w:val="00F90464"/>
    <w:rsid w:val="00F9492F"/>
    <w:rsid w:val="00FC2169"/>
    <w:rsid w:val="00FC2267"/>
    <w:rsid w:val="00FE12C3"/>
    <w:rsid w:val="00FE28C5"/>
    <w:rsid w:val="00FF0B1F"/>
    <w:rsid w:val="00FF197F"/>
    <w:rsid w:val="06084EC6"/>
    <w:rsid w:val="18CC21E2"/>
    <w:rsid w:val="196A30AF"/>
    <w:rsid w:val="19D75DEA"/>
    <w:rsid w:val="1FBA55D9"/>
    <w:rsid w:val="22937004"/>
    <w:rsid w:val="24703EB8"/>
    <w:rsid w:val="24C37CD9"/>
    <w:rsid w:val="27DC33A5"/>
    <w:rsid w:val="2BE9733F"/>
    <w:rsid w:val="3BC5739B"/>
    <w:rsid w:val="3F387E10"/>
    <w:rsid w:val="42543C1B"/>
    <w:rsid w:val="42E415AF"/>
    <w:rsid w:val="48310C7F"/>
    <w:rsid w:val="5F550BB4"/>
    <w:rsid w:val="600D6620"/>
    <w:rsid w:val="737516C5"/>
    <w:rsid w:val="7D3E2845"/>
    <w:rsid w:val="7DC477B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autoRedefine/>
    <w:semiHidden/>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alloon Text"/>
    <w:basedOn w:val="1"/>
    <w:link w:val="9"/>
    <w:autoRedefine/>
    <w:qFormat/>
    <w:uiPriority w:val="0"/>
    <w:rPr>
      <w:sz w:val="18"/>
      <w:szCs w:val="18"/>
    </w:r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11"/>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page number"/>
    <w:autoRedefine/>
    <w:unhideWhenUsed/>
    <w:qFormat/>
    <w:uiPriority w:val="0"/>
  </w:style>
  <w:style w:type="character" w:customStyle="1" w:styleId="9">
    <w:name w:val="批注框文本 Char"/>
    <w:link w:val="2"/>
    <w:autoRedefine/>
    <w:qFormat/>
    <w:uiPriority w:val="0"/>
    <w:rPr>
      <w:kern w:val="2"/>
      <w:sz w:val="18"/>
      <w:szCs w:val="18"/>
    </w:rPr>
  </w:style>
  <w:style w:type="character" w:customStyle="1" w:styleId="10">
    <w:name w:val="页脚 Char"/>
    <w:link w:val="3"/>
    <w:autoRedefine/>
    <w:qFormat/>
    <w:uiPriority w:val="0"/>
    <w:rPr>
      <w:kern w:val="2"/>
      <w:sz w:val="18"/>
      <w:szCs w:val="18"/>
    </w:rPr>
  </w:style>
  <w:style w:type="character" w:customStyle="1" w:styleId="11">
    <w:name w:val="页眉 Char"/>
    <w:link w:val="4"/>
    <w:autoRedefine/>
    <w:qFormat/>
    <w:uiPriority w:val="0"/>
    <w:rPr>
      <w:kern w:val="2"/>
      <w:sz w:val="18"/>
      <w:szCs w:val="18"/>
    </w:rPr>
  </w:style>
  <w:style w:type="character" w:customStyle="1" w:styleId="12">
    <w:name w:val="页脚 字符1"/>
    <w:autoRedefine/>
    <w:semiHidden/>
    <w:qFormat/>
    <w:locked/>
    <w:uiPriority w:val="0"/>
    <w:rPr>
      <w:kern w:val="2"/>
      <w:sz w:val="18"/>
      <w:szCs w:val="18"/>
    </w:rPr>
  </w:style>
  <w:style w:type="paragraph" w:styleId="13">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reamsoft\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wdzx97.dot</Template>
  <Pages>7</Pages>
  <Words>3023</Words>
  <Characters>3289</Characters>
  <Lines>24</Lines>
  <Paragraphs>6</Paragraphs>
  <TotalTime>1</TotalTime>
  <ScaleCrop>false</ScaleCrop>
  <LinksUpToDate>false</LinksUpToDate>
  <CharactersWithSpaces>3295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2022-02-09T11:19:00Z</dcterms:created>
  <dc:creator>Administrator</dc:creator>
  <cp:lastModifiedBy>安然弱水</cp:lastModifiedBy>
  <cp:lastPrinted>2018-01-02T08:11:00Z</cp:lastPrinted>
  <dcterms:modified xsi:type="dcterms:W3CDTF">2026-07-15T01:27:54Z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305FE9F255E24CCF877A685636526922_13</vt:lpwstr>
  </property>
  <property fmtid="{D5CDD505-2E9C-101B-9397-08002B2CF9AE}" pid="4" name="KSOTemplateDocerSaveRecord">
    <vt:lpwstr>eyJoZGlkIjoiN2U0N2Q2ZTM2ZDQ4MjgxNDVjNzFiNjJmOWEwODI3OGEiLCJ1c2VySWQiOiIxMzAwNjA3NzU5In0=</vt:lpwstr>
  </property>
</Properties>
</file>