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2E1C65">
      <w:pPr>
        <w:spacing w:line="600" w:lineRule="exact"/>
        <w:jc w:val="center"/>
        <w:rPr>
          <w:rFonts w:hint="eastAsia" w:ascii="Times New Roman" w:hAnsi="Times New Roman" w:eastAsia="方正小标宋_GBK"/>
          <w:color w:val="000000" w:themeColor="text1"/>
          <w:sz w:val="44"/>
          <w:szCs w:val="44"/>
          <w14:textFill>
            <w14:solidFill>
              <w14:schemeClr w14:val="tx1"/>
            </w14:solidFill>
          </w14:textFill>
        </w:rPr>
      </w:pPr>
      <w:r>
        <w:rPr>
          <w:rFonts w:hint="eastAsia" w:ascii="Times New Roman" w:hAnsi="Times New Roman" w:eastAsia="方正小标宋_GBK"/>
          <w:color w:val="000000" w:themeColor="text1"/>
          <w:sz w:val="44"/>
          <w:szCs w:val="44"/>
          <w14:textFill>
            <w14:solidFill>
              <w14:schemeClr w14:val="tx1"/>
            </w14:solidFill>
          </w14:textFill>
        </w:rPr>
        <w:t>石柱土家族自治县民政局</w:t>
      </w:r>
    </w:p>
    <w:p w14:paraId="2350BCD8">
      <w:pPr>
        <w:spacing w:line="600" w:lineRule="exact"/>
        <w:jc w:val="center"/>
        <w:rPr>
          <w:rFonts w:ascii="Times New Roman" w:hAnsi="Times New Roman" w:eastAsia="方正小标宋_GBK"/>
          <w:color w:val="000000" w:themeColor="text1"/>
          <w:sz w:val="44"/>
          <w:szCs w:val="44"/>
          <w14:textFill>
            <w14:solidFill>
              <w14:schemeClr w14:val="tx1"/>
            </w14:solidFill>
          </w14:textFill>
        </w:rPr>
      </w:pPr>
      <w:r>
        <w:rPr>
          <w:rFonts w:ascii="Times New Roman" w:hAnsi="Times New Roman" w:eastAsia="方正小标宋_GBK"/>
          <w:color w:val="000000" w:themeColor="text1"/>
          <w:sz w:val="44"/>
          <w:szCs w:val="44"/>
          <w14:textFill>
            <w14:solidFill>
              <w14:schemeClr w14:val="tx1"/>
            </w14:solidFill>
          </w14:textFill>
        </w:rPr>
        <w:t>2024年部门预算情况说明</w:t>
      </w:r>
    </w:p>
    <w:p w14:paraId="5B75B8ED">
      <w:pPr>
        <w:spacing w:line="600" w:lineRule="exact"/>
        <w:ind w:firstLine="640" w:firstLineChars="200"/>
        <w:rPr>
          <w:rFonts w:ascii="Times New Roman" w:hAnsi="Times New Roman" w:eastAsia="方正黑体_GBK"/>
          <w:color w:val="000000" w:themeColor="text1"/>
          <w:sz w:val="32"/>
          <w:szCs w:val="32"/>
          <w14:textFill>
            <w14:solidFill>
              <w14:schemeClr w14:val="tx1"/>
            </w14:solidFill>
          </w14:textFill>
        </w:rPr>
      </w:pPr>
    </w:p>
    <w:p w14:paraId="186B105F">
      <w:pPr>
        <w:spacing w:line="600" w:lineRule="exact"/>
        <w:ind w:firstLine="640" w:firstLineChars="200"/>
        <w:rPr>
          <w:rFonts w:ascii="Times New Roman" w:hAnsi="Times New Roman" w:eastAsia="方正黑体_GBK"/>
          <w:color w:val="000000" w:themeColor="text1"/>
          <w:sz w:val="32"/>
          <w:szCs w:val="32"/>
          <w14:textFill>
            <w14:solidFill>
              <w14:schemeClr w14:val="tx1"/>
            </w14:solidFill>
          </w14:textFill>
        </w:rPr>
      </w:pPr>
      <w:r>
        <w:rPr>
          <w:rFonts w:ascii="Times New Roman" w:hAnsi="Times New Roman" w:eastAsia="方正黑体_GBK"/>
          <w:color w:val="000000" w:themeColor="text1"/>
          <w:sz w:val="32"/>
          <w:szCs w:val="32"/>
          <w14:textFill>
            <w14:solidFill>
              <w14:schemeClr w14:val="tx1"/>
            </w14:solidFill>
          </w14:textFill>
        </w:rPr>
        <w:t>一、单位基本情况</w:t>
      </w:r>
    </w:p>
    <w:p w14:paraId="2AC6CA81">
      <w:pPr>
        <w:spacing w:line="578"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楷体_GBK" w:cs="方正楷体_GBK"/>
          <w:color w:val="000000" w:themeColor="text1"/>
          <w:sz w:val="32"/>
          <w:szCs w:val="32"/>
          <w14:textFill>
            <w14:solidFill>
              <w14:schemeClr w14:val="tx1"/>
            </w14:solidFill>
          </w14:textFill>
        </w:rPr>
        <w:t>（一）职能职责</w:t>
      </w:r>
    </w:p>
    <w:p w14:paraId="631E7CE1">
      <w:pPr>
        <w:spacing w:line="594" w:lineRule="exact"/>
        <w:ind w:firstLine="66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石柱土家族自治县民政局贯彻落实党中央</w:t>
      </w:r>
      <w:r>
        <w:rPr>
          <w:rFonts w:hint="eastAsia" w:ascii="Times New Roman" w:hAnsi="Times New Roman" w:eastAsia="方正仿宋_GBK"/>
          <w:color w:val="000000" w:themeColor="text1"/>
          <w:sz w:val="32"/>
          <w:szCs w:val="32"/>
          <w14:textFill>
            <w14:solidFill>
              <w14:schemeClr w14:val="tx1"/>
            </w14:solidFill>
          </w14:textFill>
        </w:rPr>
        <w:t>、国务院</w:t>
      </w:r>
      <w:r>
        <w:rPr>
          <w:rFonts w:ascii="Times New Roman" w:hAnsi="Times New Roman" w:eastAsia="方正仿宋_GBK"/>
          <w:color w:val="000000" w:themeColor="text1"/>
          <w:sz w:val="32"/>
          <w:szCs w:val="32"/>
          <w14:textFill>
            <w14:solidFill>
              <w14:schemeClr w14:val="tx1"/>
            </w14:solidFill>
          </w14:textFill>
        </w:rPr>
        <w:t>关于民政工作的方针政策</w:t>
      </w:r>
      <w:r>
        <w:rPr>
          <w:rFonts w:hint="eastAsia" w:ascii="Times New Roman" w:hAnsi="Times New Roman" w:eastAsia="方正仿宋_GBK"/>
          <w:color w:val="000000" w:themeColor="text1"/>
          <w:sz w:val="32"/>
          <w:szCs w:val="32"/>
          <w14:textFill>
            <w14:solidFill>
              <w14:schemeClr w14:val="tx1"/>
            </w14:solidFill>
          </w14:textFill>
        </w:rPr>
        <w:t>和市委、市政府的工作要求及县委、县政府的工作安排</w:t>
      </w:r>
      <w:r>
        <w:rPr>
          <w:rFonts w:ascii="Times New Roman" w:hAnsi="Times New Roman" w:eastAsia="方正仿宋_GBK"/>
          <w:color w:val="000000" w:themeColor="text1"/>
          <w:sz w:val="32"/>
          <w:szCs w:val="32"/>
          <w14:textFill>
            <w14:solidFill>
              <w14:schemeClr w14:val="tx1"/>
            </w14:solidFill>
          </w14:textFill>
        </w:rPr>
        <w:t>，在履行职责过程中坚持和加强党对民政工作的集中统一领导。主要职责是：</w:t>
      </w:r>
    </w:p>
    <w:p w14:paraId="4AF0ECAB">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（一）贯彻执行民政工作法律法规、方针政策和地方标准；负责拟订民政工作规范性文件、发展规划，并组织实施。</w:t>
      </w:r>
    </w:p>
    <w:p w14:paraId="7695D3C4">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（二）贯彻执行社会团体、基金会、社会服务机构等社会组织登记和监督管理办法，依法对社会组织进行登记管理和执法监督。</w:t>
      </w:r>
    </w:p>
    <w:p w14:paraId="4E345206">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（三）贯彻执行社会救助政策、标准，负责社会救助体系建设，负责城乡居民最低生活保障、特困人员救助供养、临时救助、生活无着流浪乞讨人员救助</w:t>
      </w:r>
      <w:r>
        <w:rPr>
          <w:rFonts w:hint="eastAsia" w:ascii="Times New Roman" w:hAnsi="Times New Roman" w:eastAsia="方正仿宋_GBK"/>
          <w:color w:val="000000" w:themeColor="text1"/>
          <w:sz w:val="32"/>
          <w:szCs w:val="32"/>
          <w14:textFill>
            <w14:solidFill>
              <w14:schemeClr w14:val="tx1"/>
            </w14:solidFill>
          </w14:textFill>
        </w:rPr>
        <w:t>及社会救助家庭经济状况信息核查、认定等工作。</w:t>
      </w:r>
    </w:p>
    <w:p w14:paraId="7FDCA4A9">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（四）贯彻执行城乡基层群众自治建设和社区治理政策，指导城乡社区治理体系和治理能力建设，提出加强和改进城乡基层政权建设的建议，推动基层民主政治建设。</w:t>
      </w:r>
    </w:p>
    <w:p w14:paraId="1A387E46">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（五）贯彻执行行政区划、行政区域界</w:t>
      </w:r>
      <w:r>
        <w:rPr>
          <w:rFonts w:hint="eastAsia" w:ascii="Times New Roman" w:hAnsi="Times New Roman" w:eastAsia="方正仿宋_GBK"/>
          <w:color w:val="000000" w:themeColor="text1"/>
          <w:sz w:val="32"/>
          <w:szCs w:val="32"/>
          <w:lang w:eastAsia="zh-CN"/>
          <w14:textFill>
            <w14:solidFill>
              <w14:schemeClr w14:val="tx1"/>
            </w14:solidFill>
          </w14:textFill>
        </w:rPr>
        <w:t>线</w:t>
      </w:r>
      <w:r>
        <w:rPr>
          <w:rFonts w:ascii="Times New Roman" w:hAnsi="Times New Roman" w:eastAsia="方正仿宋_GBK"/>
          <w:color w:val="000000" w:themeColor="text1"/>
          <w:sz w:val="32"/>
          <w:szCs w:val="32"/>
          <w14:textFill>
            <w14:solidFill>
              <w14:schemeClr w14:val="tx1"/>
            </w14:solidFill>
          </w14:textFill>
        </w:rPr>
        <w:t>管理和地名管理政策、标准，负责报县政府审核的行政区划设立、命名、变更和政府驻地迁移初审工作，负责县内行政区域界线勘定和管理工作，负责地名管理工作，负责县内自然地理实体的命名、更名审核工作。</w:t>
      </w:r>
    </w:p>
    <w:p w14:paraId="39AABD76">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（六）负责婚姻登记</w:t>
      </w:r>
      <w:r>
        <w:rPr>
          <w:rFonts w:hint="eastAsia" w:ascii="Times New Roman" w:hAnsi="Times New Roman" w:eastAsia="方正仿宋_GBK"/>
          <w:color w:val="000000" w:themeColor="text1"/>
          <w:sz w:val="32"/>
          <w:szCs w:val="32"/>
          <w14:textFill>
            <w14:solidFill>
              <w14:schemeClr w14:val="tx1"/>
            </w14:solidFill>
          </w14:textFill>
        </w:rPr>
        <w:t>工作</w:t>
      </w:r>
      <w:r>
        <w:rPr>
          <w:rFonts w:ascii="Times New Roman" w:hAnsi="Times New Roman" w:eastAsia="方正仿宋_GBK"/>
          <w:color w:val="000000" w:themeColor="text1"/>
          <w:sz w:val="32"/>
          <w:szCs w:val="32"/>
          <w14:textFill>
            <w14:solidFill>
              <w14:schemeClr w14:val="tx1"/>
            </w14:solidFill>
          </w14:textFill>
        </w:rPr>
        <w:t>，贯彻执行婚姻管理政策，推进婚俗改革。</w:t>
      </w:r>
    </w:p>
    <w:p w14:paraId="19C060D3">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（七）负责殡葬管理工作，贯彻执行殡葬管理政策、服务规范，推进殡葬改革。</w:t>
      </w:r>
    </w:p>
    <w:p w14:paraId="5D6C106E">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（八）统筹推进、督促指导、监督管理养老服务工作，贯彻落实养老服务体系建设规划、政策、标准；承担老年人福利和特殊困难老年人救助工作；负责对社会福利机构和养老机构服务进行监督、管理。</w:t>
      </w:r>
    </w:p>
    <w:p w14:paraId="493CA95F">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（九）贯彻落实残疾人权益保护政策、残疾人福利制度。</w:t>
      </w:r>
    </w:p>
    <w:p w14:paraId="261B5DAF">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（十）贯彻执行儿童福利、孤弃儿童保障、儿童收养、儿童救助保护政策、标准，健全农村留守儿童关爱服务体系</w:t>
      </w:r>
      <w:r>
        <w:rPr>
          <w:rFonts w:hint="eastAsia" w:ascii="Times New Roman" w:hAnsi="Times New Roman" w:eastAsia="方正仿宋_GBK"/>
          <w:color w:val="000000" w:themeColor="text1"/>
          <w:sz w:val="32"/>
          <w:szCs w:val="32"/>
          <w14:textFill>
            <w14:solidFill>
              <w14:schemeClr w14:val="tx1"/>
            </w14:solidFill>
          </w14:textFill>
        </w:rPr>
        <w:t>，落实</w:t>
      </w:r>
      <w:r>
        <w:rPr>
          <w:rFonts w:ascii="Times New Roman" w:hAnsi="Times New Roman" w:eastAsia="方正仿宋_GBK"/>
          <w:color w:val="000000" w:themeColor="text1"/>
          <w:sz w:val="32"/>
          <w:szCs w:val="32"/>
          <w14:textFill>
            <w14:solidFill>
              <w14:schemeClr w14:val="tx1"/>
            </w14:solidFill>
          </w14:textFill>
        </w:rPr>
        <w:t>困境儿童保障制度。</w:t>
      </w:r>
    </w:p>
    <w:p w14:paraId="634F692B">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（十一）贯彻执行促进慈善事业发展政策，指导社会捐助工作，受市民政局委托承担本县福利彩票管理工作。</w:t>
      </w:r>
    </w:p>
    <w:p w14:paraId="4E627058">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（十二）贯彻执行社会工作、志愿服务政策和标准，会同有关部门推进社工人才队伍建设和志愿者队伍建设，促进民办社会工作服务机构发展。负责政府购买社会工作服务的统筹规划、组织实施和绩效评估工作。</w:t>
      </w:r>
    </w:p>
    <w:p w14:paraId="4F2B427C">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（十三）负责民政领域行政执法，具体执法工作交由相关执法队伍承担，并以部门名义统一执法。</w:t>
      </w:r>
    </w:p>
    <w:p w14:paraId="3B0EBCBE">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（十四）</w:t>
      </w:r>
      <w:r>
        <w:rPr>
          <w:rFonts w:hint="eastAsia" w:ascii="Times New Roman" w:hAnsi="Times New Roman" w:eastAsia="方正仿宋_GBK"/>
          <w:color w:val="000000" w:themeColor="text1"/>
          <w:sz w:val="32"/>
          <w:szCs w:val="32"/>
          <w14:textFill>
            <w14:solidFill>
              <w14:schemeClr w14:val="tx1"/>
            </w14:solidFill>
          </w14:textFill>
        </w:rPr>
        <w:t>负责机关、直属单位和所主管的社会组织党建工作。</w:t>
      </w:r>
    </w:p>
    <w:p w14:paraId="087F3013">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（十五）完成县委、县政府交办的其他任务。</w:t>
      </w:r>
    </w:p>
    <w:p w14:paraId="2C8E44D0">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十六）职能转变。石柱土家族自治县民政局应强化基本民生保障职能，为困难群众、孤老孤残孤儿等特殊群体提供基本社会服务，促进资源向薄弱乡镇、领域、环节倾斜。积极培育社会组织、社会工作者等多元参与主体，</w:t>
      </w:r>
      <w:r>
        <w:rPr>
          <w:rFonts w:hint="eastAsia" w:ascii="Times New Roman" w:hAnsi="Times New Roman" w:eastAsia="方正仿宋_GBK"/>
          <w:color w:val="000000" w:themeColor="text1"/>
          <w:sz w:val="32"/>
          <w:szCs w:val="32"/>
          <w14:textFill>
            <w14:solidFill>
              <w14:schemeClr w14:val="tx1"/>
            </w14:solidFill>
          </w14:textFill>
        </w:rPr>
        <w:t>推</w:t>
      </w:r>
      <w:r>
        <w:rPr>
          <w:rFonts w:ascii="Times New Roman" w:hAnsi="Times New Roman" w:eastAsia="方正仿宋_GBK"/>
          <w:color w:val="000000" w:themeColor="text1"/>
          <w:sz w:val="32"/>
          <w:szCs w:val="32"/>
          <w14:textFill>
            <w14:solidFill>
              <w14:schemeClr w14:val="tx1"/>
            </w14:solidFill>
          </w14:textFill>
        </w:rPr>
        <w:t>动搭建基层社会治理和社区公共服务平台。</w:t>
      </w:r>
    </w:p>
    <w:p w14:paraId="2492C65F">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（十七）有关职责分工。</w:t>
      </w:r>
    </w:p>
    <w:p w14:paraId="46EAE00B">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1.</w:t>
      </w:r>
      <w:r>
        <w:rPr>
          <w:rFonts w:ascii="Times New Roman" w:hAnsi="Times New Roman" w:eastAsia="方正仿宋_GBK"/>
          <w:color w:val="000000" w:themeColor="text1"/>
          <w:sz w:val="32"/>
          <w:szCs w:val="32"/>
          <w14:textFill>
            <w14:solidFill>
              <w14:schemeClr w14:val="tx1"/>
            </w14:solidFill>
          </w14:textFill>
        </w:rPr>
        <w:t>与石柱土家族自治县卫生健康委员会的有关职责分工。石柱土家族自治县民政局负责统筹推进、督促指导、监督管理养老服务工作，拟订全县养老服务体系建设规划并组织实施，贯彻执行养老服务体系建设法规、政策和标准，承担老年人福利和特殊困难老年人救助工作。石柱土家族自治县卫生健康委员会组织实施应对人口老龄化、医养结合政策措施，综合协调、督促指导、组织推进老龄事业发展，承担老年疾病防治、老年人医疗照护、老年人心理健康和关怀服务等老年健康工作。</w:t>
      </w:r>
    </w:p>
    <w:p w14:paraId="591A1618">
      <w:pPr>
        <w:snapToGrid w:val="0"/>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2.与石柱县规划和自然资源局的有关职责分工。石柱县民政局会同石柱县规划和自然资源局组织编制公布行政区划信息的石柱县行政区划图。</w:t>
      </w:r>
    </w:p>
    <w:p w14:paraId="7C2BB50A">
      <w:pPr>
        <w:spacing w:line="600" w:lineRule="exact"/>
        <w:ind w:firstLine="640" w:firstLineChars="200"/>
        <w:rPr>
          <w:rFonts w:ascii="Times New Roman" w:hAnsi="Times New Roman" w:eastAsia="方正楷体_GBK"/>
          <w:color w:val="000000" w:themeColor="text1"/>
          <w:sz w:val="32"/>
          <w:szCs w:val="32"/>
          <w14:textFill>
            <w14:solidFill>
              <w14:schemeClr w14:val="tx1"/>
            </w14:solidFill>
          </w14:textFill>
        </w:rPr>
      </w:pPr>
      <w:r>
        <w:rPr>
          <w:rFonts w:ascii="Times New Roman" w:hAnsi="Times New Roman" w:eastAsia="方正楷体_GBK"/>
          <w:color w:val="000000" w:themeColor="text1"/>
          <w:sz w:val="32"/>
          <w:szCs w:val="32"/>
          <w14:textFill>
            <w14:solidFill>
              <w14:schemeClr w14:val="tx1"/>
            </w14:solidFill>
          </w14:textFill>
        </w:rPr>
        <w:t>（二）单位构成</w:t>
      </w:r>
    </w:p>
    <w:p w14:paraId="2FA9B165">
      <w:pPr>
        <w:spacing w:line="578"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民政局内设办公室、</w:t>
      </w:r>
      <w:r>
        <w:rPr>
          <w:rFonts w:ascii="Times New Roman" w:hAnsi="Times New Roman" w:eastAsia="仿宋_GB2312" w:cs="仿宋_GB2312"/>
          <w:color w:val="000000" w:themeColor="text1"/>
          <w:sz w:val="32"/>
          <w:szCs w:val="32"/>
          <w14:textFill>
            <w14:solidFill>
              <w14:schemeClr w14:val="tx1"/>
            </w14:solidFill>
          </w14:textFill>
        </w:rPr>
        <w:t>社会救助科</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ascii="Times New Roman" w:hAnsi="Times New Roman" w:eastAsia="仿宋_GB2312" w:cs="仿宋_GB2312"/>
          <w:color w:val="000000" w:themeColor="text1"/>
          <w:sz w:val="32"/>
          <w:szCs w:val="32"/>
          <w14:textFill>
            <w14:solidFill>
              <w14:schemeClr w14:val="tx1"/>
            </w14:solidFill>
          </w14:textFill>
        </w:rPr>
        <w:t>养老福利科</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ascii="Times New Roman" w:hAnsi="Times New Roman" w:eastAsia="仿宋_GB2312" w:cs="仿宋_GB2312"/>
          <w:color w:val="000000" w:themeColor="text1"/>
          <w:sz w:val="32"/>
          <w:szCs w:val="32"/>
          <w14:textFill>
            <w14:solidFill>
              <w14:schemeClr w14:val="tx1"/>
            </w14:solidFill>
          </w14:textFill>
        </w:rPr>
        <w:t>基层政权区划地名和社会工作科</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ascii="Times New Roman" w:hAnsi="Times New Roman" w:eastAsia="仿宋_GB2312" w:cs="仿宋_GB2312"/>
          <w:color w:val="000000" w:themeColor="text1"/>
          <w:sz w:val="32"/>
          <w:szCs w:val="32"/>
          <w14:textFill>
            <w14:solidFill>
              <w14:schemeClr w14:val="tx1"/>
            </w14:solidFill>
          </w14:textFill>
        </w:rPr>
        <w:t>社会事务科（行政许可服务科）</w:t>
      </w:r>
      <w:r>
        <w:rPr>
          <w:rFonts w:hint="eastAsia" w:ascii="Times New Roman" w:hAnsi="Times New Roman" w:eastAsia="仿宋_GB2312" w:cs="仿宋_GB2312"/>
          <w:color w:val="000000" w:themeColor="text1"/>
          <w:sz w:val="32"/>
          <w:szCs w:val="32"/>
          <w14:textFill>
            <w14:solidFill>
              <w14:schemeClr w14:val="tx1"/>
            </w14:solidFill>
          </w14:textFill>
        </w:rPr>
        <w:t>5个科室，下属</w:t>
      </w:r>
      <w:r>
        <w:rPr>
          <w:rFonts w:hint="eastAsia" w:ascii="Times New Roman" w:hAnsi="Times New Roman" w:eastAsia="方正仿宋_GBK"/>
          <w:color w:val="000000" w:themeColor="text1"/>
          <w:sz w:val="32"/>
          <w:szCs w:val="32"/>
          <w14:textFill>
            <w14:solidFill>
              <w14:schemeClr w14:val="tx1"/>
            </w14:solidFill>
          </w14:textFill>
        </w:rPr>
        <w:t>石柱土家族自治县最低生活保障中心（石柱土家族自治县救助站、石柱土家族自治县未成年人救助保护中心）</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石柱土家族自治县</w:t>
      </w:r>
      <w:r>
        <w:rPr>
          <w:rFonts w:hint="eastAsia" w:ascii="Times New Roman" w:hAnsi="Times New Roman" w:eastAsia="方正仿宋_GBK"/>
          <w:color w:val="000000" w:themeColor="text1"/>
          <w:sz w:val="32"/>
          <w:szCs w:val="32"/>
          <w14:textFill>
            <w14:solidFill>
              <w14:schemeClr w14:val="tx1"/>
            </w14:solidFill>
          </w14:textFill>
        </w:rPr>
        <w:t>民政</w:t>
      </w:r>
      <w:r>
        <w:rPr>
          <w:rFonts w:ascii="Times New Roman" w:hAnsi="Times New Roman" w:eastAsia="方正仿宋_GBK"/>
          <w:color w:val="000000" w:themeColor="text1"/>
          <w:sz w:val="32"/>
          <w:szCs w:val="32"/>
          <w14:textFill>
            <w14:solidFill>
              <w14:schemeClr w14:val="tx1"/>
            </w14:solidFill>
          </w14:textFill>
        </w:rPr>
        <w:t>社会服务中心</w:t>
      </w:r>
      <w:r>
        <w:rPr>
          <w:rFonts w:hint="eastAsia" w:ascii="Times New Roman" w:hAnsi="Times New Roman" w:eastAsia="方正仿宋_GBK"/>
          <w:color w:val="000000" w:themeColor="text1"/>
          <w:sz w:val="32"/>
          <w:szCs w:val="32"/>
          <w14:textFill>
            <w14:solidFill>
              <w14:schemeClr w14:val="tx1"/>
            </w14:solidFill>
          </w14:textFill>
        </w:rPr>
        <w:t>（由石柱土家族自治县社会福利服务中心和石柱土家族自治县民政局婚姻登记处合并而成，挂石柱县婚姻登记处牌子）</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石柱土家族自治县殡葬事务中心</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sz w:val="32"/>
          <w:szCs w:val="32"/>
          <w14:textFill>
            <w14:solidFill>
              <w14:schemeClr w14:val="tx1"/>
            </w14:solidFill>
          </w14:textFill>
        </w:rPr>
        <w:t>个事业单位。</w:t>
      </w:r>
    </w:p>
    <w:p w14:paraId="41875C52">
      <w:pPr>
        <w:spacing w:line="600" w:lineRule="exact"/>
        <w:ind w:firstLine="640" w:firstLineChars="200"/>
        <w:rPr>
          <w:rFonts w:ascii="Times New Roman" w:hAnsi="Times New Roman" w:eastAsia="方正黑体_GBK"/>
          <w:color w:val="000000" w:themeColor="text1"/>
          <w:sz w:val="32"/>
          <w:szCs w:val="32"/>
          <w14:textFill>
            <w14:solidFill>
              <w14:schemeClr w14:val="tx1"/>
            </w14:solidFill>
          </w14:textFill>
        </w:rPr>
      </w:pPr>
      <w:r>
        <w:rPr>
          <w:rFonts w:ascii="Times New Roman" w:hAnsi="Times New Roman" w:eastAsia="方正黑体_GBK"/>
          <w:color w:val="000000" w:themeColor="text1"/>
          <w:sz w:val="32"/>
          <w:szCs w:val="32"/>
          <w14:textFill>
            <w14:solidFill>
              <w14:schemeClr w14:val="tx1"/>
            </w14:solidFill>
          </w14:textFill>
        </w:rPr>
        <w:t>二、部门收支总体情况</w:t>
      </w:r>
    </w:p>
    <w:p w14:paraId="0D23ADE9">
      <w:pPr>
        <w:spacing w:line="600" w:lineRule="exact"/>
        <w:ind w:firstLine="640" w:firstLineChars="200"/>
        <w:rPr>
          <w:rFonts w:ascii="Times New Roman" w:hAnsi="Times New Roman" w:eastAsia="方正仿宋_GBK"/>
          <w:color w:val="000000" w:themeColor="text1"/>
          <w:sz w:val="32"/>
          <w:szCs w:val="32"/>
          <w:highlight w:val="yellow"/>
          <w14:textFill>
            <w14:solidFill>
              <w14:schemeClr w14:val="tx1"/>
            </w14:solidFill>
          </w14:textFill>
        </w:rPr>
      </w:pPr>
      <w:r>
        <w:rPr>
          <w:rFonts w:ascii="Times New Roman" w:hAnsi="Times New Roman" w:eastAsia="方正楷体_GBK"/>
          <w:color w:val="000000" w:themeColor="text1"/>
          <w:sz w:val="32"/>
          <w:szCs w:val="32"/>
          <w14:textFill>
            <w14:solidFill>
              <w14:schemeClr w14:val="tx1"/>
            </w14:solidFill>
          </w14:textFill>
        </w:rPr>
        <w:t>（一）收入预算：</w:t>
      </w:r>
      <w:r>
        <w:rPr>
          <w:rFonts w:ascii="Times New Roman" w:hAnsi="Times New Roman" w:eastAsia="方正仿宋_GBK"/>
          <w:color w:val="000000" w:themeColor="text1"/>
          <w:sz w:val="32"/>
          <w:szCs w:val="32"/>
          <w14:textFill>
            <w14:solidFill>
              <w14:schemeClr w14:val="tx1"/>
            </w14:solidFill>
          </w14:textFill>
        </w:rPr>
        <w:t>2024年年初预算数16172.1万元，其中：一般公共预算拨款15641.87万元，政府性基金预算拨款145万元，</w:t>
      </w:r>
      <w:r>
        <w:rPr>
          <w:rFonts w:hint="eastAsia" w:ascii="Times New Roman" w:hAnsi="Times New Roman" w:eastAsia="方正仿宋_GBK"/>
          <w:color w:val="000000" w:themeColor="text1"/>
          <w:sz w:val="32"/>
          <w:szCs w:val="32"/>
          <w14:textFill>
            <w14:solidFill>
              <w14:schemeClr w14:val="tx1"/>
            </w14:solidFill>
          </w14:textFill>
        </w:rPr>
        <w:t>上年结转</w:t>
      </w:r>
      <w:r>
        <w:rPr>
          <w:rFonts w:ascii="Times New Roman" w:hAnsi="Times New Roman" w:eastAsia="方正仿宋_GBK"/>
          <w:color w:val="000000" w:themeColor="text1"/>
          <w:sz w:val="32"/>
          <w:szCs w:val="32"/>
          <w14:textFill>
            <w14:solidFill>
              <w14:schemeClr w14:val="tx1"/>
            </w14:solidFill>
          </w14:textFill>
        </w:rPr>
        <w:t>385.23万元；收入</w:t>
      </w:r>
      <w:r>
        <w:rPr>
          <w:rFonts w:hint="eastAsia" w:ascii="Times New Roman" w:hAnsi="Times New Roman" w:eastAsia="方正仿宋_GBK"/>
          <w:color w:val="000000" w:themeColor="text1"/>
          <w:sz w:val="32"/>
          <w:szCs w:val="32"/>
          <w14:textFill>
            <w14:solidFill>
              <w14:schemeClr w14:val="tx1"/>
            </w14:solidFill>
          </w14:textFill>
        </w:rPr>
        <w:t>比2023年</w:t>
      </w:r>
      <w:r>
        <w:rPr>
          <w:rFonts w:ascii="Times New Roman" w:hAnsi="Times New Roman" w:eastAsia="方正仿宋_GBK"/>
          <w:color w:val="000000" w:themeColor="text1"/>
          <w:sz w:val="32"/>
          <w:szCs w:val="32"/>
          <w14:textFill>
            <w14:solidFill>
              <w14:schemeClr w14:val="tx1"/>
            </w14:solidFill>
          </w14:textFill>
        </w:rPr>
        <w:t>减少</w:t>
      </w:r>
      <w:r>
        <w:rPr>
          <w:rFonts w:hint="eastAsia" w:ascii="Times New Roman" w:hAnsi="Times New Roman" w:eastAsia="方正仿宋_GBK"/>
          <w:color w:val="000000" w:themeColor="text1"/>
          <w:sz w:val="32"/>
          <w:szCs w:val="32"/>
          <w14:textFill>
            <w14:solidFill>
              <w14:schemeClr w14:val="tx1"/>
            </w14:solidFill>
          </w14:textFill>
        </w:rPr>
        <w:t>1148.76</w:t>
      </w:r>
      <w:r>
        <w:rPr>
          <w:rFonts w:ascii="Times New Roman" w:hAnsi="Times New Roman" w:eastAsia="方正仿宋_GBK"/>
          <w:color w:val="000000" w:themeColor="text1"/>
          <w:sz w:val="32"/>
          <w:szCs w:val="32"/>
          <w14:textFill>
            <w14:solidFill>
              <w14:schemeClr w14:val="tx1"/>
            </w14:solidFill>
          </w14:textFill>
        </w:rPr>
        <w:t>万元，主要是一般公共预算拨款减少</w:t>
      </w:r>
      <w:r>
        <w:rPr>
          <w:rFonts w:hint="eastAsia" w:ascii="Times New Roman" w:hAnsi="Times New Roman" w:eastAsia="方正仿宋_GBK"/>
          <w:color w:val="000000" w:themeColor="text1"/>
          <w:sz w:val="32"/>
          <w:szCs w:val="32"/>
          <w14:textFill>
            <w14:solidFill>
              <w14:schemeClr w14:val="tx1"/>
            </w14:solidFill>
          </w14:textFill>
        </w:rPr>
        <w:t>811.33</w:t>
      </w:r>
      <w:r>
        <w:rPr>
          <w:rFonts w:ascii="Times New Roman" w:hAnsi="Times New Roman" w:eastAsia="方正仿宋_GBK"/>
          <w:color w:val="000000" w:themeColor="text1"/>
          <w:sz w:val="32"/>
          <w:szCs w:val="32"/>
          <w14:textFill>
            <w14:solidFill>
              <w14:schemeClr w14:val="tx1"/>
            </w14:solidFill>
          </w14:textFill>
        </w:rPr>
        <w:t>万元</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政府性基金预算拨款减少</w:t>
      </w:r>
      <w:r>
        <w:rPr>
          <w:rFonts w:hint="eastAsia" w:ascii="Times New Roman" w:hAnsi="Times New Roman" w:eastAsia="方正仿宋_GBK"/>
          <w:color w:val="000000" w:themeColor="text1"/>
          <w:sz w:val="32"/>
          <w:szCs w:val="32"/>
          <w14:textFill>
            <w14:solidFill>
              <w14:schemeClr w14:val="tx1"/>
            </w14:solidFill>
          </w14:textFill>
        </w:rPr>
        <w:t>0.4</w:t>
      </w:r>
      <w:r>
        <w:rPr>
          <w:rFonts w:ascii="Times New Roman" w:hAnsi="Times New Roman" w:eastAsia="方正仿宋_GBK"/>
          <w:color w:val="000000" w:themeColor="text1"/>
          <w:sz w:val="32"/>
          <w:szCs w:val="32"/>
          <w14:textFill>
            <w14:solidFill>
              <w14:schemeClr w14:val="tx1"/>
            </w14:solidFill>
          </w14:textFill>
        </w:rPr>
        <w:t xml:space="preserve"> 万元</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上年结转比上年减少</w:t>
      </w:r>
      <w:r>
        <w:rPr>
          <w:rFonts w:hint="eastAsia" w:ascii="Times New Roman" w:hAnsi="Times New Roman" w:eastAsia="方正仿宋_GBK"/>
          <w:color w:val="000000" w:themeColor="text1"/>
          <w:sz w:val="32"/>
          <w:szCs w:val="32"/>
          <w14:textFill>
            <w14:solidFill>
              <w14:schemeClr w14:val="tx1"/>
            </w14:solidFill>
          </w14:textFill>
        </w:rPr>
        <w:t>337.03万元。</w:t>
      </w:r>
    </w:p>
    <w:p w14:paraId="7B638763">
      <w:pPr>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楷体_GBK"/>
          <w:color w:val="000000" w:themeColor="text1"/>
          <w:sz w:val="32"/>
          <w:szCs w:val="32"/>
          <w14:textFill>
            <w14:solidFill>
              <w14:schemeClr w14:val="tx1"/>
            </w14:solidFill>
          </w14:textFill>
        </w:rPr>
        <w:t>（二）支出预算：</w:t>
      </w:r>
      <w:r>
        <w:rPr>
          <w:rFonts w:ascii="Times New Roman" w:hAnsi="Times New Roman" w:eastAsia="方正仿宋_GBK"/>
          <w:color w:val="000000" w:themeColor="text1"/>
          <w:sz w:val="32"/>
          <w:szCs w:val="32"/>
          <w14:textFill>
            <w14:solidFill>
              <w14:schemeClr w14:val="tx1"/>
            </w14:solidFill>
          </w14:textFill>
        </w:rPr>
        <w:t>2024年年初预算数16172.1万元，其中：一般公共服务支出16012.82万元，社会保障和就业支出15913.79万元，卫生健康支出49.95万元，住房保障支出49.09万元</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其他支出159.28万元；支出</w:t>
      </w:r>
      <w:r>
        <w:rPr>
          <w:rFonts w:hint="eastAsia" w:ascii="Times New Roman" w:hAnsi="Times New Roman" w:eastAsia="方正仿宋_GBK"/>
          <w:color w:val="000000" w:themeColor="text1"/>
          <w:sz w:val="32"/>
          <w:szCs w:val="32"/>
          <w14:textFill>
            <w14:solidFill>
              <w14:schemeClr w14:val="tx1"/>
            </w14:solidFill>
          </w14:textFill>
        </w:rPr>
        <w:t>比2023年</w:t>
      </w:r>
      <w:r>
        <w:rPr>
          <w:rFonts w:ascii="Times New Roman" w:hAnsi="Times New Roman" w:eastAsia="方正仿宋_GBK"/>
          <w:color w:val="000000" w:themeColor="text1"/>
          <w:sz w:val="32"/>
          <w:szCs w:val="32"/>
          <w14:textFill>
            <w14:solidFill>
              <w14:schemeClr w14:val="tx1"/>
            </w14:solidFill>
          </w14:textFill>
        </w:rPr>
        <w:t>减少</w:t>
      </w:r>
      <w:r>
        <w:rPr>
          <w:rFonts w:hint="eastAsia" w:ascii="Times New Roman" w:hAnsi="Times New Roman" w:eastAsia="方正仿宋_GBK"/>
          <w:color w:val="000000" w:themeColor="text1"/>
          <w:sz w:val="32"/>
          <w:szCs w:val="32"/>
          <w14:textFill>
            <w14:solidFill>
              <w14:schemeClr w14:val="tx1"/>
            </w14:solidFill>
          </w14:textFill>
        </w:rPr>
        <w:t>1148.76</w:t>
      </w:r>
      <w:r>
        <w:rPr>
          <w:rFonts w:ascii="Times New Roman" w:hAnsi="Times New Roman" w:eastAsia="方正仿宋_GBK"/>
          <w:color w:val="000000" w:themeColor="text1"/>
          <w:sz w:val="32"/>
          <w:szCs w:val="32"/>
          <w14:textFill>
            <w14:solidFill>
              <w14:schemeClr w14:val="tx1"/>
            </w14:solidFill>
          </w14:textFill>
        </w:rPr>
        <w:t>万元，主要是基本支出减少</w:t>
      </w:r>
      <w:r>
        <w:rPr>
          <w:rFonts w:hint="eastAsia" w:ascii="Times New Roman" w:hAnsi="Times New Roman" w:eastAsia="方正仿宋_GBK"/>
          <w:color w:val="000000" w:themeColor="text1"/>
          <w:sz w:val="32"/>
          <w:szCs w:val="32"/>
          <w14:textFill>
            <w14:solidFill>
              <w14:schemeClr w14:val="tx1"/>
            </w14:solidFill>
          </w14:textFill>
        </w:rPr>
        <w:t>10.77</w:t>
      </w:r>
      <w:r>
        <w:rPr>
          <w:rFonts w:ascii="Times New Roman" w:hAnsi="Times New Roman" w:eastAsia="方正仿宋_GBK"/>
          <w:color w:val="000000" w:themeColor="text1"/>
          <w:sz w:val="32"/>
          <w:szCs w:val="32"/>
          <w14:textFill>
            <w14:solidFill>
              <w14:schemeClr w14:val="tx1"/>
            </w14:solidFill>
          </w14:textFill>
        </w:rPr>
        <w:t>万元，项目支出</w:t>
      </w:r>
      <w:r>
        <w:rPr>
          <w:rFonts w:hint="eastAsia" w:ascii="Times New Roman" w:hAnsi="Times New Roman" w:eastAsia="方正仿宋_GBK"/>
          <w:color w:val="000000" w:themeColor="text1"/>
          <w:sz w:val="32"/>
          <w:szCs w:val="32"/>
          <w14:textFill>
            <w14:solidFill>
              <w14:schemeClr w14:val="tx1"/>
            </w14:solidFill>
          </w14:textFill>
        </w:rPr>
        <w:t>减少925.3</w:t>
      </w:r>
      <w:r>
        <w:rPr>
          <w:rFonts w:ascii="Times New Roman" w:hAnsi="Times New Roman" w:eastAsia="方正仿宋_GBK"/>
          <w:color w:val="000000" w:themeColor="text1"/>
          <w:sz w:val="32"/>
          <w:szCs w:val="32"/>
          <w14:textFill>
            <w14:solidFill>
              <w14:schemeClr w14:val="tx1"/>
            </w14:solidFill>
          </w14:textFill>
        </w:rPr>
        <w:t>万元。</w:t>
      </w:r>
    </w:p>
    <w:p w14:paraId="79E5B3DE">
      <w:pPr>
        <w:spacing w:line="600" w:lineRule="exact"/>
        <w:ind w:firstLine="640" w:firstLineChars="200"/>
        <w:rPr>
          <w:rFonts w:ascii="Times New Roman" w:hAnsi="Times New Roman" w:eastAsia="方正黑体_GBK"/>
          <w:color w:val="000000" w:themeColor="text1"/>
          <w:sz w:val="32"/>
          <w:szCs w:val="32"/>
          <w14:textFill>
            <w14:solidFill>
              <w14:schemeClr w14:val="tx1"/>
            </w14:solidFill>
          </w14:textFill>
        </w:rPr>
      </w:pPr>
      <w:r>
        <w:rPr>
          <w:rFonts w:ascii="Times New Roman" w:hAnsi="Times New Roman" w:eastAsia="方正黑体_GBK"/>
          <w:color w:val="000000" w:themeColor="text1"/>
          <w:sz w:val="32"/>
          <w:szCs w:val="32"/>
          <w14:textFill>
            <w14:solidFill>
              <w14:schemeClr w14:val="tx1"/>
            </w14:solidFill>
          </w14:textFill>
        </w:rPr>
        <w:t>三、部门预算情况说明</w:t>
      </w:r>
    </w:p>
    <w:p w14:paraId="3C47BAB7">
      <w:pPr>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2024年一般公共预算财政拨款收入16012.82万元，一般公共预算财政拨款支出16012.82万元，比2023年减少</w:t>
      </w:r>
      <w:r>
        <w:rPr>
          <w:rFonts w:hint="eastAsia" w:ascii="Times New Roman" w:hAnsi="Times New Roman" w:eastAsia="方正仿宋_GBK"/>
          <w:color w:val="000000" w:themeColor="text1"/>
          <w:sz w:val="32"/>
          <w:szCs w:val="32"/>
          <w14:textFill>
            <w14:solidFill>
              <w14:schemeClr w14:val="tx1"/>
            </w14:solidFill>
          </w14:textFill>
        </w:rPr>
        <w:t>811.33</w:t>
      </w:r>
      <w:r>
        <w:rPr>
          <w:rFonts w:ascii="Times New Roman" w:hAnsi="Times New Roman" w:eastAsia="方正仿宋_GBK"/>
          <w:color w:val="000000" w:themeColor="text1"/>
          <w:sz w:val="32"/>
          <w:szCs w:val="32"/>
          <w14:textFill>
            <w14:solidFill>
              <w14:schemeClr w14:val="tx1"/>
            </w14:solidFill>
          </w14:textFill>
        </w:rPr>
        <w:t>万元。其中：基本支出</w:t>
      </w:r>
      <w:r>
        <w:rPr>
          <w:rFonts w:hint="eastAsia" w:ascii="Times New Roman" w:hAnsi="Times New Roman" w:eastAsia="方正仿宋_GBK"/>
          <w:color w:val="000000" w:themeColor="text1"/>
          <w:sz w:val="32"/>
          <w:szCs w:val="32"/>
          <w14:textFill>
            <w14:solidFill>
              <w14:schemeClr w14:val="tx1"/>
            </w14:solidFill>
          </w14:textFill>
        </w:rPr>
        <w:t>814.72</w:t>
      </w:r>
      <w:r>
        <w:rPr>
          <w:rFonts w:ascii="Times New Roman" w:hAnsi="Times New Roman" w:eastAsia="方正仿宋_GBK"/>
          <w:color w:val="000000" w:themeColor="text1"/>
          <w:sz w:val="32"/>
          <w:szCs w:val="32"/>
          <w14:textFill>
            <w14:solidFill>
              <w14:schemeClr w14:val="tx1"/>
            </w14:solidFill>
          </w14:textFill>
        </w:rPr>
        <w:t>万元，主要用于保障</w:t>
      </w:r>
      <w:r>
        <w:rPr>
          <w:rFonts w:hint="eastAsia" w:ascii="Times New Roman" w:hAnsi="Times New Roman" w:eastAsia="方正仿宋_GBK"/>
          <w:color w:val="000000" w:themeColor="text1"/>
          <w:sz w:val="32"/>
          <w:szCs w:val="32"/>
          <w14:textFill>
            <w14:solidFill>
              <w14:schemeClr w14:val="tx1"/>
            </w14:solidFill>
          </w14:textFill>
        </w:rPr>
        <w:t>民政局</w:t>
      </w:r>
      <w:r>
        <w:rPr>
          <w:rFonts w:ascii="Times New Roman" w:hAnsi="Times New Roman" w:eastAsia="方正仿宋_GBK"/>
          <w:color w:val="000000" w:themeColor="text1"/>
          <w:sz w:val="32"/>
          <w:szCs w:val="32"/>
          <w14:textFill>
            <w14:solidFill>
              <w14:schemeClr w14:val="tx1"/>
            </w14:solidFill>
          </w14:textFill>
        </w:rPr>
        <w:t>在职人员工资福利及社会保险缴费、离休人员离休费、退休人员补助等，保障部门正常运转的各项商品服务支出，比2023年减少</w:t>
      </w:r>
      <w:r>
        <w:rPr>
          <w:rFonts w:hint="eastAsia" w:ascii="Times New Roman" w:hAnsi="Times New Roman" w:eastAsia="方正仿宋_GBK"/>
          <w:color w:val="000000" w:themeColor="text1"/>
          <w:sz w:val="32"/>
          <w:szCs w:val="32"/>
          <w14:textFill>
            <w14:solidFill>
              <w14:schemeClr w14:val="tx1"/>
            </w14:solidFill>
          </w14:textFill>
        </w:rPr>
        <w:t>10.77</w:t>
      </w:r>
      <w:r>
        <w:rPr>
          <w:rFonts w:ascii="Times New Roman" w:hAnsi="Times New Roman" w:eastAsia="方正仿宋_GBK"/>
          <w:color w:val="000000" w:themeColor="text1"/>
          <w:sz w:val="32"/>
          <w:szCs w:val="32"/>
          <w14:textFill>
            <w14:solidFill>
              <w14:schemeClr w14:val="tx1"/>
            </w14:solidFill>
          </w14:textFill>
        </w:rPr>
        <w:t>万元，</w:t>
      </w:r>
      <w:r>
        <w:rPr>
          <w:rFonts w:hint="eastAsia" w:ascii="Times New Roman" w:hAnsi="Times New Roman" w:eastAsia="方正仿宋_GBK"/>
          <w:color w:val="000000" w:themeColor="text1"/>
          <w:sz w:val="32"/>
          <w:szCs w:val="32"/>
          <w:lang w:eastAsia="zh-CN"/>
          <w14:textFill>
            <w14:solidFill>
              <w14:schemeClr w14:val="tx1"/>
            </w14:solidFill>
          </w14:textFill>
        </w:rPr>
        <w:t>主要原因是</w:t>
      </w:r>
      <w:r>
        <w:rPr>
          <w:rFonts w:ascii="Times New Roman" w:hAnsi="Times New Roman" w:eastAsia="方正仿宋_GBK"/>
          <w:color w:val="000000" w:themeColor="text1"/>
          <w:sz w:val="32"/>
          <w:szCs w:val="32"/>
          <w14:textFill>
            <w14:solidFill>
              <w14:schemeClr w14:val="tx1"/>
            </w14:solidFill>
          </w14:textFill>
        </w:rPr>
        <w:t>机构改革</w:t>
      </w:r>
      <w:r>
        <w:rPr>
          <w:rFonts w:hint="eastAsia" w:ascii="Times New Roman" w:hAnsi="Times New Roman" w:eastAsia="方正仿宋_GBK"/>
          <w:color w:val="000000" w:themeColor="text1"/>
          <w:sz w:val="32"/>
          <w:szCs w:val="32"/>
          <w14:textFill>
            <w14:solidFill>
              <w14:schemeClr w14:val="tx1"/>
            </w14:solidFill>
          </w14:textFill>
        </w:rPr>
        <w:t>，民政局下属2个</w:t>
      </w:r>
      <w:r>
        <w:rPr>
          <w:rFonts w:ascii="Times New Roman" w:hAnsi="Times New Roman" w:eastAsia="方正仿宋_GBK"/>
          <w:color w:val="000000" w:themeColor="text1"/>
          <w:sz w:val="32"/>
          <w:szCs w:val="32"/>
          <w14:textFill>
            <w14:solidFill>
              <w14:schemeClr w14:val="tx1"/>
            </w14:solidFill>
          </w14:textFill>
        </w:rPr>
        <w:t>事业单位合并</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减少事业编制</w:t>
      </w:r>
      <w:r>
        <w:rPr>
          <w:rFonts w:hint="eastAsia" w:ascii="Times New Roman" w:hAnsi="Times New Roman" w:eastAsia="方正仿宋_GBK"/>
          <w:color w:val="000000" w:themeColor="text1"/>
          <w:sz w:val="32"/>
          <w:szCs w:val="32"/>
          <w14:textFill>
            <w14:solidFill>
              <w14:schemeClr w14:val="tx1"/>
            </w14:solidFill>
          </w14:textFill>
        </w:rPr>
        <w:t>1人，机关工勤因退休编制减少1人，商品服务定额预算减少</w:t>
      </w:r>
      <w:r>
        <w:rPr>
          <w:rFonts w:ascii="Times New Roman" w:hAnsi="Times New Roman" w:eastAsia="方正仿宋_GBK"/>
          <w:color w:val="000000" w:themeColor="text1"/>
          <w:sz w:val="32"/>
          <w:szCs w:val="32"/>
          <w14:textFill>
            <w14:solidFill>
              <w14:schemeClr w14:val="tx1"/>
            </w14:solidFill>
          </w14:textFill>
        </w:rPr>
        <w:t>；项目支出</w:t>
      </w:r>
      <w:r>
        <w:rPr>
          <w:rFonts w:hint="eastAsia" w:ascii="Times New Roman" w:hAnsi="Times New Roman" w:eastAsia="方正仿宋_GBK"/>
          <w:color w:val="000000" w:themeColor="text1"/>
          <w:sz w:val="32"/>
          <w:szCs w:val="32"/>
          <w14:textFill>
            <w14:solidFill>
              <w14:schemeClr w14:val="tx1"/>
            </w14:solidFill>
          </w14:textFill>
        </w:rPr>
        <w:t>15198.1</w:t>
      </w:r>
      <w:r>
        <w:rPr>
          <w:rFonts w:ascii="Times New Roman" w:hAnsi="Times New Roman" w:eastAsia="方正仿宋_GBK"/>
          <w:color w:val="000000" w:themeColor="text1"/>
          <w:sz w:val="32"/>
          <w:szCs w:val="32"/>
          <w14:textFill>
            <w14:solidFill>
              <w14:schemeClr w14:val="tx1"/>
            </w14:solidFill>
          </w14:textFill>
        </w:rPr>
        <w:t>万元，主要用于低保</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特困及孤儿等重点民政对象的生活救助，比2023年</w:t>
      </w:r>
      <w:r>
        <w:rPr>
          <w:rFonts w:hint="eastAsia" w:ascii="Times New Roman" w:hAnsi="Times New Roman" w:eastAsia="方正仿宋_GBK"/>
          <w:color w:val="000000" w:themeColor="text1"/>
          <w:sz w:val="32"/>
          <w:szCs w:val="32"/>
          <w14:textFill>
            <w14:solidFill>
              <w14:schemeClr w14:val="tx1"/>
            </w14:solidFill>
          </w14:textFill>
        </w:rPr>
        <w:t>减少925.3</w:t>
      </w:r>
      <w:r>
        <w:rPr>
          <w:rFonts w:ascii="Times New Roman" w:hAnsi="Times New Roman" w:eastAsia="方正仿宋_GBK"/>
          <w:color w:val="000000" w:themeColor="text1"/>
          <w:sz w:val="32"/>
          <w:szCs w:val="32"/>
          <w14:textFill>
            <w14:solidFill>
              <w14:schemeClr w14:val="tx1"/>
            </w14:solidFill>
          </w14:textFill>
        </w:rPr>
        <w:t>万元，主要原因一是</w:t>
      </w:r>
      <w:r>
        <w:rPr>
          <w:rFonts w:hint="eastAsia" w:ascii="Times New Roman" w:hAnsi="Times New Roman" w:eastAsia="方正仿宋_GBK"/>
          <w:color w:val="000000" w:themeColor="text1"/>
          <w:sz w:val="32"/>
          <w:szCs w:val="32"/>
          <w14:textFill>
            <w14:solidFill>
              <w14:schemeClr w14:val="tx1"/>
            </w14:solidFill>
          </w14:textFill>
        </w:rPr>
        <w:t>部分</w:t>
      </w:r>
      <w:r>
        <w:rPr>
          <w:rFonts w:ascii="Times New Roman" w:hAnsi="Times New Roman" w:eastAsia="方正仿宋_GBK"/>
          <w:color w:val="000000" w:themeColor="text1"/>
          <w:sz w:val="32"/>
          <w:szCs w:val="32"/>
          <w14:textFill>
            <w14:solidFill>
              <w14:schemeClr w14:val="tx1"/>
            </w14:solidFill>
          </w14:textFill>
        </w:rPr>
        <w:t>民政对象因为人数减少</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预算减少</w:t>
      </w:r>
      <w:r>
        <w:rPr>
          <w:rFonts w:hint="eastAsia" w:ascii="Times New Roman" w:hAnsi="Times New Roman" w:eastAsia="方正仿宋_GBK"/>
          <w:color w:val="000000" w:themeColor="text1"/>
          <w:sz w:val="32"/>
          <w:szCs w:val="32"/>
          <w14:textFill>
            <w14:solidFill>
              <w14:schemeClr w14:val="tx1"/>
            </w14:solidFill>
          </w14:textFill>
        </w:rPr>
        <w:t>；二是减少了债券资金项目预算</w:t>
      </w:r>
      <w:r>
        <w:rPr>
          <w:rFonts w:ascii="Times New Roman" w:hAnsi="Times New Roman" w:eastAsia="方正仿宋_GBK"/>
          <w:color w:val="000000" w:themeColor="text1"/>
          <w:sz w:val="32"/>
          <w:szCs w:val="32"/>
          <w14:textFill>
            <w14:solidFill>
              <w14:schemeClr w14:val="tx1"/>
            </w14:solidFill>
          </w14:textFill>
        </w:rPr>
        <w:t>。</w:t>
      </w:r>
    </w:p>
    <w:p w14:paraId="6FC14746">
      <w:pPr>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2024年政府性基金预算财政拨款收入159.28万元，政府性基金预算支出159.28万元，主要</w:t>
      </w:r>
      <w:r>
        <w:rPr>
          <w:rFonts w:hint="eastAsia" w:ascii="Times New Roman" w:hAnsi="Times New Roman" w:eastAsia="方正仿宋_GBK"/>
          <w:color w:val="000000" w:themeColor="text1"/>
          <w:sz w:val="32"/>
          <w:szCs w:val="32"/>
          <w14:textFill>
            <w14:solidFill>
              <w14:schemeClr w14:val="tx1"/>
            </w14:solidFill>
          </w14:textFill>
        </w:rPr>
        <w:t>用于养老服务中心建设以及利民惠民的社会工作项目等</w:t>
      </w:r>
      <w:r>
        <w:rPr>
          <w:rFonts w:ascii="Times New Roman" w:hAnsi="Times New Roman" w:eastAsia="方正仿宋_GBK"/>
          <w:color w:val="000000" w:themeColor="text1"/>
          <w:sz w:val="32"/>
          <w:szCs w:val="32"/>
          <w14:textFill>
            <w14:solidFill>
              <w14:schemeClr w14:val="tx1"/>
            </w14:solidFill>
          </w14:textFill>
        </w:rPr>
        <w:t>，比2023年减少</w:t>
      </w:r>
      <w:r>
        <w:rPr>
          <w:rFonts w:hint="eastAsia" w:ascii="Times New Roman" w:hAnsi="Times New Roman" w:eastAsia="方正仿宋_GBK"/>
          <w:color w:val="000000" w:themeColor="text1"/>
          <w:sz w:val="32"/>
          <w:szCs w:val="32"/>
          <w14:textFill>
            <w14:solidFill>
              <w14:schemeClr w14:val="tx1"/>
            </w14:solidFill>
          </w14:textFill>
        </w:rPr>
        <w:t>212.69</w:t>
      </w:r>
      <w:r>
        <w:rPr>
          <w:rFonts w:ascii="Times New Roman" w:hAnsi="Times New Roman" w:eastAsia="方正仿宋_GBK"/>
          <w:color w:val="000000" w:themeColor="text1"/>
          <w:sz w:val="32"/>
          <w:szCs w:val="32"/>
          <w14:textFill>
            <w14:solidFill>
              <w14:schemeClr w14:val="tx1"/>
            </w14:solidFill>
          </w14:textFill>
        </w:rPr>
        <w:t>万元，主要原因是</w:t>
      </w:r>
      <w:r>
        <w:rPr>
          <w:rFonts w:hint="eastAsia" w:ascii="Times New Roman" w:hAnsi="Times New Roman" w:eastAsia="方正仿宋_GBK"/>
          <w:color w:val="000000" w:themeColor="text1"/>
          <w:sz w:val="32"/>
          <w:szCs w:val="32"/>
          <w14:textFill>
            <w14:solidFill>
              <w14:schemeClr w14:val="tx1"/>
            </w14:solidFill>
          </w14:textFill>
        </w:rPr>
        <w:t>2023年结转较多，2024年暂无结转。</w:t>
      </w:r>
    </w:p>
    <w:p w14:paraId="38412561">
      <w:pPr>
        <w:spacing w:line="600" w:lineRule="exact"/>
        <w:ind w:firstLine="640" w:firstLineChars="200"/>
        <w:rPr>
          <w:rFonts w:ascii="Times New Roman" w:hAnsi="Times New Roman" w:eastAsia="方正黑体_GBK"/>
          <w:color w:val="000000" w:themeColor="text1"/>
          <w:sz w:val="32"/>
          <w:szCs w:val="32"/>
          <w14:textFill>
            <w14:solidFill>
              <w14:schemeClr w14:val="tx1"/>
            </w14:solidFill>
          </w14:textFill>
        </w:rPr>
      </w:pPr>
      <w:r>
        <w:rPr>
          <w:rFonts w:ascii="Times New Roman" w:hAnsi="Times New Roman" w:eastAsia="方正黑体_GBK"/>
          <w:color w:val="000000" w:themeColor="text1"/>
          <w:sz w:val="32"/>
          <w:szCs w:val="32"/>
          <w14:textFill>
            <w14:solidFill>
              <w14:schemeClr w14:val="tx1"/>
            </w14:solidFill>
          </w14:textFill>
        </w:rPr>
        <w:t>四、</w:t>
      </w:r>
      <w:r>
        <w:rPr>
          <w:rFonts w:hint="eastAsia" w:ascii="Times New Roman" w:hAnsi="Times New Roman" w:eastAsia="方正黑体_GBK"/>
          <w:color w:val="000000" w:themeColor="text1"/>
          <w:sz w:val="32"/>
          <w:szCs w:val="32"/>
          <w:lang w:eastAsia="zh-CN"/>
          <w14:textFill>
            <w14:solidFill>
              <w14:schemeClr w14:val="tx1"/>
            </w14:solidFill>
          </w14:textFill>
        </w:rPr>
        <w:t>“</w:t>
      </w:r>
      <w:r>
        <w:rPr>
          <w:rFonts w:ascii="Times New Roman" w:hAnsi="Times New Roman" w:eastAsia="方正黑体_GBK"/>
          <w:color w:val="000000" w:themeColor="text1"/>
          <w:sz w:val="32"/>
          <w:szCs w:val="32"/>
          <w14:textFill>
            <w14:solidFill>
              <w14:schemeClr w14:val="tx1"/>
            </w14:solidFill>
          </w14:textFill>
        </w:rPr>
        <w:t>三公</w:t>
      </w:r>
      <w:r>
        <w:rPr>
          <w:rFonts w:hint="eastAsia" w:ascii="Times New Roman" w:hAnsi="Times New Roman" w:eastAsia="方正黑体_GBK"/>
          <w:color w:val="000000" w:themeColor="text1"/>
          <w:sz w:val="32"/>
          <w:szCs w:val="32"/>
          <w:lang w:eastAsia="zh-CN"/>
          <w14:textFill>
            <w14:solidFill>
              <w14:schemeClr w14:val="tx1"/>
            </w14:solidFill>
          </w14:textFill>
        </w:rPr>
        <w:t>”</w:t>
      </w:r>
      <w:r>
        <w:rPr>
          <w:rFonts w:ascii="Times New Roman" w:hAnsi="Times New Roman" w:eastAsia="方正黑体_GBK"/>
          <w:color w:val="000000" w:themeColor="text1"/>
          <w:sz w:val="32"/>
          <w:szCs w:val="32"/>
          <w14:textFill>
            <w14:solidFill>
              <w14:schemeClr w14:val="tx1"/>
            </w14:solidFill>
          </w14:textFill>
        </w:rPr>
        <w:t>经费情况说明</w:t>
      </w:r>
    </w:p>
    <w:p w14:paraId="0A678BA7">
      <w:pPr>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2024年</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三公</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经费预算</w:t>
      </w:r>
      <w:r>
        <w:rPr>
          <w:rFonts w:hint="eastAsia" w:ascii="Times New Roman" w:hAnsi="Times New Roman" w:eastAsia="方正仿宋_GBK"/>
          <w:color w:val="000000" w:themeColor="text1"/>
          <w:sz w:val="32"/>
          <w:szCs w:val="32"/>
          <w14:textFill>
            <w14:solidFill>
              <w14:schemeClr w14:val="tx1"/>
            </w14:solidFill>
          </w14:textFill>
        </w:rPr>
        <w:t>8.5</w:t>
      </w:r>
      <w:r>
        <w:rPr>
          <w:rFonts w:ascii="Times New Roman" w:hAnsi="Times New Roman" w:eastAsia="方正仿宋_GBK"/>
          <w:color w:val="000000" w:themeColor="text1"/>
          <w:sz w:val="32"/>
          <w:szCs w:val="32"/>
          <w14:textFill>
            <w14:solidFill>
              <w14:schemeClr w14:val="tx1"/>
            </w14:solidFill>
          </w14:textFill>
        </w:rPr>
        <w:t>万元，比2023年增加</w:t>
      </w:r>
      <w:r>
        <w:rPr>
          <w:rFonts w:hint="eastAsia" w:ascii="Times New Roman" w:hAnsi="Times New Roman" w:eastAsia="方正仿宋_GBK"/>
          <w:color w:val="000000" w:themeColor="text1"/>
          <w:sz w:val="32"/>
          <w:szCs w:val="32"/>
          <w14:textFill>
            <w14:solidFill>
              <w14:schemeClr w14:val="tx1"/>
            </w14:solidFill>
          </w14:textFill>
        </w:rPr>
        <w:t>3.88</w:t>
      </w:r>
      <w:r>
        <w:rPr>
          <w:rFonts w:ascii="Times New Roman" w:hAnsi="Times New Roman" w:eastAsia="方正仿宋_GBK"/>
          <w:color w:val="000000" w:themeColor="text1"/>
          <w:sz w:val="32"/>
          <w:szCs w:val="32"/>
          <w14:textFill>
            <w14:solidFill>
              <w14:schemeClr w14:val="tx1"/>
            </w14:solidFill>
          </w14:textFill>
        </w:rPr>
        <w:t>万元。其中：公务接待费</w:t>
      </w:r>
      <w:r>
        <w:rPr>
          <w:rFonts w:hint="eastAsia" w:ascii="Times New Roman" w:hAnsi="Times New Roman" w:eastAsia="方正仿宋_GBK"/>
          <w:color w:val="000000" w:themeColor="text1"/>
          <w:sz w:val="32"/>
          <w:szCs w:val="32"/>
          <w14:textFill>
            <w14:solidFill>
              <w14:schemeClr w14:val="tx1"/>
            </w14:solidFill>
          </w14:textFill>
        </w:rPr>
        <w:t>0.98</w:t>
      </w:r>
      <w:r>
        <w:rPr>
          <w:rFonts w:ascii="Times New Roman" w:hAnsi="Times New Roman" w:eastAsia="方正仿宋_GBK"/>
          <w:color w:val="000000" w:themeColor="text1"/>
          <w:sz w:val="32"/>
          <w:szCs w:val="32"/>
          <w14:textFill>
            <w14:solidFill>
              <w14:schemeClr w14:val="tx1"/>
            </w14:solidFill>
          </w14:textFill>
        </w:rPr>
        <w:t>万元，</w:t>
      </w:r>
      <w:r>
        <w:rPr>
          <w:rFonts w:hint="eastAsia" w:ascii="Times New Roman" w:hAnsi="Times New Roman" w:eastAsia="方正仿宋_GBK"/>
          <w:color w:val="000000" w:themeColor="text1"/>
          <w:sz w:val="32"/>
          <w:szCs w:val="32"/>
          <w14:textFill>
            <w14:solidFill>
              <w14:schemeClr w14:val="tx1"/>
            </w14:solidFill>
          </w14:textFill>
        </w:rPr>
        <w:t>与</w:t>
      </w:r>
      <w:r>
        <w:rPr>
          <w:rFonts w:ascii="Times New Roman" w:hAnsi="Times New Roman" w:eastAsia="方正仿宋_GBK"/>
          <w:color w:val="000000" w:themeColor="text1"/>
          <w:sz w:val="32"/>
          <w:szCs w:val="32"/>
          <w14:textFill>
            <w14:solidFill>
              <w14:schemeClr w14:val="tx1"/>
            </w14:solidFill>
          </w14:textFill>
        </w:rPr>
        <w:t>上年一致</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公务用车运行维护费</w:t>
      </w:r>
      <w:r>
        <w:rPr>
          <w:rFonts w:hint="eastAsia" w:ascii="Times New Roman" w:hAnsi="Times New Roman" w:eastAsia="方正仿宋_GBK"/>
          <w:color w:val="000000" w:themeColor="text1"/>
          <w:sz w:val="32"/>
          <w:szCs w:val="32"/>
          <w14:textFill>
            <w14:solidFill>
              <w14:schemeClr w14:val="tx1"/>
            </w14:solidFill>
          </w14:textFill>
        </w:rPr>
        <w:t>7.5</w:t>
      </w:r>
      <w:r>
        <w:rPr>
          <w:rFonts w:ascii="Times New Roman" w:hAnsi="Times New Roman" w:eastAsia="方正仿宋_GBK"/>
          <w:color w:val="000000" w:themeColor="text1"/>
          <w:sz w:val="32"/>
          <w:szCs w:val="32"/>
          <w14:textFill>
            <w14:solidFill>
              <w14:schemeClr w14:val="tx1"/>
            </w14:solidFill>
          </w14:textFill>
        </w:rPr>
        <w:t>万元，比2023年增加</w:t>
      </w:r>
      <w:r>
        <w:rPr>
          <w:rFonts w:hint="eastAsia" w:ascii="Times New Roman" w:hAnsi="Times New Roman" w:eastAsia="方正仿宋_GBK"/>
          <w:color w:val="000000" w:themeColor="text1"/>
          <w:sz w:val="32"/>
          <w:szCs w:val="32"/>
          <w14:textFill>
            <w14:solidFill>
              <w14:schemeClr w14:val="tx1"/>
            </w14:solidFill>
          </w14:textFill>
        </w:rPr>
        <w:t>3.88</w:t>
      </w:r>
      <w:r>
        <w:rPr>
          <w:rFonts w:ascii="Times New Roman" w:hAnsi="Times New Roman" w:eastAsia="方正仿宋_GBK"/>
          <w:color w:val="000000" w:themeColor="text1"/>
          <w:sz w:val="32"/>
          <w:szCs w:val="32"/>
          <w14:textFill>
            <w14:solidFill>
              <w14:schemeClr w14:val="tx1"/>
            </w14:solidFill>
          </w14:textFill>
        </w:rPr>
        <w:t>万元，</w:t>
      </w:r>
      <w:r>
        <w:rPr>
          <w:rFonts w:hint="eastAsia" w:ascii="Times New Roman" w:hAnsi="Times New Roman" w:eastAsia="方正仿宋_GBK"/>
          <w:color w:val="000000" w:themeColor="text1"/>
          <w:sz w:val="32"/>
          <w:szCs w:val="32"/>
          <w:lang w:eastAsia="zh-CN"/>
          <w14:textFill>
            <w14:solidFill>
              <w14:schemeClr w14:val="tx1"/>
            </w14:solidFill>
          </w14:textFill>
        </w:rPr>
        <w:t>主要原因是</w:t>
      </w:r>
      <w:r>
        <w:rPr>
          <w:rFonts w:hint="eastAsia" w:ascii="Times New Roman" w:hAnsi="Times New Roman" w:eastAsia="方正仿宋_GBK"/>
          <w:color w:val="000000" w:themeColor="text1"/>
          <w:sz w:val="32"/>
          <w:szCs w:val="32"/>
          <w14:textFill>
            <w14:solidFill>
              <w14:schemeClr w14:val="tx1"/>
            </w14:solidFill>
          </w14:textFill>
        </w:rPr>
        <w:t>加强民政对象的精准救助，需加大对民政对象的核实，增加公车开支</w:t>
      </w:r>
      <w:r>
        <w:rPr>
          <w:rFonts w:ascii="Times New Roman" w:hAnsi="Times New Roman" w:eastAsia="方正仿宋_GBK"/>
          <w:color w:val="000000" w:themeColor="text1"/>
          <w:sz w:val="32"/>
          <w:szCs w:val="32"/>
          <w14:textFill>
            <w14:solidFill>
              <w14:schemeClr w14:val="tx1"/>
            </w14:solidFill>
          </w14:textFill>
        </w:rPr>
        <w:t>。</w:t>
      </w:r>
    </w:p>
    <w:p w14:paraId="5E11D68F">
      <w:pPr>
        <w:spacing w:line="600" w:lineRule="exact"/>
        <w:ind w:firstLine="640" w:firstLineChars="200"/>
        <w:rPr>
          <w:rFonts w:ascii="Times New Roman" w:hAnsi="Times New Roman" w:eastAsia="方正黑体_GBK"/>
          <w:color w:val="000000" w:themeColor="text1"/>
          <w:sz w:val="32"/>
          <w:szCs w:val="32"/>
          <w14:textFill>
            <w14:solidFill>
              <w14:schemeClr w14:val="tx1"/>
            </w14:solidFill>
          </w14:textFill>
        </w:rPr>
      </w:pPr>
      <w:r>
        <w:rPr>
          <w:rFonts w:ascii="Times New Roman" w:hAnsi="Times New Roman" w:eastAsia="方正黑体_GBK"/>
          <w:color w:val="000000" w:themeColor="text1"/>
          <w:sz w:val="32"/>
          <w:szCs w:val="32"/>
          <w14:textFill>
            <w14:solidFill>
              <w14:schemeClr w14:val="tx1"/>
            </w14:solidFill>
          </w14:textFill>
        </w:rPr>
        <w:t>五、其他重要事项的情况说明</w:t>
      </w:r>
    </w:p>
    <w:p w14:paraId="29A9D60F">
      <w:pPr>
        <w:ind w:firstLine="640" w:firstLineChars="200"/>
        <w:rPr>
          <w:rFonts w:ascii="Times New Roman" w:hAnsi="Times New Roman" w:eastAsia="方正仿宋_GBK"/>
          <w:b/>
          <w:bCs/>
          <w:color w:val="000000" w:themeColor="text1"/>
          <w:sz w:val="32"/>
          <w:szCs w:val="32"/>
          <w14:textFill>
            <w14:solidFill>
              <w14:schemeClr w14:val="tx1"/>
            </w14:solidFill>
          </w14:textFill>
        </w:rPr>
      </w:pPr>
      <w:r>
        <w:rPr>
          <w:rFonts w:hint="eastAsia" w:ascii="Times New Roman" w:hAnsi="Times New Roman" w:eastAsia="方正楷体_GBK" w:cs="方正楷体_GBK"/>
          <w:color w:val="000000" w:themeColor="text1"/>
          <w:sz w:val="32"/>
          <w:szCs w:val="32"/>
          <w14:textFill>
            <w14:solidFill>
              <w14:schemeClr w14:val="tx1"/>
            </w14:solidFill>
          </w14:textFill>
        </w:rPr>
        <w:t>（一）机关运行经费。</w:t>
      </w:r>
      <w:r>
        <w:rPr>
          <w:rFonts w:ascii="Times New Roman" w:hAnsi="Times New Roman" w:eastAsia="方正仿宋_GBK"/>
          <w:color w:val="000000" w:themeColor="text1"/>
          <w:sz w:val="32"/>
          <w:szCs w:val="32"/>
          <w14:textFill>
            <w14:solidFill>
              <w14:schemeClr w14:val="tx1"/>
            </w14:solidFill>
          </w14:textFill>
        </w:rPr>
        <w:t>2024年一般公共预算财政拨款运行经费</w:t>
      </w:r>
      <w:r>
        <w:rPr>
          <w:rFonts w:hint="eastAsia" w:ascii="Times New Roman" w:hAnsi="Times New Roman" w:eastAsia="方正仿宋_GBK"/>
          <w:color w:val="000000" w:themeColor="text1"/>
          <w:sz w:val="32"/>
          <w:szCs w:val="32"/>
          <w14:textFill>
            <w14:solidFill>
              <w14:schemeClr w14:val="tx1"/>
            </w14:solidFill>
          </w14:textFill>
        </w:rPr>
        <w:t>120.15</w:t>
      </w:r>
      <w:r>
        <w:rPr>
          <w:rFonts w:ascii="Times New Roman" w:hAnsi="Times New Roman" w:eastAsia="方正仿宋_GBK"/>
          <w:color w:val="000000" w:themeColor="text1"/>
          <w:sz w:val="32"/>
          <w:szCs w:val="32"/>
          <w14:textFill>
            <w14:solidFill>
              <w14:schemeClr w14:val="tx1"/>
            </w14:solidFill>
          </w14:textFill>
        </w:rPr>
        <w:t>万元，</w:t>
      </w:r>
      <w:r>
        <w:rPr>
          <w:rFonts w:hint="eastAsia" w:ascii="Times New Roman" w:hAnsi="Times New Roman" w:eastAsia="方正仿宋_GBK"/>
          <w:color w:val="000000" w:themeColor="text1"/>
          <w:sz w:val="32"/>
          <w:szCs w:val="32"/>
          <w14:textFill>
            <w14:solidFill>
              <w14:schemeClr w14:val="tx1"/>
            </w14:solidFill>
          </w14:textFill>
        </w:rPr>
        <w:t>比2023年</w:t>
      </w:r>
      <w:r>
        <w:rPr>
          <w:rFonts w:ascii="Times New Roman" w:hAnsi="Times New Roman" w:eastAsia="方正仿宋_GBK"/>
          <w:color w:val="000000" w:themeColor="text1"/>
          <w:sz w:val="32"/>
          <w:szCs w:val="32"/>
          <w14:textFill>
            <w14:solidFill>
              <w14:schemeClr w14:val="tx1"/>
            </w14:solidFill>
          </w14:textFill>
        </w:rPr>
        <w:t>减少</w:t>
      </w:r>
      <w:r>
        <w:rPr>
          <w:rFonts w:hint="eastAsia" w:ascii="Times New Roman" w:hAnsi="Times New Roman" w:eastAsia="方正仿宋_GBK"/>
          <w:color w:val="000000" w:themeColor="text1"/>
          <w:sz w:val="32"/>
          <w:szCs w:val="32"/>
          <w14:textFill>
            <w14:solidFill>
              <w14:schemeClr w14:val="tx1"/>
            </w14:solidFill>
          </w14:textFill>
        </w:rPr>
        <w:t>2.47</w:t>
      </w:r>
      <w:r>
        <w:rPr>
          <w:rFonts w:ascii="Times New Roman" w:hAnsi="Times New Roman" w:eastAsia="方正仿宋_GBK"/>
          <w:color w:val="000000" w:themeColor="text1"/>
          <w:sz w:val="32"/>
          <w:szCs w:val="32"/>
          <w14:textFill>
            <w14:solidFill>
              <w14:schemeClr w14:val="tx1"/>
            </w14:solidFill>
          </w14:textFill>
        </w:rPr>
        <w:t>万元，主要原因为</w:t>
      </w:r>
      <w:r>
        <w:rPr>
          <w:rFonts w:hint="eastAsia" w:ascii="Times New Roman" w:hAnsi="Times New Roman" w:eastAsia="方正仿宋_GBK"/>
          <w:color w:val="000000" w:themeColor="text1"/>
          <w:sz w:val="32"/>
          <w:szCs w:val="32"/>
          <w14:textFill>
            <w14:solidFill>
              <w14:schemeClr w14:val="tx1"/>
            </w14:solidFill>
          </w14:textFill>
        </w:rPr>
        <w:t>县财政贯彻</w:t>
      </w:r>
      <w:r>
        <w:rPr>
          <w:rFonts w:ascii="Times New Roman" w:hAnsi="Times New Roman" w:eastAsia="方正仿宋_GBK"/>
          <w:color w:val="000000" w:themeColor="text1"/>
          <w:sz w:val="32"/>
          <w:szCs w:val="32"/>
          <w14:textFill>
            <w14:solidFill>
              <w14:schemeClr w14:val="tx1"/>
            </w14:solidFill>
          </w14:textFill>
        </w:rPr>
        <w:t>过</w:t>
      </w:r>
      <w:r>
        <w:rPr>
          <w:rFonts w:hint="eastAsia" w:ascii="Times New Roman" w:hAnsi="Times New Roman" w:eastAsia="方正仿宋_GBK"/>
          <w:color w:val="000000" w:themeColor="text1"/>
          <w:sz w:val="32"/>
          <w:szCs w:val="32"/>
          <w14:textFill>
            <w14:solidFill>
              <w14:schemeClr w14:val="tx1"/>
            </w14:solidFill>
          </w14:textFill>
        </w:rPr>
        <w:t>“苦日子”的精神，减少商品服务定额的预算</w:t>
      </w:r>
      <w:r>
        <w:rPr>
          <w:rFonts w:ascii="Times New Roman" w:hAnsi="Times New Roman" w:eastAsia="方正仿宋_GBK"/>
          <w:color w:val="000000" w:themeColor="text1"/>
          <w:sz w:val="32"/>
          <w:szCs w:val="32"/>
          <w14:textFill>
            <w14:solidFill>
              <w14:schemeClr w14:val="tx1"/>
            </w14:solidFill>
          </w14:textFill>
        </w:rPr>
        <w:t>；主要用于办公费、印刷费、邮电费、水电费、物管费、差旅费、会议费、培训费及其他商品和服务支出等。</w:t>
      </w:r>
    </w:p>
    <w:p w14:paraId="447BA27D">
      <w:pPr>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楷体_GBK" w:cs="方正楷体_GBK"/>
          <w:color w:val="000000" w:themeColor="text1"/>
          <w:sz w:val="32"/>
          <w:szCs w:val="32"/>
          <w14:textFill>
            <w14:solidFill>
              <w14:schemeClr w14:val="tx1"/>
            </w14:solidFill>
          </w14:textFill>
        </w:rPr>
        <w:t>（二）政府采购情况。</w:t>
      </w:r>
      <w:r>
        <w:rPr>
          <w:rFonts w:ascii="Times New Roman" w:hAnsi="Times New Roman" w:eastAsia="方正仿宋_GBK"/>
          <w:color w:val="000000" w:themeColor="text1"/>
          <w:sz w:val="32"/>
          <w:szCs w:val="32"/>
          <w14:textFill>
            <w14:solidFill>
              <w14:schemeClr w14:val="tx1"/>
            </w14:solidFill>
          </w14:textFill>
        </w:rPr>
        <w:t>所属各预算单位</w:t>
      </w:r>
      <w:r>
        <w:rPr>
          <w:rFonts w:hint="eastAsia" w:ascii="Times New Roman" w:hAnsi="Times New Roman" w:eastAsia="方正仿宋_GBK" w:cs="仿宋_GB2312"/>
          <w:color w:val="000000" w:themeColor="text1"/>
          <w:sz w:val="32"/>
          <w:szCs w:val="32"/>
          <w14:textFill>
            <w14:solidFill>
              <w14:schemeClr w14:val="tx1"/>
            </w14:solidFill>
          </w14:textFill>
        </w:rPr>
        <w:t>采购预算总额458.45万元：政府采购货物预算7.2万元、政府采购工程预算220万元、政府采购服务预算231.25万元；其中一般公共预算拨款政府采购342.45万元：政府采购货物预算7.2万元、政府采购工程预算120万元、政府采购服务预算215.25万元。</w:t>
      </w:r>
    </w:p>
    <w:p w14:paraId="3CC63B60">
      <w:pPr>
        <w:ind w:left="105" w:leftChars="50"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楷体_GBK" w:cs="方正楷体_GBK"/>
          <w:color w:val="000000" w:themeColor="text1"/>
          <w:sz w:val="32"/>
          <w:szCs w:val="32"/>
          <w14:textFill>
            <w14:solidFill>
              <w14:schemeClr w14:val="tx1"/>
            </w14:solidFill>
          </w14:textFill>
        </w:rPr>
        <w:t>（三）绩效目标设置情况。</w:t>
      </w:r>
      <w:r>
        <w:rPr>
          <w:rFonts w:ascii="Times New Roman" w:hAnsi="Times New Roman" w:eastAsia="方正仿宋_GBK"/>
          <w:color w:val="000000" w:themeColor="text1"/>
          <w:sz w:val="32"/>
          <w:szCs w:val="32"/>
          <w14:textFill>
            <w14:solidFill>
              <w14:schemeClr w14:val="tx1"/>
            </w14:solidFill>
          </w14:textFill>
        </w:rPr>
        <w:t>2024年项目支出均实行了绩效目标管理，涉及一般公共预算财政拨款16172.1万元。</w:t>
      </w:r>
    </w:p>
    <w:p w14:paraId="3BF09A56">
      <w:pPr>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楷体_GBK" w:cs="方正楷体_GBK"/>
          <w:color w:val="000000" w:themeColor="text1"/>
          <w:sz w:val="32"/>
          <w:szCs w:val="32"/>
          <w14:textFill>
            <w14:solidFill>
              <w14:schemeClr w14:val="tx1"/>
            </w14:solidFill>
          </w14:textFill>
        </w:rPr>
        <w:t>（四）国有资产占有使用情况。</w:t>
      </w:r>
      <w:r>
        <w:rPr>
          <w:rFonts w:ascii="Times New Roman" w:hAnsi="Times New Roman" w:eastAsia="方正仿宋_GBK"/>
          <w:color w:val="000000" w:themeColor="text1"/>
          <w:sz w:val="32"/>
          <w:szCs w:val="32"/>
          <w14:textFill>
            <w14:solidFill>
              <w14:schemeClr w14:val="tx1"/>
            </w14:solidFill>
          </w14:textFill>
        </w:rPr>
        <w:t>截</w:t>
      </w:r>
      <w:r>
        <w:rPr>
          <w:rFonts w:hint="eastAsia" w:ascii="Times New Roman" w:hAnsi="Times New Roman" w:eastAsia="方正仿宋_GBK"/>
          <w:color w:val="000000" w:themeColor="text1"/>
          <w:sz w:val="32"/>
          <w:szCs w:val="32"/>
          <w:lang w:val="en-US" w:eastAsia="zh-CN"/>
          <w14:textFill>
            <w14:solidFill>
              <w14:schemeClr w14:val="tx1"/>
            </w14:solidFill>
          </w14:textFill>
        </w:rPr>
        <w:t>至</w:t>
      </w:r>
      <w:bookmarkStart w:id="0" w:name="_GoBack"/>
      <w:bookmarkEnd w:id="0"/>
      <w:r>
        <w:rPr>
          <w:rFonts w:ascii="Times New Roman" w:hAnsi="Times New Roman" w:eastAsia="方正仿宋_GBK"/>
          <w:color w:val="000000" w:themeColor="text1"/>
          <w:sz w:val="32"/>
          <w:szCs w:val="32"/>
          <w14:textFill>
            <w14:solidFill>
              <w14:schemeClr w14:val="tx1"/>
            </w14:solidFill>
          </w14:textFill>
        </w:rPr>
        <w:t>2023年12月，所属各预算单位共有车辆</w:t>
      </w:r>
      <w:r>
        <w:rPr>
          <w:rFonts w:hint="eastAsia" w:ascii="Times New Roman" w:hAnsi="Times New Roman" w:eastAsia="方正仿宋_GBK"/>
          <w:color w:val="000000" w:themeColor="text1"/>
          <w:sz w:val="32"/>
          <w:szCs w:val="32"/>
          <w14:textFill>
            <w14:solidFill>
              <w14:schemeClr w14:val="tx1"/>
            </w14:solidFill>
          </w14:textFill>
        </w:rPr>
        <w:t>3</w:t>
      </w:r>
      <w:r>
        <w:rPr>
          <w:rFonts w:ascii="Times New Roman" w:hAnsi="Times New Roman" w:eastAsia="方正仿宋_GBK"/>
          <w:color w:val="000000" w:themeColor="text1"/>
          <w:sz w:val="32"/>
          <w:szCs w:val="32"/>
          <w14:textFill>
            <w14:solidFill>
              <w14:schemeClr w14:val="tx1"/>
            </w14:solidFill>
          </w14:textFill>
        </w:rPr>
        <w:t>辆，其中一般公务用</w:t>
      </w:r>
      <w:r>
        <w:rPr>
          <w:rFonts w:hint="eastAsia" w:ascii="Times New Roman" w:hAnsi="Times New Roman" w:eastAsia="方正仿宋_GBK"/>
          <w:color w:val="000000" w:themeColor="text1"/>
          <w:sz w:val="32"/>
          <w:szCs w:val="32"/>
          <w14:textFill>
            <w14:solidFill>
              <w14:schemeClr w14:val="tx1"/>
            </w14:solidFill>
          </w14:textFill>
        </w:rPr>
        <w:t>3</w:t>
      </w:r>
      <w:r>
        <w:rPr>
          <w:rFonts w:ascii="Times New Roman" w:hAnsi="Times New Roman" w:eastAsia="方正仿宋_GBK"/>
          <w:color w:val="000000" w:themeColor="text1"/>
          <w:sz w:val="32"/>
          <w:szCs w:val="32"/>
          <w14:textFill>
            <w14:solidFill>
              <w14:schemeClr w14:val="tx1"/>
            </w14:solidFill>
          </w14:textFill>
        </w:rPr>
        <w:t>辆、执勤执法用车</w:t>
      </w:r>
      <w:r>
        <w:rPr>
          <w:rFonts w:hint="eastAsia" w:ascii="Times New Roman" w:hAnsi="Times New Roman" w:eastAsia="方正仿宋_GBK"/>
          <w:color w:val="000000" w:themeColor="text1"/>
          <w:sz w:val="32"/>
          <w:szCs w:val="32"/>
          <w14:textFill>
            <w14:solidFill>
              <w14:schemeClr w14:val="tx1"/>
            </w14:solidFill>
          </w14:textFill>
        </w:rPr>
        <w:t>0</w:t>
      </w:r>
      <w:r>
        <w:rPr>
          <w:rFonts w:ascii="Times New Roman" w:hAnsi="Times New Roman" w:eastAsia="方正仿宋_GBK"/>
          <w:color w:val="000000" w:themeColor="text1"/>
          <w:sz w:val="32"/>
          <w:szCs w:val="32"/>
          <w14:textFill>
            <w14:solidFill>
              <w14:schemeClr w14:val="tx1"/>
            </w14:solidFill>
          </w14:textFill>
        </w:rPr>
        <w:t>辆。202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年一般公共预算安排购置车辆</w:t>
      </w:r>
      <w:r>
        <w:rPr>
          <w:rFonts w:hint="eastAsia" w:ascii="Times New Roman" w:hAnsi="Times New Roman" w:eastAsia="方正仿宋_GBK"/>
          <w:color w:val="000000" w:themeColor="text1"/>
          <w:sz w:val="32"/>
          <w:szCs w:val="32"/>
          <w14:textFill>
            <w14:solidFill>
              <w14:schemeClr w14:val="tx1"/>
            </w14:solidFill>
          </w14:textFill>
        </w:rPr>
        <w:t>3</w:t>
      </w:r>
      <w:r>
        <w:rPr>
          <w:rFonts w:ascii="Times New Roman" w:hAnsi="Times New Roman" w:eastAsia="方正仿宋_GBK"/>
          <w:color w:val="000000" w:themeColor="text1"/>
          <w:sz w:val="32"/>
          <w:szCs w:val="32"/>
          <w14:textFill>
            <w14:solidFill>
              <w14:schemeClr w14:val="tx1"/>
            </w14:solidFill>
          </w14:textFill>
        </w:rPr>
        <w:t>辆，其中一般公务用车</w:t>
      </w:r>
      <w:r>
        <w:rPr>
          <w:rFonts w:hint="eastAsia" w:ascii="Times New Roman" w:hAnsi="Times New Roman" w:eastAsia="方正仿宋_GBK"/>
          <w:color w:val="000000" w:themeColor="text1"/>
          <w:sz w:val="32"/>
          <w:szCs w:val="32"/>
          <w14:textFill>
            <w14:solidFill>
              <w14:schemeClr w14:val="tx1"/>
            </w14:solidFill>
          </w14:textFill>
        </w:rPr>
        <w:t>3</w:t>
      </w:r>
      <w:r>
        <w:rPr>
          <w:rFonts w:ascii="Times New Roman" w:hAnsi="Times New Roman" w:eastAsia="方正仿宋_GBK"/>
          <w:color w:val="000000" w:themeColor="text1"/>
          <w:sz w:val="32"/>
          <w:szCs w:val="32"/>
          <w14:textFill>
            <w14:solidFill>
              <w14:schemeClr w14:val="tx1"/>
            </w14:solidFill>
          </w14:textFill>
        </w:rPr>
        <w:t>辆、执勤执法用车</w:t>
      </w:r>
      <w:r>
        <w:rPr>
          <w:rFonts w:hint="eastAsia" w:ascii="Times New Roman" w:hAnsi="Times New Roman" w:eastAsia="方正仿宋_GBK"/>
          <w:color w:val="000000" w:themeColor="text1"/>
          <w:sz w:val="32"/>
          <w:szCs w:val="32"/>
          <w14:textFill>
            <w14:solidFill>
              <w14:schemeClr w14:val="tx1"/>
            </w14:solidFill>
          </w14:textFill>
        </w:rPr>
        <w:t>0</w:t>
      </w:r>
      <w:r>
        <w:rPr>
          <w:rFonts w:ascii="Times New Roman" w:hAnsi="Times New Roman" w:eastAsia="方正仿宋_GBK"/>
          <w:color w:val="000000" w:themeColor="text1"/>
          <w:sz w:val="32"/>
          <w:szCs w:val="32"/>
          <w14:textFill>
            <w14:solidFill>
              <w14:schemeClr w14:val="tx1"/>
            </w14:solidFill>
          </w14:textFill>
        </w:rPr>
        <w:t>辆。</w:t>
      </w:r>
    </w:p>
    <w:p w14:paraId="6211875B">
      <w:pPr>
        <w:spacing w:line="600" w:lineRule="exact"/>
        <w:ind w:firstLine="640" w:firstLineChars="200"/>
        <w:rPr>
          <w:rFonts w:ascii="Times New Roman" w:hAnsi="Times New Roman" w:eastAsia="方正黑体_GBK" w:cs="仿宋_GB2312"/>
          <w:color w:val="000000" w:themeColor="text1"/>
          <w:sz w:val="32"/>
          <w:szCs w:val="32"/>
          <w14:textFill>
            <w14:solidFill>
              <w14:schemeClr w14:val="tx1"/>
            </w14:solidFill>
          </w14:textFill>
        </w:rPr>
      </w:pPr>
      <w:r>
        <w:rPr>
          <w:rFonts w:ascii="Times New Roman" w:hAnsi="Times New Roman" w:eastAsia="方正黑体_GBK"/>
          <w:color w:val="000000" w:themeColor="text1"/>
          <w:sz w:val="32"/>
          <w:szCs w:val="32"/>
          <w14:textFill>
            <w14:solidFill>
              <w14:schemeClr w14:val="tx1"/>
            </w14:solidFill>
          </w14:textFill>
        </w:rPr>
        <w:t>六、专业性名词解释</w:t>
      </w:r>
    </w:p>
    <w:p w14:paraId="7D549B23">
      <w:pPr>
        <w:spacing w:line="578"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楷体_GBK"/>
          <w:color w:val="000000" w:themeColor="text1"/>
          <w:sz w:val="32"/>
          <w:szCs w:val="32"/>
          <w14:textFill>
            <w14:solidFill>
              <w14:schemeClr w14:val="tx1"/>
            </w14:solidFill>
          </w14:textFill>
        </w:rPr>
        <w:t>（一）财政拨款收入</w:t>
      </w:r>
      <w:r>
        <w:rPr>
          <w:rFonts w:ascii="Times New Roman" w:hAnsi="Times New Roman" w:eastAsia="方正仿宋_GBK"/>
          <w:color w:val="000000" w:themeColor="text1"/>
          <w:sz w:val="32"/>
          <w:szCs w:val="32"/>
          <w14:textFill>
            <w14:solidFill>
              <w14:schemeClr w14:val="tx1"/>
            </w14:solidFill>
          </w14:textFill>
        </w:rPr>
        <w:t>：指本年度从本级财政部门取得的财政拨款，包括一般公共预算财政拨款</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政府性基金预算财政拨款和国有资本经营预算财政拨款。</w:t>
      </w:r>
    </w:p>
    <w:p w14:paraId="7F77CFE0">
      <w:pPr>
        <w:spacing w:line="578"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楷体_GBK"/>
          <w:color w:val="000000" w:themeColor="text1"/>
          <w:sz w:val="32"/>
          <w:szCs w:val="32"/>
          <w14:textFill>
            <w14:solidFill>
              <w14:schemeClr w14:val="tx1"/>
            </w14:solidFill>
          </w14:textFill>
        </w:rPr>
        <w:t>（二）其他收入</w:t>
      </w:r>
      <w:r>
        <w:rPr>
          <w:rFonts w:ascii="Times New Roman" w:hAnsi="Times New Roman" w:eastAsia="方正仿宋_GBK"/>
          <w:color w:val="000000" w:themeColor="text1"/>
          <w:sz w:val="32"/>
          <w:szCs w:val="32"/>
          <w14:textFill>
            <w14:solidFill>
              <w14:schemeClr w14:val="tx1"/>
            </w14:solidFill>
          </w14:textFill>
        </w:rPr>
        <w:t>：指单位取得的除</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财政拨款收入</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事业收入</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经营收入</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等以外的收入。</w:t>
      </w:r>
    </w:p>
    <w:p w14:paraId="344356D4">
      <w:pPr>
        <w:spacing w:line="578"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楷体_GBK"/>
          <w:color w:val="000000" w:themeColor="text1"/>
          <w:sz w:val="32"/>
          <w:szCs w:val="32"/>
          <w14:textFill>
            <w14:solidFill>
              <w14:schemeClr w14:val="tx1"/>
            </w14:solidFill>
          </w14:textFill>
        </w:rPr>
        <w:t>（三）基本支出</w:t>
      </w:r>
      <w:r>
        <w:rPr>
          <w:rFonts w:ascii="Times New Roman" w:hAnsi="Times New Roman" w:eastAsia="方正仿宋_GBK"/>
          <w:color w:val="000000" w:themeColor="text1"/>
          <w:sz w:val="32"/>
          <w:szCs w:val="32"/>
          <w14:textFill>
            <w14:solidFill>
              <w14:schemeClr w14:val="tx1"/>
            </w14:solidFill>
          </w14:textFill>
        </w:rPr>
        <w:t>：指为保障机构正常运转、完成日常工作任务而发生的人员经费和公用经费。</w:t>
      </w:r>
    </w:p>
    <w:p w14:paraId="412BD009">
      <w:pPr>
        <w:spacing w:line="578"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楷体_GBK"/>
          <w:color w:val="000000" w:themeColor="text1"/>
          <w:sz w:val="32"/>
          <w:szCs w:val="32"/>
          <w14:textFill>
            <w14:solidFill>
              <w14:schemeClr w14:val="tx1"/>
            </w14:solidFill>
          </w14:textFill>
        </w:rPr>
        <w:t>（四）项目支出</w:t>
      </w:r>
      <w:r>
        <w:rPr>
          <w:rFonts w:ascii="Times New Roman" w:hAnsi="Times New Roman" w:eastAsia="方正仿宋_GBK"/>
          <w:color w:val="000000" w:themeColor="text1"/>
          <w:sz w:val="32"/>
          <w:szCs w:val="32"/>
          <w14:textFill>
            <w14:solidFill>
              <w14:schemeClr w14:val="tx1"/>
            </w14:solidFill>
          </w14:textFill>
        </w:rPr>
        <w:t>：指在基本支出之外为完成特定行政任务和事业发展目标所发生的支出。</w:t>
      </w:r>
    </w:p>
    <w:p w14:paraId="23166E0F">
      <w:pPr>
        <w:spacing w:line="578"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楷体_GBK"/>
          <w:color w:val="000000" w:themeColor="text1"/>
          <w:sz w:val="32"/>
          <w:szCs w:val="32"/>
          <w14:textFill>
            <w14:solidFill>
              <w14:schemeClr w14:val="tx1"/>
            </w14:solidFill>
          </w14:textFill>
        </w:rPr>
        <w:t>（五）“三公”经费</w:t>
      </w:r>
      <w:r>
        <w:rPr>
          <w:rFonts w:ascii="Times New Roman" w:hAnsi="Times New Roman" w:eastAsia="方正仿宋_GBK"/>
          <w:color w:val="000000" w:themeColor="text1"/>
          <w:sz w:val="32"/>
          <w:szCs w:val="32"/>
          <w14:textFill>
            <w14:solidFill>
              <w14:schemeClr w14:val="tx1"/>
            </w14:solidFill>
          </w14:textFill>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A70374C">
      <w:pPr>
        <w:ind w:firstLine="640" w:firstLineChars="200"/>
        <w:jc w:val="both"/>
        <w:rPr>
          <w:rFonts w:ascii="Times New Roman" w:hAnsi="Times New Roman" w:eastAsia="方正仿宋_GBK"/>
          <w:color w:val="000000" w:themeColor="text1"/>
          <w:sz w:val="32"/>
          <w:szCs w:val="32"/>
          <w:highlight w:val="yellow"/>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部门预算公开联系人：</w:t>
      </w:r>
      <w:r>
        <w:rPr>
          <w:rFonts w:hint="eastAsia" w:ascii="Times New Roman" w:hAnsi="Times New Roman" w:eastAsia="方正仿宋_GBK"/>
          <w:color w:val="000000" w:themeColor="text1"/>
          <w:sz w:val="32"/>
          <w:szCs w:val="32"/>
          <w14:textFill>
            <w14:solidFill>
              <w14:schemeClr w14:val="tx1"/>
            </w14:solidFill>
          </w14:textFill>
        </w:rPr>
        <w:t>游银燕</w:t>
      </w:r>
      <w:r>
        <w:rPr>
          <w:rFonts w:ascii="Times New Roman" w:hAnsi="Times New Roman" w:eastAsia="方正仿宋_GBK"/>
          <w:color w:val="000000" w:themeColor="text1"/>
          <w:sz w:val="32"/>
          <w:szCs w:val="32"/>
          <w14:textFill>
            <w14:solidFill>
              <w14:schemeClr w14:val="tx1"/>
            </w14:solidFill>
          </w14:textFill>
        </w:rPr>
        <w:t xml:space="preserve"> </w:t>
      </w:r>
      <w:r>
        <w:rPr>
          <w:rFonts w:hint="eastAsia" w:ascii="Times New Roman" w:hAnsi="Times New Roman" w:eastAsia="方正仿宋_GBK"/>
          <w:color w:val="000000" w:themeColor="text1"/>
          <w:sz w:val="32"/>
          <w:szCs w:val="32"/>
          <w14:textFill>
            <w14:solidFill>
              <w14:schemeClr w14:val="tx1"/>
            </w14:solidFill>
          </w14:textFill>
        </w:rPr>
        <w:t xml:space="preserve">   </w:t>
      </w:r>
      <w:r>
        <w:rPr>
          <w:rFonts w:ascii="Times New Roman" w:hAnsi="Times New Roman" w:eastAsia="方正仿宋_GBK"/>
          <w:color w:val="000000" w:themeColor="text1"/>
          <w:sz w:val="32"/>
          <w:szCs w:val="32"/>
          <w14:textFill>
            <w14:solidFill>
              <w14:schemeClr w14:val="tx1"/>
            </w14:solidFill>
          </w14:textFill>
        </w:rPr>
        <w:t xml:space="preserve"> 联系方式：023-</w:t>
      </w:r>
      <w:r>
        <w:rPr>
          <w:rFonts w:hint="eastAsia" w:ascii="Times New Roman" w:hAnsi="Times New Roman" w:eastAsia="方正仿宋_GBK"/>
          <w:color w:val="000000" w:themeColor="text1"/>
          <w:sz w:val="32"/>
          <w:szCs w:val="32"/>
          <w14:textFill>
            <w14:solidFill>
              <w14:schemeClr w14:val="tx1"/>
            </w14:solidFill>
          </w14:textFill>
        </w:rPr>
        <w:t>73332145</w:t>
      </w: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NzEwNzA3YWYxOTczNWFkZWEwN2Q5NjliOTZiODQifQ=="/>
  </w:docVars>
  <w:rsids>
    <w:rsidRoot w:val="00B25CF0"/>
    <w:rsid w:val="000065FF"/>
    <w:rsid w:val="00025D49"/>
    <w:rsid w:val="000272EE"/>
    <w:rsid w:val="000617AD"/>
    <w:rsid w:val="000E6986"/>
    <w:rsid w:val="000E7A86"/>
    <w:rsid w:val="00104156"/>
    <w:rsid w:val="001C295B"/>
    <w:rsid w:val="001F62A7"/>
    <w:rsid w:val="00201E27"/>
    <w:rsid w:val="00285261"/>
    <w:rsid w:val="00295D2E"/>
    <w:rsid w:val="002F0B32"/>
    <w:rsid w:val="00310551"/>
    <w:rsid w:val="00315FF1"/>
    <w:rsid w:val="00326B00"/>
    <w:rsid w:val="00357D5D"/>
    <w:rsid w:val="00366915"/>
    <w:rsid w:val="003C56C2"/>
    <w:rsid w:val="003F3271"/>
    <w:rsid w:val="00412B49"/>
    <w:rsid w:val="004403B2"/>
    <w:rsid w:val="0048380D"/>
    <w:rsid w:val="004E32D5"/>
    <w:rsid w:val="005124F3"/>
    <w:rsid w:val="00523021"/>
    <w:rsid w:val="00562209"/>
    <w:rsid w:val="005A5BC6"/>
    <w:rsid w:val="006E66F0"/>
    <w:rsid w:val="0070102E"/>
    <w:rsid w:val="00746575"/>
    <w:rsid w:val="0075644E"/>
    <w:rsid w:val="0076031D"/>
    <w:rsid w:val="00796746"/>
    <w:rsid w:val="007A1D63"/>
    <w:rsid w:val="007F2C0A"/>
    <w:rsid w:val="008119B2"/>
    <w:rsid w:val="00825E43"/>
    <w:rsid w:val="00877E66"/>
    <w:rsid w:val="00892B61"/>
    <w:rsid w:val="009027F8"/>
    <w:rsid w:val="009A024E"/>
    <w:rsid w:val="009C0C1E"/>
    <w:rsid w:val="00A808DF"/>
    <w:rsid w:val="00A85988"/>
    <w:rsid w:val="00AB4CBD"/>
    <w:rsid w:val="00AF7912"/>
    <w:rsid w:val="00B25CF0"/>
    <w:rsid w:val="00B67C25"/>
    <w:rsid w:val="00BA6131"/>
    <w:rsid w:val="00BB7769"/>
    <w:rsid w:val="00C22196"/>
    <w:rsid w:val="00C264FA"/>
    <w:rsid w:val="00CB5754"/>
    <w:rsid w:val="00CC1EFB"/>
    <w:rsid w:val="00CC6777"/>
    <w:rsid w:val="00D17EA8"/>
    <w:rsid w:val="00D2772D"/>
    <w:rsid w:val="00DE312C"/>
    <w:rsid w:val="00E10E1B"/>
    <w:rsid w:val="00E4250B"/>
    <w:rsid w:val="00E438FD"/>
    <w:rsid w:val="00E83EC4"/>
    <w:rsid w:val="00F07238"/>
    <w:rsid w:val="00F35787"/>
    <w:rsid w:val="00F602BE"/>
    <w:rsid w:val="00FA4CF3"/>
    <w:rsid w:val="00FE3041"/>
    <w:rsid w:val="08E74179"/>
    <w:rsid w:val="0D7A365A"/>
    <w:rsid w:val="109E7D38"/>
    <w:rsid w:val="133B1901"/>
    <w:rsid w:val="19DB55F5"/>
    <w:rsid w:val="1DD801A3"/>
    <w:rsid w:val="1EAF42D1"/>
    <w:rsid w:val="23CC7581"/>
    <w:rsid w:val="274B199A"/>
    <w:rsid w:val="2A1750A8"/>
    <w:rsid w:val="2AC730AA"/>
    <w:rsid w:val="2BE20CDE"/>
    <w:rsid w:val="32513FE1"/>
    <w:rsid w:val="387110B4"/>
    <w:rsid w:val="3A720DEA"/>
    <w:rsid w:val="3B9B3520"/>
    <w:rsid w:val="489617E1"/>
    <w:rsid w:val="4D5D69EE"/>
    <w:rsid w:val="5A254D94"/>
    <w:rsid w:val="5B8E1A9F"/>
    <w:rsid w:val="5CF21E57"/>
    <w:rsid w:val="65195DA7"/>
    <w:rsid w:val="65A30990"/>
    <w:rsid w:val="67920983"/>
    <w:rsid w:val="6AA0021E"/>
    <w:rsid w:val="71597F39"/>
    <w:rsid w:val="715B7F44"/>
    <w:rsid w:val="79CF62B4"/>
    <w:rsid w:val="7BF26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autoRedefine/>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autoRedefine/>
    <w:qFormat/>
    <w:uiPriority w:val="0"/>
    <w:rPr>
      <w:kern w:val="2"/>
      <w:sz w:val="18"/>
      <w:szCs w:val="18"/>
    </w:rPr>
  </w:style>
  <w:style w:type="character" w:customStyle="1" w:styleId="9">
    <w:name w:val="页眉 Char"/>
    <w:link w:val="4"/>
    <w:autoRedefine/>
    <w:qFormat/>
    <w:uiPriority w:val="0"/>
    <w:rPr>
      <w:kern w:val="2"/>
      <w:sz w:val="18"/>
      <w:szCs w:val="18"/>
    </w:rPr>
  </w:style>
  <w:style w:type="character" w:customStyle="1" w:styleId="10">
    <w:name w:val="页脚 Char"/>
    <w:link w:val="3"/>
    <w:autoRedefine/>
    <w:qFormat/>
    <w:uiPriority w:val="0"/>
    <w:rPr>
      <w:kern w:val="2"/>
      <w:sz w:val="18"/>
      <w:szCs w:val="18"/>
    </w:rPr>
  </w:style>
  <w:style w:type="paragraph" w:styleId="11">
    <w:name w:val="List Paragraph"/>
    <w:basedOn w:val="1"/>
    <w:autoRedefine/>
    <w:qFormat/>
    <w:uiPriority w:val="0"/>
    <w:pPr>
      <w:ind w:firstLine="420" w:firstLineChars="200"/>
    </w:pPr>
  </w:style>
  <w:style w:type="character" w:customStyle="1" w:styleId="12">
    <w:name w:val="23"/>
    <w:basedOn w:val="7"/>
    <w:autoRedefine/>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3102</Words>
  <Characters>3372</Characters>
  <Lines>24</Lines>
  <Paragraphs>6</Paragraphs>
  <TotalTime>1</TotalTime>
  <ScaleCrop>false</ScaleCrop>
  <LinksUpToDate>false</LinksUpToDate>
  <CharactersWithSpaces>3378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安然弱水</cp:lastModifiedBy>
  <cp:lastPrinted>2018-01-02T08:11:00Z</cp:lastPrinted>
  <dcterms:modified xsi:type="dcterms:W3CDTF">2026-07-15T01:24:57Z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526F87EBE91A45299D6956337C0E828D_13</vt:lpwstr>
  </property>
  <property fmtid="{D5CDD505-2E9C-101B-9397-08002B2CF9AE}" pid="4" name="KSOTemplateDocerSaveRecord">
    <vt:lpwstr>eyJoZGlkIjoiN2U0N2Q2ZTM2ZDQ4MjgxNDVjNzFiNjJmOWEwODI3OGEiLCJ1c2VySWQiOiIxMzAwNjA3NzU5In0=</vt:lpwstr>
  </property>
</Properties>
</file>