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hint="eastAsia" w:ascii="Times New Roman" w:hAnsi="Times New Roman" w:eastAsia="方正小标宋_GBK" w:cs="华文中宋"/>
          <w:color w:val="000000"/>
          <w:spacing w:val="-10"/>
          <w:sz w:val="44"/>
          <w:szCs w:val="44"/>
        </w:rPr>
      </w:pPr>
      <w:bookmarkStart w:id="0" w:name="_GoBack"/>
      <w:bookmarkEnd w:id="0"/>
      <w:r>
        <w:rPr>
          <w:rFonts w:hint="eastAsia" w:ascii="Times New Roman" w:hAnsi="Times New Roman" w:eastAsia="方正小标宋_GBK" w:cs="华文中宋"/>
          <w:color w:val="000000"/>
          <w:spacing w:val="-10"/>
          <w:sz w:val="44"/>
          <w:szCs w:val="44"/>
        </w:rPr>
        <w:t>石柱土家族自治县社会民政服务中心</w:t>
      </w:r>
    </w:p>
    <w:p>
      <w:pPr>
        <w:spacing w:line="600" w:lineRule="exact"/>
        <w:jc w:val="center"/>
        <w:rPr>
          <w:rFonts w:hint="eastAsia" w:ascii="Times New Roman" w:hAnsi="Times New Roman" w:eastAsia="方正小标宋_GBK" w:cs="华文中宋"/>
          <w:color w:val="000000"/>
          <w:spacing w:val="-10"/>
          <w:sz w:val="44"/>
          <w:szCs w:val="44"/>
        </w:rPr>
      </w:pPr>
      <w:r>
        <w:rPr>
          <w:rFonts w:hint="eastAsia" w:ascii="Times New Roman" w:hAnsi="Times New Roman" w:eastAsia="方正小标宋_GBK" w:cs="华文中宋"/>
          <w:color w:val="000000"/>
          <w:spacing w:val="-10"/>
          <w:sz w:val="44"/>
          <w:szCs w:val="44"/>
        </w:rPr>
        <w:t>2024年单位预算情况说明</w:t>
      </w:r>
    </w:p>
    <w:p>
      <w:pPr>
        <w:spacing w:line="600" w:lineRule="exact"/>
        <w:ind w:firstLine="880" w:firstLineChars="200"/>
        <w:jc w:val="center"/>
        <w:rPr>
          <w:rFonts w:hint="eastAsia" w:ascii="Times New Roman" w:hAnsi="Times New Roman" w:eastAsia="华文中宋" w:cs="华文中宋"/>
          <w:color w:val="000000"/>
          <w:sz w:val="44"/>
          <w:szCs w:val="44"/>
        </w:rPr>
      </w:pPr>
    </w:p>
    <w:p>
      <w:pPr>
        <w:spacing w:line="600" w:lineRule="exact"/>
        <w:ind w:firstLine="640" w:firstLineChars="200"/>
        <w:rPr>
          <w:rFonts w:hint="eastAsia" w:ascii="Times New Roman" w:hAnsi="Times New Roman" w:eastAsia="方正黑体_GBK" w:cs="仿宋_GB2312"/>
          <w:color w:val="000000"/>
          <w:sz w:val="32"/>
          <w:szCs w:val="32"/>
        </w:rPr>
      </w:pPr>
      <w:r>
        <w:rPr>
          <w:rFonts w:hint="eastAsia" w:ascii="Times New Roman" w:hAnsi="Times New Roman" w:eastAsia="方正黑体_GBK" w:cs="仿宋_GB2312"/>
          <w:color w:val="000000"/>
          <w:sz w:val="32"/>
          <w:szCs w:val="32"/>
        </w:rPr>
        <w:t>一、单位基本情况</w:t>
      </w:r>
    </w:p>
    <w:p>
      <w:pPr>
        <w:spacing w:line="600" w:lineRule="exact"/>
        <w:ind w:firstLine="640" w:firstLineChars="200"/>
        <w:rPr>
          <w:rFonts w:hint="eastAsia" w:ascii="Times New Roman" w:hAnsi="Times New Roman" w:eastAsia="方正楷体_GBK" w:cs="方正楷体_GBK"/>
          <w:color w:val="000000"/>
          <w:sz w:val="32"/>
          <w:szCs w:val="32"/>
        </w:rPr>
      </w:pPr>
      <w:r>
        <w:rPr>
          <w:rFonts w:hint="eastAsia" w:ascii="Times New Roman" w:hAnsi="Times New Roman" w:eastAsia="方正楷体_GBK" w:cs="方正楷体_GBK"/>
          <w:color w:val="000000"/>
          <w:sz w:val="32"/>
          <w:szCs w:val="32"/>
        </w:rPr>
        <w:t>（一）职能职责</w:t>
      </w:r>
    </w:p>
    <w:p>
      <w:pPr>
        <w:adjustRightInd w:val="0"/>
        <w:snapToGrid w:val="0"/>
        <w:spacing w:line="60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s="方正仿宋_GBK"/>
          <w:color w:val="000000"/>
          <w:sz w:val="32"/>
          <w:szCs w:val="32"/>
        </w:rPr>
        <w:t>主要职责任务：负责宣传、贯彻执行社会福利工作及婚姻法律法规；倡导文明婚俗；负责依法办理婚姻登记具体业务工作；承担婚姻登记档案日常保管工作；参与社会福利事业发展调研，并提出建议；指导社会福利机构、社会办养老服务机构、社区养老服务站（中心）的业务工作；承担社会福利机构、社会办养老服务机构、社区养老服务站（中心）人员培训工作。</w:t>
      </w:r>
    </w:p>
    <w:p>
      <w:pPr>
        <w:adjustRightInd w:val="0"/>
        <w:snapToGrid w:val="0"/>
        <w:spacing w:line="600" w:lineRule="exact"/>
        <w:ind w:firstLine="640" w:firstLineChars="200"/>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具体职责任务：</w:t>
      </w:r>
    </w:p>
    <w:p>
      <w:pPr>
        <w:adjustRightInd w:val="0"/>
        <w:snapToGrid w:val="0"/>
        <w:spacing w:line="600" w:lineRule="exact"/>
        <w:ind w:firstLine="640" w:firstLineChars="200"/>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（一）全面加强党对民政社会服务工作的领导。</w:t>
      </w:r>
    </w:p>
    <w:p>
      <w:pPr>
        <w:adjustRightInd w:val="0"/>
        <w:snapToGrid w:val="0"/>
        <w:spacing w:line="600" w:lineRule="exact"/>
        <w:ind w:firstLine="640" w:firstLineChars="200"/>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（二）负责宣传、贯彻执行社会福利工作及婚姻法律法规。</w:t>
      </w:r>
    </w:p>
    <w:p>
      <w:pPr>
        <w:adjustRightInd w:val="0"/>
        <w:snapToGrid w:val="0"/>
        <w:spacing w:line="600" w:lineRule="exact"/>
        <w:ind w:firstLine="640" w:firstLineChars="200"/>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（三）指导社会福利机构、社会办养老机构、社区养老服务站（中心）的业务工作。</w:t>
      </w:r>
    </w:p>
    <w:p>
      <w:pPr>
        <w:adjustRightInd w:val="0"/>
        <w:snapToGrid w:val="0"/>
        <w:spacing w:line="600" w:lineRule="exact"/>
        <w:ind w:firstLine="640" w:firstLineChars="200"/>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（四）承担社会福利机构、养老服务机构等相关人员培训工作。</w:t>
      </w:r>
    </w:p>
    <w:p>
      <w:pPr>
        <w:adjustRightInd w:val="0"/>
        <w:snapToGrid w:val="0"/>
        <w:spacing w:line="600" w:lineRule="exact"/>
        <w:ind w:firstLine="640" w:firstLineChars="200"/>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（五）参与社会福利事业发展调研，并提出建议。</w:t>
      </w:r>
    </w:p>
    <w:p>
      <w:pPr>
        <w:adjustRightInd w:val="0"/>
        <w:snapToGrid w:val="0"/>
        <w:spacing w:line="600" w:lineRule="exact"/>
        <w:ind w:firstLine="640" w:firstLineChars="200"/>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（六）参与拟订社会福利机构、社会办养老机构、社区养老服务站（中心）发展规划。</w:t>
      </w:r>
    </w:p>
    <w:p>
      <w:pPr>
        <w:adjustRightInd w:val="0"/>
        <w:snapToGrid w:val="0"/>
        <w:spacing w:line="600" w:lineRule="exact"/>
        <w:ind w:firstLine="640" w:firstLineChars="200"/>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（七）承担婚姻登记具体工作。</w:t>
      </w:r>
    </w:p>
    <w:p>
      <w:pPr>
        <w:adjustRightInd w:val="0"/>
        <w:snapToGrid w:val="0"/>
        <w:spacing w:line="600" w:lineRule="exact"/>
        <w:ind w:firstLine="640" w:firstLineChars="200"/>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（八）负责建立婚姻登记档案并提供查询服务。</w:t>
      </w:r>
    </w:p>
    <w:p>
      <w:pPr>
        <w:spacing w:line="600" w:lineRule="exact"/>
        <w:ind w:firstLine="640" w:firstLineChars="200"/>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（九）承担县民政局交办的其他工作。</w:t>
      </w:r>
    </w:p>
    <w:p>
      <w:pPr>
        <w:spacing w:line="600" w:lineRule="exact"/>
        <w:ind w:firstLine="640" w:firstLineChars="200"/>
        <w:rPr>
          <w:rFonts w:hint="eastAsia" w:ascii="Times New Roman" w:hAnsi="Times New Roman" w:eastAsia="方正楷体_GBK" w:cs="方正楷体_GBK"/>
          <w:color w:val="000000"/>
          <w:sz w:val="32"/>
          <w:szCs w:val="32"/>
        </w:rPr>
      </w:pPr>
      <w:r>
        <w:rPr>
          <w:rFonts w:hint="eastAsia" w:ascii="Times New Roman" w:hAnsi="Times New Roman" w:eastAsia="方正楷体_GBK" w:cs="方正楷体_GBK"/>
          <w:color w:val="000000"/>
          <w:sz w:val="32"/>
          <w:szCs w:val="32"/>
        </w:rPr>
        <w:t>（二）单位构成</w:t>
      </w:r>
    </w:p>
    <w:p>
      <w:pPr>
        <w:spacing w:line="600" w:lineRule="exact"/>
        <w:ind w:firstLine="640" w:firstLineChars="200"/>
        <w:rPr>
          <w:rFonts w:hint="eastAsia" w:ascii="Times New Roman" w:hAnsi="Times New Roman" w:eastAsia="方正仿宋_GBK"/>
          <w:color w:val="000000"/>
          <w:sz w:val="32"/>
          <w:szCs w:val="32"/>
          <w:lang w:eastAsia="zh-CN"/>
        </w:rPr>
      </w:pPr>
      <w:r>
        <w:rPr>
          <w:rFonts w:hint="eastAsia" w:ascii="Times New Roman" w:hAnsi="Times New Roman" w:eastAsia="方正仿宋_GBK"/>
          <w:color w:val="000000"/>
          <w:sz w:val="32"/>
          <w:szCs w:val="32"/>
        </w:rPr>
        <w:t>石柱土家族自治县民政社会服务中心（石柱土家族自治县民政局婚姻登记处）为县民政局管理的正科级公益一类事业单位</w:t>
      </w:r>
      <w:r>
        <w:rPr>
          <w:rFonts w:hint="eastAsia" w:ascii="Times New Roman" w:hAnsi="Times New Roman" w:eastAsia="方正仿宋_GBK"/>
          <w:color w:val="000000"/>
          <w:sz w:val="32"/>
          <w:szCs w:val="32"/>
          <w:lang w:eastAsia="zh-CN"/>
        </w:rPr>
        <w:t>。</w:t>
      </w:r>
    </w:p>
    <w:p>
      <w:pPr>
        <w:spacing w:line="600" w:lineRule="exact"/>
        <w:ind w:firstLine="640" w:firstLineChars="200"/>
        <w:rPr>
          <w:rFonts w:hint="eastAsia" w:ascii="Times New Roman" w:hAnsi="Times New Roman" w:eastAsia="方正黑体_GBK" w:cs="仿宋_GB2312"/>
          <w:color w:val="000000"/>
          <w:sz w:val="32"/>
          <w:szCs w:val="32"/>
        </w:rPr>
      </w:pPr>
      <w:r>
        <w:rPr>
          <w:rFonts w:hint="eastAsia" w:ascii="Times New Roman" w:hAnsi="Times New Roman" w:eastAsia="方正黑体_GBK" w:cs="仿宋_GB2312"/>
          <w:color w:val="000000"/>
          <w:sz w:val="32"/>
          <w:szCs w:val="32"/>
        </w:rPr>
        <w:t>二、单位收支总体情况</w:t>
      </w:r>
    </w:p>
    <w:p>
      <w:pPr>
        <w:ind w:firstLine="640" w:firstLineChars="200"/>
        <w:rPr>
          <w:rFonts w:hint="eastAsia" w:ascii="Times New Roman" w:hAnsi="Times New Roman"/>
          <w:b/>
          <w:bCs/>
          <w:color w:val="000000"/>
          <w:kern w:val="0"/>
          <w:sz w:val="32"/>
          <w:szCs w:val="32"/>
        </w:rPr>
      </w:pPr>
      <w:r>
        <w:rPr>
          <w:rFonts w:hint="eastAsia" w:ascii="Times New Roman" w:hAnsi="Times New Roman" w:eastAsia="方正楷体_GBK" w:cs="方正楷体_GBK"/>
          <w:color w:val="000000"/>
          <w:sz w:val="32"/>
          <w:szCs w:val="32"/>
        </w:rPr>
        <w:t>（一）收入预算</w:t>
      </w:r>
      <w:r>
        <w:rPr>
          <w:rFonts w:hint="eastAsia" w:ascii="Times New Roman" w:hAnsi="Times New Roman" w:eastAsia="方正仿宋_GBK" w:cs="仿宋_GB2312"/>
          <w:color w:val="000000"/>
          <w:sz w:val="32"/>
          <w:szCs w:val="32"/>
        </w:rPr>
        <w:t>：</w:t>
      </w:r>
      <w:r>
        <w:rPr>
          <w:rFonts w:ascii="Times New Roman" w:hAnsi="Times New Roman" w:eastAsia="方正仿宋_GBK"/>
          <w:color w:val="000000"/>
          <w:sz w:val="32"/>
          <w:szCs w:val="32"/>
        </w:rPr>
        <w:t>2024年年初预算数73.79万元，其中：一般公共预算拨款73.79万元，政府性基金预算拨款</w:t>
      </w:r>
      <w:r>
        <w:rPr>
          <w:rFonts w:hint="eastAsia" w:ascii="Times New Roman" w:hAnsi="Times New Roman" w:eastAsia="方正仿宋_GBK"/>
          <w:color w:val="000000"/>
          <w:sz w:val="32"/>
          <w:szCs w:val="32"/>
        </w:rPr>
        <w:t>0</w:t>
      </w:r>
      <w:r>
        <w:rPr>
          <w:rFonts w:ascii="Times New Roman" w:hAnsi="Times New Roman" w:eastAsia="方正仿宋_GBK"/>
          <w:color w:val="000000"/>
          <w:sz w:val="32"/>
          <w:szCs w:val="32"/>
        </w:rPr>
        <w:t>万元，国有资本经营预算拨款</w:t>
      </w:r>
      <w:r>
        <w:rPr>
          <w:rFonts w:hint="eastAsia" w:ascii="Times New Roman" w:hAnsi="Times New Roman" w:eastAsia="方正仿宋_GBK"/>
          <w:color w:val="000000"/>
          <w:sz w:val="32"/>
          <w:szCs w:val="32"/>
        </w:rPr>
        <w:t>0</w:t>
      </w:r>
      <w:r>
        <w:rPr>
          <w:rFonts w:ascii="Times New Roman" w:hAnsi="Times New Roman" w:eastAsia="方正仿宋_GBK"/>
          <w:color w:val="000000"/>
          <w:sz w:val="32"/>
          <w:szCs w:val="32"/>
        </w:rPr>
        <w:t xml:space="preserve">万元，财政专户管理资金 </w:t>
      </w:r>
      <w:r>
        <w:rPr>
          <w:rFonts w:hint="eastAsia" w:ascii="Times New Roman" w:hAnsi="Times New Roman" w:eastAsia="方正仿宋_GBK"/>
          <w:color w:val="000000"/>
          <w:sz w:val="32"/>
          <w:szCs w:val="32"/>
        </w:rPr>
        <w:t>0</w:t>
      </w:r>
      <w:r>
        <w:rPr>
          <w:rFonts w:ascii="Times New Roman" w:hAnsi="Times New Roman" w:eastAsia="方正仿宋_GBK"/>
          <w:color w:val="000000"/>
          <w:sz w:val="32"/>
          <w:szCs w:val="32"/>
        </w:rPr>
        <w:t>万元，事业收入资金</w:t>
      </w:r>
      <w:r>
        <w:rPr>
          <w:rFonts w:hint="eastAsia" w:ascii="Times New Roman" w:hAnsi="Times New Roman" w:eastAsia="方正仿宋_GBK"/>
          <w:color w:val="000000"/>
          <w:sz w:val="32"/>
          <w:szCs w:val="32"/>
        </w:rPr>
        <w:t>0</w:t>
      </w:r>
      <w:r>
        <w:rPr>
          <w:rFonts w:ascii="Times New Roman" w:hAnsi="Times New Roman" w:eastAsia="方正仿宋_GBK"/>
          <w:color w:val="000000"/>
          <w:sz w:val="32"/>
          <w:szCs w:val="32"/>
        </w:rPr>
        <w:t>万元，上级补助收入资金</w:t>
      </w:r>
      <w:r>
        <w:rPr>
          <w:rFonts w:hint="eastAsia" w:ascii="Times New Roman" w:hAnsi="Times New Roman" w:eastAsia="方正仿宋_GBK"/>
          <w:color w:val="000000"/>
          <w:sz w:val="32"/>
          <w:szCs w:val="32"/>
        </w:rPr>
        <w:t>0</w:t>
      </w:r>
      <w:r>
        <w:rPr>
          <w:rFonts w:ascii="Times New Roman" w:hAnsi="Times New Roman" w:eastAsia="方正仿宋_GBK"/>
          <w:color w:val="000000"/>
          <w:sz w:val="32"/>
          <w:szCs w:val="32"/>
        </w:rPr>
        <w:t>万元，附属单位上缴收入资金</w:t>
      </w:r>
      <w:r>
        <w:rPr>
          <w:rFonts w:hint="eastAsia" w:ascii="Times New Roman" w:hAnsi="Times New Roman" w:eastAsia="方正仿宋_GBK"/>
          <w:color w:val="000000"/>
          <w:sz w:val="32"/>
          <w:szCs w:val="32"/>
        </w:rPr>
        <w:t>0</w:t>
      </w:r>
      <w:r>
        <w:rPr>
          <w:rFonts w:ascii="Times New Roman" w:hAnsi="Times New Roman" w:eastAsia="方正仿宋_GBK"/>
          <w:color w:val="000000"/>
          <w:sz w:val="32"/>
          <w:szCs w:val="32"/>
        </w:rPr>
        <w:t>万元，事业单位经营收入资金</w:t>
      </w:r>
      <w:r>
        <w:rPr>
          <w:rFonts w:hint="eastAsia" w:ascii="Times New Roman" w:hAnsi="Times New Roman" w:eastAsia="方正仿宋_GBK"/>
          <w:color w:val="000000"/>
          <w:sz w:val="32"/>
          <w:szCs w:val="32"/>
        </w:rPr>
        <w:t>0</w:t>
      </w:r>
      <w:r>
        <w:rPr>
          <w:rFonts w:ascii="Times New Roman" w:hAnsi="Times New Roman" w:eastAsia="方正仿宋_GBK"/>
          <w:color w:val="000000"/>
          <w:sz w:val="32"/>
          <w:szCs w:val="32"/>
        </w:rPr>
        <w:t>万元，其他收入资金</w:t>
      </w:r>
      <w:r>
        <w:rPr>
          <w:rFonts w:hint="eastAsia" w:ascii="Times New Roman" w:hAnsi="Times New Roman" w:eastAsia="方正仿宋_GBK"/>
          <w:color w:val="000000"/>
          <w:sz w:val="32"/>
          <w:szCs w:val="32"/>
        </w:rPr>
        <w:t>0</w:t>
      </w:r>
      <w:r>
        <w:rPr>
          <w:rFonts w:ascii="Times New Roman" w:hAnsi="Times New Roman" w:eastAsia="方正仿宋_GBK"/>
          <w:color w:val="000000"/>
          <w:sz w:val="32"/>
          <w:szCs w:val="32"/>
        </w:rPr>
        <w:t>万元；收入</w:t>
      </w:r>
      <w:r>
        <w:rPr>
          <w:rFonts w:hint="eastAsia" w:ascii="Times New Roman" w:hAnsi="Times New Roman" w:eastAsia="方正仿宋_GBK"/>
          <w:color w:val="000000"/>
          <w:sz w:val="32"/>
          <w:szCs w:val="32"/>
        </w:rPr>
        <w:t>比2023年</w:t>
      </w:r>
      <w:r>
        <w:rPr>
          <w:rFonts w:ascii="Times New Roman" w:hAnsi="Times New Roman" w:eastAsia="方正仿宋_GBK"/>
          <w:color w:val="000000"/>
          <w:sz w:val="32"/>
          <w:szCs w:val="32"/>
        </w:rPr>
        <w:t>增加</w:t>
      </w:r>
      <w:r>
        <w:rPr>
          <w:rFonts w:hint="eastAsia" w:ascii="Times New Roman" w:hAnsi="Times New Roman" w:eastAsia="方正仿宋_GBK"/>
          <w:color w:val="000000"/>
          <w:sz w:val="32"/>
          <w:szCs w:val="32"/>
        </w:rPr>
        <w:t>52.65</w:t>
      </w:r>
      <w:r>
        <w:rPr>
          <w:rFonts w:ascii="Times New Roman" w:hAnsi="Times New Roman" w:eastAsia="方正仿宋_GBK"/>
          <w:color w:val="000000"/>
          <w:sz w:val="32"/>
          <w:szCs w:val="32"/>
        </w:rPr>
        <w:t>万元，主要是一般公共预算拨款增加</w:t>
      </w:r>
      <w:r>
        <w:rPr>
          <w:rFonts w:hint="eastAsia" w:ascii="Times New Roman" w:hAnsi="Times New Roman" w:eastAsia="方正仿宋_GBK"/>
          <w:color w:val="000000"/>
          <w:sz w:val="32"/>
          <w:szCs w:val="32"/>
        </w:rPr>
        <w:t>52.65</w:t>
      </w:r>
      <w:r>
        <w:rPr>
          <w:rFonts w:ascii="Times New Roman" w:hAnsi="Times New Roman" w:eastAsia="方正仿宋_GBK"/>
          <w:color w:val="000000"/>
          <w:sz w:val="32"/>
          <w:szCs w:val="32"/>
        </w:rPr>
        <w:t>万元</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政府性基金预算拨款增加</w:t>
      </w:r>
      <w:r>
        <w:rPr>
          <w:rFonts w:hint="eastAsia" w:ascii="Times New Roman" w:hAnsi="Times New Roman" w:eastAsia="方正仿宋_GBK"/>
          <w:color w:val="000000"/>
          <w:sz w:val="32"/>
          <w:szCs w:val="32"/>
        </w:rPr>
        <w:t>0</w:t>
      </w:r>
      <w:r>
        <w:rPr>
          <w:rFonts w:ascii="Times New Roman" w:hAnsi="Times New Roman" w:eastAsia="方正仿宋_GBK"/>
          <w:color w:val="000000"/>
          <w:sz w:val="32"/>
          <w:szCs w:val="32"/>
        </w:rPr>
        <w:t>万元。</w:t>
      </w:r>
    </w:p>
    <w:p>
      <w:pPr>
        <w:spacing w:line="600" w:lineRule="exact"/>
        <w:ind w:firstLine="640" w:firstLineChars="200"/>
        <w:rPr>
          <w:rFonts w:hint="eastAsia" w:ascii="Times New Roman" w:hAnsi="Times New Roman" w:eastAsia="方正仿宋_GBK" w:cs="仿宋_GB2312"/>
          <w:color w:val="000000"/>
          <w:sz w:val="32"/>
          <w:szCs w:val="32"/>
        </w:rPr>
      </w:pPr>
      <w:r>
        <w:rPr>
          <w:rFonts w:hint="eastAsia" w:ascii="Times New Roman" w:hAnsi="Times New Roman" w:eastAsia="方正楷体_GBK" w:cs="方正楷体_GBK"/>
          <w:color w:val="000000"/>
          <w:sz w:val="32"/>
          <w:szCs w:val="32"/>
        </w:rPr>
        <w:t>（二）支出预算</w:t>
      </w:r>
      <w:r>
        <w:rPr>
          <w:rFonts w:hint="eastAsia" w:ascii="Times New Roman" w:hAnsi="Times New Roman" w:eastAsia="方正仿宋_GBK" w:cs="仿宋_GB2312"/>
          <w:color w:val="000000"/>
          <w:sz w:val="32"/>
          <w:szCs w:val="32"/>
        </w:rPr>
        <w:t>：</w:t>
      </w:r>
      <w:r>
        <w:rPr>
          <w:rFonts w:ascii="Times New Roman" w:hAnsi="Times New Roman" w:eastAsia="方正仿宋_GBK"/>
          <w:color w:val="000000"/>
          <w:sz w:val="32"/>
          <w:szCs w:val="32"/>
        </w:rPr>
        <w:t>2024年年初预算数73.79万元，其中：社会保障和就业支出</w:t>
      </w:r>
      <w:r>
        <w:rPr>
          <w:rFonts w:hint="eastAsia" w:ascii="Times New Roman" w:hAnsi="Times New Roman" w:eastAsia="方正仿宋_GBK"/>
          <w:color w:val="000000"/>
          <w:sz w:val="32"/>
          <w:szCs w:val="32"/>
        </w:rPr>
        <w:t>66.22</w:t>
      </w:r>
      <w:r>
        <w:rPr>
          <w:rFonts w:hint="eastAsia" w:ascii="Times New Roman" w:hAnsi="Times New Roman" w:eastAsia="方正仿宋_GBK"/>
          <w:color w:val="000000"/>
          <w:sz w:val="32"/>
          <w:szCs w:val="32"/>
          <w:lang w:eastAsia="zh-CN"/>
        </w:rPr>
        <w:t>万元</w:t>
      </w:r>
      <w:r>
        <w:rPr>
          <w:rFonts w:ascii="Times New Roman" w:hAnsi="Times New Roman" w:eastAsia="方正仿宋_GBK"/>
          <w:color w:val="000000"/>
          <w:sz w:val="32"/>
          <w:szCs w:val="32"/>
        </w:rPr>
        <w:t>，卫生健康支出</w:t>
      </w:r>
      <w:r>
        <w:rPr>
          <w:rFonts w:hint="eastAsia" w:ascii="Times New Roman" w:hAnsi="Times New Roman" w:eastAsia="方正仿宋_GBK"/>
          <w:color w:val="000000"/>
          <w:sz w:val="32"/>
          <w:szCs w:val="32"/>
        </w:rPr>
        <w:t>3.81</w:t>
      </w:r>
      <w:r>
        <w:rPr>
          <w:rFonts w:ascii="Times New Roman" w:hAnsi="Times New Roman" w:eastAsia="方正仿宋_GBK"/>
          <w:color w:val="000000"/>
          <w:sz w:val="32"/>
          <w:szCs w:val="32"/>
        </w:rPr>
        <w:t>万元，住房保障支出</w:t>
      </w:r>
      <w:r>
        <w:rPr>
          <w:rFonts w:hint="eastAsia" w:ascii="Times New Roman" w:hAnsi="Times New Roman" w:eastAsia="方正仿宋_GBK"/>
          <w:color w:val="000000"/>
          <w:sz w:val="32"/>
          <w:szCs w:val="32"/>
        </w:rPr>
        <w:t>3.75</w:t>
      </w:r>
      <w:r>
        <w:rPr>
          <w:rFonts w:ascii="Times New Roman" w:hAnsi="Times New Roman" w:eastAsia="方正仿宋_GBK"/>
          <w:color w:val="000000"/>
          <w:sz w:val="32"/>
          <w:szCs w:val="32"/>
        </w:rPr>
        <w:t>万元；支出</w:t>
      </w:r>
      <w:r>
        <w:rPr>
          <w:rFonts w:hint="eastAsia" w:ascii="Times New Roman" w:hAnsi="Times New Roman" w:eastAsia="方正仿宋_GBK"/>
          <w:color w:val="000000"/>
          <w:sz w:val="32"/>
          <w:szCs w:val="32"/>
        </w:rPr>
        <w:t>比2023年</w:t>
      </w:r>
      <w:r>
        <w:rPr>
          <w:rFonts w:ascii="Times New Roman" w:hAnsi="Times New Roman" w:eastAsia="方正仿宋_GBK"/>
          <w:color w:val="000000"/>
          <w:sz w:val="32"/>
          <w:szCs w:val="32"/>
        </w:rPr>
        <w:t>增加</w:t>
      </w:r>
      <w:r>
        <w:rPr>
          <w:rFonts w:hint="eastAsia" w:ascii="Times New Roman" w:hAnsi="Times New Roman" w:eastAsia="方正仿宋_GBK"/>
          <w:color w:val="000000"/>
          <w:sz w:val="32"/>
          <w:szCs w:val="32"/>
        </w:rPr>
        <w:t>52.65</w:t>
      </w:r>
      <w:r>
        <w:rPr>
          <w:rFonts w:ascii="Times New Roman" w:hAnsi="Times New Roman" w:eastAsia="方正仿宋_GBK"/>
          <w:color w:val="000000"/>
          <w:sz w:val="32"/>
          <w:szCs w:val="32"/>
        </w:rPr>
        <w:t>万元，主要是基本支出增加</w:t>
      </w:r>
      <w:r>
        <w:rPr>
          <w:rFonts w:hint="eastAsia" w:ascii="Times New Roman" w:hAnsi="Times New Roman" w:eastAsia="方正仿宋_GBK"/>
          <w:color w:val="000000"/>
          <w:sz w:val="32"/>
          <w:szCs w:val="32"/>
        </w:rPr>
        <w:t>52.65</w:t>
      </w:r>
      <w:r>
        <w:rPr>
          <w:rFonts w:ascii="Times New Roman" w:hAnsi="Times New Roman" w:eastAsia="方正仿宋_GBK"/>
          <w:color w:val="000000"/>
          <w:sz w:val="32"/>
          <w:szCs w:val="32"/>
        </w:rPr>
        <w:t>万元。</w:t>
      </w:r>
    </w:p>
    <w:p>
      <w:pPr>
        <w:spacing w:line="600" w:lineRule="exact"/>
        <w:ind w:firstLine="640" w:firstLineChars="200"/>
        <w:rPr>
          <w:rFonts w:hint="eastAsia" w:ascii="Times New Roman" w:hAnsi="Times New Roman" w:eastAsia="方正仿宋_GBK" w:cs="仿宋_GB2312"/>
          <w:color w:val="000000"/>
          <w:sz w:val="32"/>
          <w:szCs w:val="32"/>
        </w:rPr>
      </w:pPr>
      <w:r>
        <w:rPr>
          <w:rFonts w:hint="eastAsia" w:ascii="Times New Roman" w:hAnsi="Times New Roman" w:eastAsia="方正黑体_GBK" w:cs="仿宋_GB2312"/>
          <w:color w:val="000000"/>
          <w:sz w:val="32"/>
          <w:szCs w:val="32"/>
        </w:rPr>
        <w:t>三</w:t>
      </w:r>
      <w:r>
        <w:rPr>
          <w:rFonts w:ascii="Times New Roman" w:hAnsi="Times New Roman" w:eastAsia="方正黑体_GBK" w:cs="仿宋_GB2312"/>
          <w:color w:val="000000"/>
          <w:sz w:val="32"/>
          <w:szCs w:val="32"/>
        </w:rPr>
        <w:t>、</w:t>
      </w:r>
      <w:r>
        <w:rPr>
          <w:rFonts w:hint="eastAsia" w:ascii="Times New Roman" w:hAnsi="Times New Roman" w:eastAsia="方正黑体_GBK" w:cs="仿宋_GB2312"/>
          <w:color w:val="000000"/>
          <w:sz w:val="32"/>
          <w:szCs w:val="32"/>
        </w:rPr>
        <w:t>单位预算情况说明</w:t>
      </w:r>
    </w:p>
    <w:p>
      <w:pPr>
        <w:spacing w:line="60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2024年一般公共预算财政拨款收入</w:t>
      </w:r>
      <w:r>
        <w:rPr>
          <w:rFonts w:hint="eastAsia" w:ascii="Times New Roman" w:hAnsi="Times New Roman" w:eastAsia="方正仿宋_GBK"/>
          <w:color w:val="000000"/>
          <w:sz w:val="32"/>
          <w:szCs w:val="32"/>
        </w:rPr>
        <w:t>73.79</w:t>
      </w:r>
      <w:r>
        <w:rPr>
          <w:rFonts w:ascii="Times New Roman" w:hAnsi="Times New Roman" w:eastAsia="方正仿宋_GBK"/>
          <w:color w:val="000000"/>
          <w:sz w:val="32"/>
          <w:szCs w:val="32"/>
        </w:rPr>
        <w:t>万元，一般公共预算财政拨款支出</w:t>
      </w:r>
      <w:r>
        <w:rPr>
          <w:rFonts w:hint="eastAsia" w:ascii="Times New Roman" w:hAnsi="Times New Roman" w:eastAsia="方正仿宋_GBK"/>
          <w:color w:val="000000"/>
          <w:sz w:val="32"/>
          <w:szCs w:val="32"/>
        </w:rPr>
        <w:t>73.79</w:t>
      </w:r>
      <w:r>
        <w:rPr>
          <w:rFonts w:ascii="Times New Roman" w:hAnsi="Times New Roman" w:eastAsia="方正仿宋_GBK"/>
          <w:color w:val="000000"/>
          <w:sz w:val="32"/>
          <w:szCs w:val="32"/>
        </w:rPr>
        <w:t>万元，比2023年增加</w:t>
      </w:r>
      <w:r>
        <w:rPr>
          <w:rFonts w:hint="eastAsia" w:ascii="Times New Roman" w:hAnsi="Times New Roman" w:eastAsia="方正仿宋_GBK"/>
          <w:color w:val="000000"/>
          <w:sz w:val="32"/>
          <w:szCs w:val="32"/>
        </w:rPr>
        <w:t>52.65</w:t>
      </w:r>
      <w:r>
        <w:rPr>
          <w:rFonts w:ascii="Times New Roman" w:hAnsi="Times New Roman" w:eastAsia="方正仿宋_GBK"/>
          <w:color w:val="000000"/>
          <w:sz w:val="32"/>
          <w:szCs w:val="32"/>
        </w:rPr>
        <w:t>万元。其中：基本支出</w:t>
      </w:r>
      <w:r>
        <w:rPr>
          <w:rFonts w:hint="eastAsia" w:ascii="Times New Roman" w:hAnsi="Times New Roman" w:eastAsia="方正仿宋_GBK"/>
          <w:color w:val="000000"/>
          <w:sz w:val="32"/>
          <w:szCs w:val="32"/>
        </w:rPr>
        <w:t>52.65</w:t>
      </w:r>
      <w:r>
        <w:rPr>
          <w:rFonts w:ascii="Times New Roman" w:hAnsi="Times New Roman" w:eastAsia="方正仿宋_GBK"/>
          <w:color w:val="000000"/>
          <w:sz w:val="32"/>
          <w:szCs w:val="32"/>
        </w:rPr>
        <w:t>万元，主要用于保障</w:t>
      </w:r>
      <w:r>
        <w:rPr>
          <w:rFonts w:hint="eastAsia" w:ascii="Times New Roman" w:hAnsi="Times New Roman" w:eastAsia="方正仿宋_GBK"/>
          <w:color w:val="000000"/>
          <w:sz w:val="32"/>
          <w:szCs w:val="32"/>
        </w:rPr>
        <w:t>民政服务</w:t>
      </w:r>
      <w:r>
        <w:rPr>
          <w:rFonts w:ascii="Times New Roman" w:hAnsi="Times New Roman" w:eastAsia="方正仿宋_GBK"/>
          <w:color w:val="000000"/>
          <w:sz w:val="32"/>
          <w:szCs w:val="32"/>
        </w:rPr>
        <w:t>中心在职人员工资福利及社会保险缴费、离休人员离休费、退休人员补助等，保障部门正常运转的各项商品服务支出，比2023年增加</w:t>
      </w:r>
      <w:r>
        <w:rPr>
          <w:rFonts w:hint="eastAsia" w:ascii="Times New Roman" w:hAnsi="Times New Roman" w:eastAsia="方正仿宋_GBK"/>
          <w:color w:val="000000"/>
          <w:sz w:val="32"/>
          <w:szCs w:val="32"/>
        </w:rPr>
        <w:t>52.65</w:t>
      </w:r>
      <w:r>
        <w:rPr>
          <w:rFonts w:ascii="Times New Roman" w:hAnsi="Times New Roman" w:eastAsia="方正仿宋_GBK"/>
          <w:color w:val="000000"/>
          <w:sz w:val="32"/>
          <w:szCs w:val="32"/>
        </w:rPr>
        <w:t>万元，主要原因是</w:t>
      </w:r>
      <w:r>
        <w:rPr>
          <w:rFonts w:hint="eastAsia" w:ascii="Times New Roman" w:hAnsi="Times New Roman" w:eastAsia="方正仿宋_GBK"/>
          <w:color w:val="000000"/>
          <w:sz w:val="32"/>
          <w:szCs w:val="32"/>
        </w:rPr>
        <w:t>全县对“小散弱”事业单位</w:t>
      </w:r>
      <w:r>
        <w:rPr>
          <w:rFonts w:hint="eastAsia" w:ascii="Times New Roman" w:hAnsi="Times New Roman" w:eastAsia="方正仿宋_GBK"/>
          <w:color w:val="000000"/>
          <w:sz w:val="32"/>
          <w:szCs w:val="32"/>
          <w:lang w:eastAsia="zh-CN"/>
        </w:rPr>
        <w:t>进行</w:t>
      </w:r>
      <w:r>
        <w:rPr>
          <w:rFonts w:hint="eastAsia" w:ascii="Times New Roman" w:hAnsi="Times New Roman" w:eastAsia="方正仿宋_GBK"/>
          <w:color w:val="000000"/>
          <w:sz w:val="32"/>
          <w:szCs w:val="32"/>
        </w:rPr>
        <w:t>整改，我局婚姻登记处进行合并到民政社会福利中心中，人员及编制均比上年增加3个，人员</w:t>
      </w:r>
      <w:r>
        <w:rPr>
          <w:rFonts w:ascii="Times New Roman" w:hAnsi="Times New Roman" w:eastAsia="方正仿宋_GBK"/>
          <w:color w:val="000000"/>
          <w:sz w:val="32"/>
          <w:szCs w:val="32"/>
        </w:rPr>
        <w:t>经费及公用经费均增加。</w:t>
      </w:r>
    </w:p>
    <w:p>
      <w:pPr>
        <w:spacing w:line="600" w:lineRule="exact"/>
        <w:ind w:firstLine="640" w:firstLineChars="200"/>
        <w:rPr>
          <w:rFonts w:hint="eastAsia" w:ascii="Times New Roman" w:hAnsi="Times New Roman" w:eastAsia="方正仿宋_GBK" w:cs="仿宋_GB2312"/>
          <w:color w:val="000000"/>
          <w:sz w:val="32"/>
          <w:szCs w:val="32"/>
        </w:rPr>
      </w:pPr>
      <w:r>
        <w:rPr>
          <w:rFonts w:ascii="Times New Roman" w:hAnsi="Times New Roman" w:eastAsia="方正仿宋_GBK"/>
          <w:color w:val="000000"/>
          <w:sz w:val="32"/>
          <w:szCs w:val="32"/>
        </w:rPr>
        <w:t>2024年无使用政府性基金预算拨款安排的支出，与上年保持一致</w:t>
      </w:r>
      <w:r>
        <w:rPr>
          <w:rFonts w:hint="eastAsia" w:ascii="Times New Roman" w:hAnsi="Times New Roman" w:eastAsia="方正仿宋_GBK"/>
          <w:color w:val="000000"/>
          <w:sz w:val="32"/>
          <w:szCs w:val="32"/>
        </w:rPr>
        <w:t>。</w:t>
      </w:r>
    </w:p>
    <w:p>
      <w:pPr>
        <w:spacing w:line="600" w:lineRule="exact"/>
        <w:ind w:firstLine="640" w:firstLineChars="200"/>
        <w:rPr>
          <w:rFonts w:hint="eastAsia" w:ascii="Times New Roman" w:hAnsi="Times New Roman" w:eastAsia="方正仿宋_GBK" w:cs="仿宋_GB2312"/>
          <w:color w:val="000000"/>
          <w:sz w:val="32"/>
          <w:szCs w:val="32"/>
        </w:rPr>
      </w:pPr>
      <w:r>
        <w:rPr>
          <w:rFonts w:hint="eastAsia" w:ascii="Times New Roman" w:hAnsi="Times New Roman" w:eastAsia="方正黑体_GBK" w:cs="仿宋_GB2312"/>
          <w:color w:val="000000"/>
          <w:sz w:val="32"/>
          <w:szCs w:val="32"/>
        </w:rPr>
        <w:t>四</w:t>
      </w:r>
      <w:r>
        <w:rPr>
          <w:rFonts w:ascii="Times New Roman" w:hAnsi="Times New Roman" w:eastAsia="方正黑体_GBK" w:cs="仿宋_GB2312"/>
          <w:color w:val="000000"/>
          <w:sz w:val="32"/>
          <w:szCs w:val="32"/>
        </w:rPr>
        <w:t>、</w:t>
      </w:r>
      <w:r>
        <w:rPr>
          <w:rFonts w:hint="eastAsia" w:ascii="Times New Roman" w:hAnsi="Times New Roman" w:eastAsia="方正黑体_GBK" w:cs="仿宋_GB2312"/>
          <w:color w:val="000000"/>
          <w:sz w:val="32"/>
          <w:szCs w:val="32"/>
        </w:rPr>
        <w:t>“三公”经费情况说明</w:t>
      </w:r>
    </w:p>
    <w:p>
      <w:pPr>
        <w:spacing w:line="60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2024年</w:t>
      </w:r>
      <w:r>
        <w:rPr>
          <w:rFonts w:hint="eastAsia" w:ascii="Times New Roman" w:hAnsi="Times New Roman" w:eastAsia="方正仿宋_GBK"/>
          <w:color w:val="000000"/>
          <w:sz w:val="32"/>
          <w:szCs w:val="32"/>
          <w:lang w:eastAsia="zh-CN"/>
        </w:rPr>
        <w:t>“</w:t>
      </w:r>
      <w:r>
        <w:rPr>
          <w:rFonts w:ascii="Times New Roman" w:hAnsi="Times New Roman" w:eastAsia="方正仿宋_GBK"/>
          <w:color w:val="000000"/>
          <w:sz w:val="32"/>
          <w:szCs w:val="32"/>
        </w:rPr>
        <w:t>三公</w:t>
      </w:r>
      <w:r>
        <w:rPr>
          <w:rFonts w:hint="eastAsia" w:ascii="Times New Roman" w:hAnsi="Times New Roman" w:eastAsia="方正仿宋_GBK"/>
          <w:color w:val="000000"/>
          <w:sz w:val="32"/>
          <w:szCs w:val="32"/>
          <w:lang w:eastAsia="zh-CN"/>
        </w:rPr>
        <w:t>”</w:t>
      </w:r>
      <w:r>
        <w:rPr>
          <w:rFonts w:ascii="Times New Roman" w:hAnsi="Times New Roman" w:eastAsia="方正仿宋_GBK"/>
          <w:color w:val="000000"/>
          <w:sz w:val="32"/>
          <w:szCs w:val="32"/>
        </w:rPr>
        <w:t>经费预算</w:t>
      </w:r>
      <w:r>
        <w:rPr>
          <w:rFonts w:hint="eastAsia" w:ascii="Times New Roman" w:hAnsi="Times New Roman" w:eastAsia="方正仿宋_GBK"/>
          <w:color w:val="000000"/>
          <w:sz w:val="32"/>
          <w:szCs w:val="32"/>
        </w:rPr>
        <w:t>0</w:t>
      </w:r>
      <w:r>
        <w:rPr>
          <w:rFonts w:ascii="Times New Roman" w:hAnsi="Times New Roman" w:eastAsia="方正仿宋_GBK"/>
          <w:color w:val="000000"/>
          <w:sz w:val="32"/>
          <w:szCs w:val="32"/>
        </w:rPr>
        <w:t>万元，</w:t>
      </w:r>
      <w:r>
        <w:rPr>
          <w:rFonts w:hint="eastAsia" w:ascii="Times New Roman" w:hAnsi="Times New Roman" w:eastAsia="方正仿宋_GBK"/>
          <w:color w:val="000000"/>
          <w:sz w:val="32"/>
          <w:szCs w:val="32"/>
        </w:rPr>
        <w:t>与</w:t>
      </w:r>
      <w:r>
        <w:rPr>
          <w:rFonts w:ascii="Times New Roman" w:hAnsi="Times New Roman" w:eastAsia="方正仿宋_GBK"/>
          <w:color w:val="000000"/>
          <w:sz w:val="32"/>
          <w:szCs w:val="32"/>
        </w:rPr>
        <w:t>上年一致。</w:t>
      </w:r>
    </w:p>
    <w:p>
      <w:pPr>
        <w:spacing w:line="600" w:lineRule="exact"/>
        <w:ind w:firstLine="640" w:firstLineChars="200"/>
        <w:rPr>
          <w:rFonts w:hint="eastAsia" w:ascii="Times New Roman" w:hAnsi="Times New Roman" w:eastAsia="方正黑体_GBK" w:cs="仿宋_GB2312"/>
          <w:color w:val="000000"/>
          <w:sz w:val="32"/>
          <w:szCs w:val="32"/>
        </w:rPr>
      </w:pPr>
      <w:r>
        <w:rPr>
          <w:rFonts w:hint="eastAsia" w:ascii="Times New Roman" w:hAnsi="Times New Roman" w:eastAsia="方正黑体_GBK" w:cs="仿宋_GB2312"/>
          <w:color w:val="000000"/>
          <w:sz w:val="32"/>
          <w:szCs w:val="32"/>
        </w:rPr>
        <w:t>五、其他重要事项的情况说明</w:t>
      </w:r>
    </w:p>
    <w:p>
      <w:pPr>
        <w:ind w:firstLine="640" w:firstLineChars="200"/>
        <w:rPr>
          <w:rFonts w:hint="eastAsia" w:ascii="Times New Roman" w:hAnsi="Times New Roman" w:eastAsia="方正仿宋_GBK" w:cs="仿宋_GB2312"/>
          <w:color w:val="000000"/>
          <w:sz w:val="32"/>
          <w:szCs w:val="32"/>
        </w:rPr>
      </w:pPr>
      <w:r>
        <w:rPr>
          <w:rFonts w:hint="eastAsia" w:ascii="Times New Roman" w:hAnsi="Times New Roman" w:eastAsia="方正楷体_GBK" w:cs="方正楷体_GBK"/>
          <w:color w:val="000000"/>
          <w:sz w:val="32"/>
          <w:szCs w:val="32"/>
        </w:rPr>
        <w:t>（一）机关运行经费</w:t>
      </w:r>
      <w:r>
        <w:rPr>
          <w:rFonts w:hint="eastAsia" w:ascii="Times New Roman" w:hAnsi="Times New Roman" w:eastAsia="方正仿宋_GBK" w:cs="仿宋_GB2312"/>
          <w:color w:val="000000"/>
          <w:sz w:val="32"/>
          <w:szCs w:val="32"/>
        </w:rPr>
        <w:t>。</w:t>
      </w:r>
      <w:r>
        <w:rPr>
          <w:rFonts w:ascii="Times New Roman" w:hAnsi="Times New Roman" w:eastAsia="方正仿宋_GBK"/>
          <w:color w:val="000000"/>
          <w:sz w:val="32"/>
          <w:szCs w:val="32"/>
        </w:rPr>
        <w:t>我单位不在机关运行经费统计范围之内。</w:t>
      </w:r>
    </w:p>
    <w:p>
      <w:pPr>
        <w:ind w:firstLine="640" w:firstLineChars="200"/>
        <w:rPr>
          <w:rFonts w:hint="eastAsia" w:ascii="Times New Roman" w:hAnsi="Times New Roman" w:eastAsia="方正仿宋_GBK" w:cs="仿宋_GB2312"/>
          <w:color w:val="000000"/>
          <w:sz w:val="32"/>
          <w:szCs w:val="32"/>
        </w:rPr>
      </w:pPr>
      <w:r>
        <w:rPr>
          <w:rFonts w:hint="eastAsia" w:ascii="Times New Roman" w:hAnsi="Times New Roman" w:eastAsia="方正楷体_GBK" w:cs="方正楷体_GBK"/>
          <w:color w:val="000000"/>
          <w:sz w:val="32"/>
          <w:szCs w:val="32"/>
        </w:rPr>
        <w:t>（二）政府采购情况</w:t>
      </w:r>
      <w:r>
        <w:rPr>
          <w:rFonts w:hint="eastAsia" w:ascii="Times New Roman" w:hAnsi="Times New Roman" w:eastAsia="方正仿宋_GBK" w:cs="仿宋_GB2312"/>
          <w:color w:val="000000"/>
          <w:sz w:val="32"/>
          <w:szCs w:val="32"/>
        </w:rPr>
        <w:t>。本单位政府采购预算总额0万元：政府采购货物预算0万元、政府采购工程预算0万元、政府采购服务预算0万元；其中一般公共预算拨款政府采购0万元：政府采购货物预算0万元、政府采购工程预算0万元、政府采购服务预算0万元。</w:t>
      </w:r>
    </w:p>
    <w:p>
      <w:pPr>
        <w:ind w:firstLine="640" w:firstLineChars="200"/>
        <w:rPr>
          <w:rFonts w:hint="eastAsia" w:ascii="Times New Roman" w:hAnsi="Times New Roman" w:eastAsia="方正仿宋_GBK" w:cs="仿宋_GB2312"/>
          <w:color w:val="000000"/>
          <w:sz w:val="32"/>
          <w:szCs w:val="32"/>
        </w:rPr>
      </w:pPr>
      <w:r>
        <w:rPr>
          <w:rFonts w:hint="eastAsia" w:ascii="Times New Roman" w:hAnsi="Times New Roman" w:eastAsia="方正楷体_GBK" w:cs="方正楷体_GBK"/>
          <w:color w:val="000000"/>
          <w:sz w:val="32"/>
          <w:szCs w:val="32"/>
        </w:rPr>
        <w:t>（三）绩效目标设置情况</w:t>
      </w:r>
      <w:r>
        <w:rPr>
          <w:rFonts w:hint="eastAsia" w:ascii="Times New Roman" w:hAnsi="Times New Roman" w:eastAsia="方正仿宋_GBK" w:cs="仿宋_GB2312"/>
          <w:color w:val="000000"/>
          <w:sz w:val="32"/>
          <w:szCs w:val="32"/>
        </w:rPr>
        <w:t>。2024年项目支出均实行了绩效目标管理，涉及一般公共预算财政拨款0万元。</w:t>
      </w:r>
    </w:p>
    <w:p>
      <w:pPr>
        <w:ind w:firstLine="640" w:firstLineChars="200"/>
        <w:rPr>
          <w:rFonts w:hint="eastAsia" w:ascii="Times New Roman" w:hAnsi="Times New Roman" w:eastAsia="方正仿宋_GBK" w:cs="仿宋_GB2312"/>
          <w:color w:val="000000"/>
          <w:sz w:val="32"/>
          <w:szCs w:val="32"/>
        </w:rPr>
      </w:pPr>
      <w:r>
        <w:rPr>
          <w:rFonts w:hint="eastAsia" w:ascii="Times New Roman" w:hAnsi="Times New Roman" w:eastAsia="方正楷体_GBK" w:cs="方正楷体_GBK"/>
          <w:color w:val="000000"/>
          <w:sz w:val="32"/>
          <w:szCs w:val="32"/>
        </w:rPr>
        <w:t>（四）国有资产占有使用情况</w:t>
      </w:r>
      <w:r>
        <w:rPr>
          <w:rFonts w:hint="eastAsia" w:ascii="Times New Roman" w:hAnsi="Times New Roman" w:eastAsia="方正仿宋_GBK" w:cs="仿宋_GB2312"/>
          <w:color w:val="000000"/>
          <w:sz w:val="32"/>
          <w:szCs w:val="32"/>
        </w:rPr>
        <w:t>。截止2023年12月，本单位共有车辆0辆，其中一般公务用车 辆、执勤执法用车0辆。2024年一般公共预算安排购置车辆0辆，其中一般公务用车 辆、执勤执法用车0辆。</w:t>
      </w:r>
    </w:p>
    <w:p>
      <w:pPr>
        <w:spacing w:line="600" w:lineRule="exact"/>
        <w:ind w:firstLine="640" w:firstLineChars="200"/>
        <w:rPr>
          <w:rFonts w:hint="eastAsia" w:ascii="Times New Roman" w:hAnsi="Times New Roman" w:eastAsia="方正黑体_GBK" w:cs="仿宋_GB2312"/>
          <w:color w:val="000000"/>
          <w:sz w:val="32"/>
          <w:szCs w:val="32"/>
        </w:rPr>
      </w:pPr>
      <w:r>
        <w:rPr>
          <w:rFonts w:hint="eastAsia" w:ascii="Times New Roman" w:hAnsi="Times New Roman" w:eastAsia="方正黑体_GBK" w:cs="仿宋_GB2312"/>
          <w:color w:val="000000"/>
          <w:sz w:val="32"/>
          <w:szCs w:val="32"/>
        </w:rPr>
        <w:t>六</w:t>
      </w:r>
      <w:r>
        <w:rPr>
          <w:rFonts w:ascii="Times New Roman" w:hAnsi="Times New Roman" w:eastAsia="方正黑体_GBK" w:cs="仿宋_GB2312"/>
          <w:color w:val="000000"/>
          <w:sz w:val="32"/>
          <w:szCs w:val="32"/>
        </w:rPr>
        <w:t>、</w:t>
      </w:r>
      <w:r>
        <w:rPr>
          <w:rFonts w:hint="eastAsia" w:ascii="Times New Roman" w:hAnsi="Times New Roman" w:eastAsia="方正黑体_GBK" w:cs="仿宋_GB2312"/>
          <w:color w:val="000000"/>
          <w:sz w:val="32"/>
          <w:szCs w:val="32"/>
        </w:rPr>
        <w:t>专业性名词解释</w:t>
      </w:r>
    </w:p>
    <w:p>
      <w:pPr>
        <w:pStyle w:val="13"/>
        <w:tabs>
          <w:tab w:val="center" w:pos="4153"/>
          <w:tab w:val="left" w:pos="7275"/>
        </w:tabs>
        <w:spacing w:line="600" w:lineRule="exact"/>
        <w:ind w:firstLine="640"/>
        <w:jc w:val="left"/>
        <w:rPr>
          <w:rFonts w:hint="eastAsia" w:ascii="Times New Roman" w:hAnsi="Times New Roman" w:eastAsia="方正仿宋_GBK"/>
          <w:color w:val="000000"/>
          <w:sz w:val="32"/>
          <w:szCs w:val="32"/>
        </w:rPr>
      </w:pPr>
      <w:r>
        <w:rPr>
          <w:rFonts w:hint="eastAsia" w:ascii="Times New Roman" w:hAnsi="Times New Roman" w:eastAsia="方正楷体_GBK" w:cs="方正楷体_GBK"/>
          <w:color w:val="000000"/>
          <w:sz w:val="32"/>
          <w:szCs w:val="32"/>
        </w:rPr>
        <w:t>（一）财政拨款收入</w:t>
      </w:r>
      <w:r>
        <w:rPr>
          <w:rFonts w:hint="eastAsia" w:ascii="Times New Roman" w:hAnsi="Times New Roman" w:eastAsia="方正仿宋_GBK"/>
          <w:color w:val="000000"/>
          <w:sz w:val="32"/>
          <w:szCs w:val="32"/>
        </w:rPr>
        <w:t>：指本年度从本级财政部门取得的财政拨款，包括一般公共预算财政拨款和政府性基金预算财政拨款。</w:t>
      </w:r>
    </w:p>
    <w:p>
      <w:pPr>
        <w:pStyle w:val="13"/>
        <w:tabs>
          <w:tab w:val="center" w:pos="4153"/>
          <w:tab w:val="left" w:pos="7275"/>
        </w:tabs>
        <w:spacing w:line="600" w:lineRule="exact"/>
        <w:ind w:firstLine="640"/>
        <w:jc w:val="left"/>
        <w:rPr>
          <w:rFonts w:hint="eastAsia" w:ascii="Times New Roman" w:hAnsi="Times New Roman" w:eastAsia="方正仿宋_GBK"/>
          <w:color w:val="000000"/>
          <w:sz w:val="32"/>
          <w:szCs w:val="32"/>
        </w:rPr>
      </w:pPr>
      <w:r>
        <w:rPr>
          <w:rFonts w:hint="eastAsia" w:ascii="Times New Roman" w:hAnsi="Times New Roman" w:eastAsia="方正楷体_GBK" w:cs="方正楷体_GBK"/>
          <w:color w:val="000000"/>
          <w:sz w:val="32"/>
          <w:szCs w:val="32"/>
        </w:rPr>
        <w:t>（二）其他收入</w:t>
      </w:r>
      <w:r>
        <w:rPr>
          <w:rFonts w:hint="eastAsia" w:ascii="Times New Roman" w:hAnsi="Times New Roman" w:eastAsia="方正仿宋_GBK"/>
          <w:color w:val="000000"/>
          <w:sz w:val="32"/>
          <w:szCs w:val="32"/>
        </w:rPr>
        <w:t>：指单位取得的除“财政拨款收入”、“事业收入”、“经营收入”等以外的收入。</w:t>
      </w:r>
    </w:p>
    <w:p>
      <w:pPr>
        <w:pStyle w:val="13"/>
        <w:tabs>
          <w:tab w:val="center" w:pos="4153"/>
          <w:tab w:val="left" w:pos="7275"/>
        </w:tabs>
        <w:spacing w:line="600" w:lineRule="exact"/>
        <w:ind w:firstLine="640"/>
        <w:jc w:val="left"/>
        <w:rPr>
          <w:rFonts w:hint="eastAsia" w:ascii="Times New Roman" w:hAnsi="Times New Roman" w:eastAsia="方正仿宋_GBK"/>
          <w:color w:val="000000"/>
          <w:sz w:val="32"/>
          <w:szCs w:val="32"/>
        </w:rPr>
      </w:pPr>
      <w:r>
        <w:rPr>
          <w:rFonts w:hint="eastAsia" w:ascii="Times New Roman" w:hAnsi="Times New Roman" w:eastAsia="方正楷体_GBK" w:cs="方正楷体_GBK"/>
          <w:color w:val="000000"/>
          <w:sz w:val="32"/>
          <w:szCs w:val="32"/>
        </w:rPr>
        <w:t>（三）基本支出</w:t>
      </w:r>
      <w:r>
        <w:rPr>
          <w:rFonts w:hint="eastAsia" w:ascii="Times New Roman" w:hAnsi="Times New Roman" w:eastAsia="方正仿宋_GBK"/>
          <w:color w:val="000000"/>
          <w:sz w:val="32"/>
          <w:szCs w:val="32"/>
        </w:rPr>
        <w:t>：指为保障机构正常运转、完成日常工作任务而发生的人员经费和公用经费。</w:t>
      </w:r>
    </w:p>
    <w:p>
      <w:pPr>
        <w:pStyle w:val="13"/>
        <w:tabs>
          <w:tab w:val="center" w:pos="4153"/>
          <w:tab w:val="left" w:pos="7275"/>
        </w:tabs>
        <w:spacing w:line="600" w:lineRule="exact"/>
        <w:ind w:firstLine="640"/>
        <w:jc w:val="left"/>
        <w:rPr>
          <w:rFonts w:hint="eastAsia" w:ascii="Times New Roman" w:hAnsi="Times New Roman" w:eastAsia="方正仿宋_GBK"/>
          <w:color w:val="000000"/>
          <w:sz w:val="32"/>
          <w:szCs w:val="32"/>
        </w:rPr>
      </w:pPr>
      <w:r>
        <w:rPr>
          <w:rFonts w:hint="eastAsia" w:ascii="Times New Roman" w:hAnsi="Times New Roman" w:eastAsia="方正楷体_GBK" w:cs="方正楷体_GBK"/>
          <w:color w:val="000000"/>
          <w:sz w:val="32"/>
          <w:szCs w:val="32"/>
        </w:rPr>
        <w:t>（四）项目支出</w:t>
      </w:r>
      <w:r>
        <w:rPr>
          <w:rFonts w:hint="eastAsia" w:ascii="Times New Roman" w:hAnsi="Times New Roman" w:eastAsia="方正仿宋_GBK"/>
          <w:color w:val="000000"/>
          <w:sz w:val="32"/>
          <w:szCs w:val="32"/>
        </w:rPr>
        <w:t>：指在基本支出之外为完成特定行政任务和事业发展目标所发生的支出。</w:t>
      </w:r>
    </w:p>
    <w:p>
      <w:pPr>
        <w:ind w:firstLine="640" w:firstLineChars="200"/>
        <w:rPr>
          <w:rFonts w:hint="eastAsia" w:ascii="Times New Roman" w:hAnsi="Times New Roman" w:eastAsia="方正仿宋_GBK" w:cs="仿宋_GB2312"/>
          <w:color w:val="000000"/>
          <w:sz w:val="32"/>
          <w:szCs w:val="32"/>
        </w:rPr>
      </w:pPr>
      <w:r>
        <w:rPr>
          <w:rFonts w:hint="eastAsia" w:ascii="Times New Roman" w:hAnsi="Times New Roman" w:eastAsia="方正楷体_GBK" w:cs="方正楷体_GBK"/>
          <w:color w:val="000000"/>
          <w:sz w:val="32"/>
          <w:szCs w:val="32"/>
        </w:rPr>
        <w:t>（五）“三公”经费</w:t>
      </w:r>
      <w:r>
        <w:rPr>
          <w:rFonts w:hint="eastAsia" w:ascii="Times New Roman" w:hAnsi="Times New Roman" w:eastAsia="方正仿宋_GBK"/>
          <w:color w:val="000000"/>
          <w:sz w:val="32"/>
          <w:szCs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0" w:firstLineChars="200"/>
        <w:jc w:val="both"/>
        <w:rPr>
          <w:rFonts w:ascii="Times New Roman" w:hAnsi="Times New Roman" w:eastAsia="方正仿宋_GBK"/>
          <w:color w:val="000000"/>
          <w:sz w:val="32"/>
          <w:szCs w:val="32"/>
          <w:highlight w:val="yellow"/>
        </w:rPr>
      </w:pPr>
      <w:r>
        <w:rPr>
          <w:rFonts w:hint="eastAsia" w:ascii="Times New Roman" w:hAnsi="Times New Roman" w:eastAsia="方正仿宋_GBK"/>
          <w:color w:val="000000"/>
          <w:sz w:val="32"/>
          <w:szCs w:val="32"/>
        </w:rPr>
        <w:t>单位</w:t>
      </w:r>
      <w:r>
        <w:rPr>
          <w:rFonts w:ascii="Times New Roman" w:hAnsi="Times New Roman" w:eastAsia="方正仿宋_GBK"/>
          <w:color w:val="000000"/>
          <w:sz w:val="32"/>
          <w:szCs w:val="32"/>
        </w:rPr>
        <w:t xml:space="preserve">预算公开联系人：游银燕 </w:t>
      </w:r>
      <w:r>
        <w:rPr>
          <w:rFonts w:hint="eastAsia" w:ascii="Times New Roman" w:hAnsi="Times New Roman" w:eastAsia="方正仿宋_GBK"/>
          <w:color w:val="000000"/>
          <w:sz w:val="32"/>
          <w:szCs w:val="32"/>
        </w:rPr>
        <w:t xml:space="preserve">   </w:t>
      </w:r>
      <w:r>
        <w:rPr>
          <w:rFonts w:ascii="Times New Roman" w:hAnsi="Times New Roman" w:eastAsia="方正仿宋_GBK"/>
          <w:color w:val="000000"/>
          <w:sz w:val="32"/>
          <w:szCs w:val="32"/>
        </w:rPr>
        <w:t xml:space="preserve"> 联系方式：023-</w:t>
      </w:r>
      <w:r>
        <w:rPr>
          <w:rFonts w:hint="eastAsia" w:ascii="Times New Roman" w:hAnsi="Times New Roman" w:eastAsia="方正仿宋_GBK"/>
          <w:color w:val="000000"/>
          <w:sz w:val="32"/>
          <w:szCs w:val="32"/>
        </w:rPr>
        <w:t>73332145</w:t>
      </w:r>
    </w:p>
    <w:sectPr>
      <w:footerReference r:id="rId3" w:type="default"/>
      <w:footerReference r:id="rId4" w:type="even"/>
      <w:pgSz w:w="11906" w:h="16838"/>
      <w:pgMar w:top="2098" w:right="1531" w:bottom="1985" w:left="153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imes New Roman" w:hAnsi="Times New Roman" w:eastAsia="方正楷体_GBK"/>
        <w:sz w:val="28"/>
      </w:rPr>
    </w:pPr>
    <w:r>
      <w:rPr>
        <w:rStyle w:val="8"/>
        <w:rFonts w:ascii="Times New Roman" w:hAnsi="Times New Roman" w:eastAsia="方正楷体_GBK"/>
        <w:sz w:val="28"/>
      </w:rPr>
      <w:t>―</w:t>
    </w:r>
    <w:r>
      <w:rPr>
        <w:rFonts w:ascii="Times New Roman" w:hAnsi="Times New Roman" w:eastAsia="方正楷体_GBK"/>
        <w:kern w:val="0"/>
        <w:sz w:val="28"/>
      </w:rPr>
      <w:t xml:space="preserve"> </w:t>
    </w:r>
    <w:r>
      <w:rPr>
        <w:rFonts w:ascii="Times New Roman" w:hAnsi="Times New Roman" w:eastAsia="方正楷体_GBK"/>
        <w:kern w:val="0"/>
        <w:sz w:val="28"/>
      </w:rPr>
      <w:fldChar w:fldCharType="begin"/>
    </w:r>
    <w:r>
      <w:rPr>
        <w:rFonts w:ascii="Times New Roman" w:hAnsi="Times New Roman" w:eastAsia="方正楷体_GBK"/>
        <w:kern w:val="0"/>
        <w:sz w:val="28"/>
      </w:rPr>
      <w:instrText xml:space="preserve"> PAGE </w:instrText>
    </w:r>
    <w:r>
      <w:rPr>
        <w:rFonts w:ascii="Times New Roman" w:hAnsi="Times New Roman" w:eastAsia="方正楷体_GBK"/>
        <w:kern w:val="0"/>
        <w:sz w:val="28"/>
      </w:rPr>
      <w:fldChar w:fldCharType="separate"/>
    </w:r>
    <w:r>
      <w:rPr>
        <w:rFonts w:ascii="Times New Roman" w:hAnsi="Times New Roman" w:eastAsia="方正楷体_GBK"/>
        <w:kern w:val="0"/>
        <w:sz w:val="28"/>
        <w:lang/>
      </w:rPr>
      <w:t>5</w:t>
    </w:r>
    <w:r>
      <w:rPr>
        <w:rFonts w:ascii="Times New Roman" w:hAnsi="Times New Roman" w:eastAsia="方正楷体_GBK"/>
        <w:kern w:val="0"/>
        <w:sz w:val="28"/>
      </w:rPr>
      <w:fldChar w:fldCharType="end"/>
    </w:r>
    <w:r>
      <w:rPr>
        <w:rFonts w:ascii="Times New Roman" w:hAnsi="Times New Roman" w:eastAsia="方正楷体_GBK"/>
        <w:kern w:val="0"/>
        <w:sz w:val="28"/>
      </w:rPr>
      <w:t xml:space="preserve"> </w:t>
    </w:r>
    <w:r>
      <w:rPr>
        <w:rStyle w:val="8"/>
        <w:rFonts w:ascii="Times New Roman" w:hAnsi="Times New Roman" w:eastAsia="方正楷体_GBK"/>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Fonts w:ascii="Times New Roman" w:hAnsi="Times New Roman" w:eastAsia="方正楷体_GBK"/>
        <w:sz w:val="28"/>
      </w:rPr>
    </w:pPr>
    <w:r>
      <w:rPr>
        <w:rStyle w:val="8"/>
        <w:rFonts w:ascii="Times New Roman" w:hAnsi="Times New Roman" w:eastAsia="方正楷体_GBK"/>
        <w:sz w:val="28"/>
      </w:rPr>
      <w:t>―</w:t>
    </w:r>
    <w:r>
      <w:rPr>
        <w:rFonts w:ascii="Times New Roman" w:hAnsi="Times New Roman" w:eastAsia="方正楷体_GBK"/>
        <w:kern w:val="0"/>
        <w:sz w:val="28"/>
      </w:rPr>
      <w:t xml:space="preserve"> </w:t>
    </w:r>
    <w:r>
      <w:rPr>
        <w:rFonts w:ascii="Times New Roman" w:hAnsi="Times New Roman" w:eastAsia="方正楷体_GBK"/>
        <w:kern w:val="0"/>
        <w:sz w:val="28"/>
      </w:rPr>
      <w:fldChar w:fldCharType="begin"/>
    </w:r>
    <w:r>
      <w:rPr>
        <w:rFonts w:ascii="Times New Roman" w:hAnsi="Times New Roman" w:eastAsia="方正楷体_GBK"/>
        <w:kern w:val="0"/>
        <w:sz w:val="28"/>
      </w:rPr>
      <w:instrText xml:space="preserve"> PAGE </w:instrText>
    </w:r>
    <w:r>
      <w:rPr>
        <w:rFonts w:ascii="Times New Roman" w:hAnsi="Times New Roman" w:eastAsia="方正楷体_GBK"/>
        <w:kern w:val="0"/>
        <w:sz w:val="28"/>
      </w:rPr>
      <w:fldChar w:fldCharType="separate"/>
    </w:r>
    <w:r>
      <w:rPr>
        <w:rFonts w:ascii="Times New Roman" w:hAnsi="Times New Roman" w:eastAsia="方正楷体_GBK"/>
        <w:kern w:val="0"/>
        <w:sz w:val="28"/>
        <w:lang/>
      </w:rPr>
      <w:t>4</w:t>
    </w:r>
    <w:r>
      <w:rPr>
        <w:rFonts w:ascii="Times New Roman" w:hAnsi="Times New Roman" w:eastAsia="方正楷体_GBK"/>
        <w:kern w:val="0"/>
        <w:sz w:val="28"/>
      </w:rPr>
      <w:fldChar w:fldCharType="end"/>
    </w:r>
    <w:r>
      <w:rPr>
        <w:rFonts w:ascii="Times New Roman" w:hAnsi="Times New Roman" w:eastAsia="方正楷体_GBK"/>
        <w:kern w:val="0"/>
        <w:sz w:val="28"/>
      </w:rPr>
      <w:t xml:space="preserve"> </w:t>
    </w:r>
    <w:r>
      <w:rPr>
        <w:rStyle w:val="8"/>
        <w:rFonts w:ascii="Times New Roman" w:hAnsi="Times New Roman" w:eastAsia="方正楷体_GBK"/>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jQ2NzEwNzA3YWYxOTczNWFkZWEwN2Q5NjliOTZiODQifQ=="/>
  </w:docVars>
  <w:rsids>
    <w:rsidRoot w:val="004F7D1D"/>
    <w:rsid w:val="00006FB1"/>
    <w:rsid w:val="0001271B"/>
    <w:rsid w:val="00023A4C"/>
    <w:rsid w:val="00042219"/>
    <w:rsid w:val="00047C7A"/>
    <w:rsid w:val="00053834"/>
    <w:rsid w:val="000551A4"/>
    <w:rsid w:val="000624D8"/>
    <w:rsid w:val="0007330D"/>
    <w:rsid w:val="00075914"/>
    <w:rsid w:val="0008570C"/>
    <w:rsid w:val="00091B93"/>
    <w:rsid w:val="00093301"/>
    <w:rsid w:val="00096685"/>
    <w:rsid w:val="000A60FC"/>
    <w:rsid w:val="000C3BC5"/>
    <w:rsid w:val="000C594E"/>
    <w:rsid w:val="000D2E8F"/>
    <w:rsid w:val="000D6437"/>
    <w:rsid w:val="000F1499"/>
    <w:rsid w:val="000F5707"/>
    <w:rsid w:val="0010264D"/>
    <w:rsid w:val="00106A76"/>
    <w:rsid w:val="00125C07"/>
    <w:rsid w:val="0014404E"/>
    <w:rsid w:val="001525DD"/>
    <w:rsid w:val="00161474"/>
    <w:rsid w:val="00165A74"/>
    <w:rsid w:val="00191ADC"/>
    <w:rsid w:val="001957F9"/>
    <w:rsid w:val="001C0A7C"/>
    <w:rsid w:val="001D0CAA"/>
    <w:rsid w:val="001D4937"/>
    <w:rsid w:val="001E1AED"/>
    <w:rsid w:val="001E31D9"/>
    <w:rsid w:val="00202E0A"/>
    <w:rsid w:val="002132E9"/>
    <w:rsid w:val="00213635"/>
    <w:rsid w:val="00226F1D"/>
    <w:rsid w:val="00242727"/>
    <w:rsid w:val="00246006"/>
    <w:rsid w:val="00246AA4"/>
    <w:rsid w:val="00252849"/>
    <w:rsid w:val="002605A5"/>
    <w:rsid w:val="0026529F"/>
    <w:rsid w:val="0027005A"/>
    <w:rsid w:val="002773F0"/>
    <w:rsid w:val="00280A93"/>
    <w:rsid w:val="00286440"/>
    <w:rsid w:val="002959B6"/>
    <w:rsid w:val="002B41F1"/>
    <w:rsid w:val="002C4122"/>
    <w:rsid w:val="002D2A88"/>
    <w:rsid w:val="002E46A9"/>
    <w:rsid w:val="0030024E"/>
    <w:rsid w:val="003019D9"/>
    <w:rsid w:val="00341606"/>
    <w:rsid w:val="00346387"/>
    <w:rsid w:val="0034700C"/>
    <w:rsid w:val="00357A28"/>
    <w:rsid w:val="00367516"/>
    <w:rsid w:val="00375FC9"/>
    <w:rsid w:val="00383298"/>
    <w:rsid w:val="003872D5"/>
    <w:rsid w:val="0039559F"/>
    <w:rsid w:val="003B11A5"/>
    <w:rsid w:val="003B33C4"/>
    <w:rsid w:val="003B36C2"/>
    <w:rsid w:val="003D14F0"/>
    <w:rsid w:val="003D7234"/>
    <w:rsid w:val="003D7504"/>
    <w:rsid w:val="003E4EB6"/>
    <w:rsid w:val="003F6450"/>
    <w:rsid w:val="00430B72"/>
    <w:rsid w:val="00437D88"/>
    <w:rsid w:val="004417DC"/>
    <w:rsid w:val="00445520"/>
    <w:rsid w:val="00462595"/>
    <w:rsid w:val="004756B4"/>
    <w:rsid w:val="00481BAA"/>
    <w:rsid w:val="0049017F"/>
    <w:rsid w:val="00492FB3"/>
    <w:rsid w:val="00496C6A"/>
    <w:rsid w:val="004B1650"/>
    <w:rsid w:val="004C42ED"/>
    <w:rsid w:val="004C60BD"/>
    <w:rsid w:val="004D1E02"/>
    <w:rsid w:val="004E592A"/>
    <w:rsid w:val="004E6E1A"/>
    <w:rsid w:val="004F1853"/>
    <w:rsid w:val="004F7D1D"/>
    <w:rsid w:val="00500B1D"/>
    <w:rsid w:val="00506DF4"/>
    <w:rsid w:val="00507823"/>
    <w:rsid w:val="005174B9"/>
    <w:rsid w:val="00536713"/>
    <w:rsid w:val="00543257"/>
    <w:rsid w:val="00572736"/>
    <w:rsid w:val="00580DDD"/>
    <w:rsid w:val="0058350C"/>
    <w:rsid w:val="00595C24"/>
    <w:rsid w:val="005A1227"/>
    <w:rsid w:val="005A4606"/>
    <w:rsid w:val="005A4AD7"/>
    <w:rsid w:val="005B0F11"/>
    <w:rsid w:val="005C3DD7"/>
    <w:rsid w:val="005E18A6"/>
    <w:rsid w:val="005F1960"/>
    <w:rsid w:val="006115F1"/>
    <w:rsid w:val="00620BCE"/>
    <w:rsid w:val="0066585E"/>
    <w:rsid w:val="006809FA"/>
    <w:rsid w:val="006C01C3"/>
    <w:rsid w:val="006D0C33"/>
    <w:rsid w:val="006D1609"/>
    <w:rsid w:val="006E0BEC"/>
    <w:rsid w:val="006E455F"/>
    <w:rsid w:val="006F7539"/>
    <w:rsid w:val="00714828"/>
    <w:rsid w:val="007158F8"/>
    <w:rsid w:val="0071734A"/>
    <w:rsid w:val="007252E3"/>
    <w:rsid w:val="00742C4D"/>
    <w:rsid w:val="007620B8"/>
    <w:rsid w:val="00762CF8"/>
    <w:rsid w:val="00765DF5"/>
    <w:rsid w:val="007713EB"/>
    <w:rsid w:val="00791CE4"/>
    <w:rsid w:val="007B10D4"/>
    <w:rsid w:val="007B22D6"/>
    <w:rsid w:val="007B5ACF"/>
    <w:rsid w:val="007B6182"/>
    <w:rsid w:val="007C4C9B"/>
    <w:rsid w:val="007D2AEA"/>
    <w:rsid w:val="007E0B4D"/>
    <w:rsid w:val="007E6A39"/>
    <w:rsid w:val="007F68E5"/>
    <w:rsid w:val="008019DF"/>
    <w:rsid w:val="00801BFF"/>
    <w:rsid w:val="00803270"/>
    <w:rsid w:val="00805D05"/>
    <w:rsid w:val="00813B4F"/>
    <w:rsid w:val="00830BF3"/>
    <w:rsid w:val="00833B65"/>
    <w:rsid w:val="008560C6"/>
    <w:rsid w:val="00876439"/>
    <w:rsid w:val="00880920"/>
    <w:rsid w:val="00893BF5"/>
    <w:rsid w:val="008A13B7"/>
    <w:rsid w:val="008A622D"/>
    <w:rsid w:val="008D2570"/>
    <w:rsid w:val="008E3C27"/>
    <w:rsid w:val="008E5A19"/>
    <w:rsid w:val="008E7590"/>
    <w:rsid w:val="008F1CA6"/>
    <w:rsid w:val="008F731A"/>
    <w:rsid w:val="00905727"/>
    <w:rsid w:val="00914195"/>
    <w:rsid w:val="00926FE2"/>
    <w:rsid w:val="00933A24"/>
    <w:rsid w:val="00936EDC"/>
    <w:rsid w:val="00940465"/>
    <w:rsid w:val="00942ED0"/>
    <w:rsid w:val="0094655E"/>
    <w:rsid w:val="00946D33"/>
    <w:rsid w:val="009561D9"/>
    <w:rsid w:val="009653AE"/>
    <w:rsid w:val="00972AB0"/>
    <w:rsid w:val="00983001"/>
    <w:rsid w:val="0098712E"/>
    <w:rsid w:val="009B157E"/>
    <w:rsid w:val="009B77D4"/>
    <w:rsid w:val="009E6734"/>
    <w:rsid w:val="009F01A9"/>
    <w:rsid w:val="00A05F72"/>
    <w:rsid w:val="00A07288"/>
    <w:rsid w:val="00A174AB"/>
    <w:rsid w:val="00A21DCD"/>
    <w:rsid w:val="00A33F5E"/>
    <w:rsid w:val="00A35F07"/>
    <w:rsid w:val="00A3721F"/>
    <w:rsid w:val="00A45A23"/>
    <w:rsid w:val="00A52D34"/>
    <w:rsid w:val="00A712EA"/>
    <w:rsid w:val="00A8020D"/>
    <w:rsid w:val="00A802E9"/>
    <w:rsid w:val="00A80B6C"/>
    <w:rsid w:val="00AA324B"/>
    <w:rsid w:val="00AB25DF"/>
    <w:rsid w:val="00AC6F85"/>
    <w:rsid w:val="00AE0A20"/>
    <w:rsid w:val="00AE4156"/>
    <w:rsid w:val="00AE631F"/>
    <w:rsid w:val="00B1352B"/>
    <w:rsid w:val="00B24FA7"/>
    <w:rsid w:val="00B257E3"/>
    <w:rsid w:val="00B54CE7"/>
    <w:rsid w:val="00B558CC"/>
    <w:rsid w:val="00B56688"/>
    <w:rsid w:val="00B65450"/>
    <w:rsid w:val="00B72347"/>
    <w:rsid w:val="00B86388"/>
    <w:rsid w:val="00BB3B39"/>
    <w:rsid w:val="00BC2C3D"/>
    <w:rsid w:val="00BD0BB9"/>
    <w:rsid w:val="00BD5FA5"/>
    <w:rsid w:val="00BE573E"/>
    <w:rsid w:val="00BF67E7"/>
    <w:rsid w:val="00C2696C"/>
    <w:rsid w:val="00C4041C"/>
    <w:rsid w:val="00C427D3"/>
    <w:rsid w:val="00C47446"/>
    <w:rsid w:val="00C5758E"/>
    <w:rsid w:val="00C601F9"/>
    <w:rsid w:val="00C7602D"/>
    <w:rsid w:val="00C827DC"/>
    <w:rsid w:val="00C95346"/>
    <w:rsid w:val="00CA4340"/>
    <w:rsid w:val="00CB0296"/>
    <w:rsid w:val="00CC4A96"/>
    <w:rsid w:val="00CD1C4A"/>
    <w:rsid w:val="00CE1014"/>
    <w:rsid w:val="00CF42ED"/>
    <w:rsid w:val="00D0143D"/>
    <w:rsid w:val="00D10AB7"/>
    <w:rsid w:val="00D160DD"/>
    <w:rsid w:val="00D21CDE"/>
    <w:rsid w:val="00D40879"/>
    <w:rsid w:val="00D40ADE"/>
    <w:rsid w:val="00D411DD"/>
    <w:rsid w:val="00D46486"/>
    <w:rsid w:val="00D64C2C"/>
    <w:rsid w:val="00D66063"/>
    <w:rsid w:val="00D77D37"/>
    <w:rsid w:val="00D80BC2"/>
    <w:rsid w:val="00D8620E"/>
    <w:rsid w:val="00DA7788"/>
    <w:rsid w:val="00DA7FE6"/>
    <w:rsid w:val="00DB0812"/>
    <w:rsid w:val="00DB0EC5"/>
    <w:rsid w:val="00DB4539"/>
    <w:rsid w:val="00DE3685"/>
    <w:rsid w:val="00DE5805"/>
    <w:rsid w:val="00E00D68"/>
    <w:rsid w:val="00E01CEB"/>
    <w:rsid w:val="00E11FB2"/>
    <w:rsid w:val="00E275D0"/>
    <w:rsid w:val="00E40ED1"/>
    <w:rsid w:val="00E4747D"/>
    <w:rsid w:val="00E712B9"/>
    <w:rsid w:val="00E96899"/>
    <w:rsid w:val="00EC09E7"/>
    <w:rsid w:val="00EE21B6"/>
    <w:rsid w:val="00EF1B14"/>
    <w:rsid w:val="00EF782E"/>
    <w:rsid w:val="00EF7D6B"/>
    <w:rsid w:val="00F11A07"/>
    <w:rsid w:val="00F22254"/>
    <w:rsid w:val="00F258CE"/>
    <w:rsid w:val="00F3674A"/>
    <w:rsid w:val="00F46DD2"/>
    <w:rsid w:val="00F605C0"/>
    <w:rsid w:val="00F649FE"/>
    <w:rsid w:val="00F66710"/>
    <w:rsid w:val="00F84112"/>
    <w:rsid w:val="00F84AC6"/>
    <w:rsid w:val="00F86A3C"/>
    <w:rsid w:val="00F90464"/>
    <w:rsid w:val="00F9492F"/>
    <w:rsid w:val="00FC2169"/>
    <w:rsid w:val="00FC2267"/>
    <w:rsid w:val="00FE12C3"/>
    <w:rsid w:val="00FE28C5"/>
    <w:rsid w:val="00FF0B1F"/>
    <w:rsid w:val="00FF197F"/>
    <w:rsid w:val="035315F9"/>
    <w:rsid w:val="126E2AD7"/>
    <w:rsid w:val="18CC21E2"/>
    <w:rsid w:val="19D75DEA"/>
    <w:rsid w:val="24703EB8"/>
    <w:rsid w:val="24C37CD9"/>
    <w:rsid w:val="27DC33A5"/>
    <w:rsid w:val="3BC5739B"/>
    <w:rsid w:val="42543C1B"/>
    <w:rsid w:val="42E415AF"/>
    <w:rsid w:val="48310C7F"/>
    <w:rsid w:val="49B825C8"/>
    <w:rsid w:val="7D3E2845"/>
    <w:rsid w:val="7DC477B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8">
    <w:name w:val="page number"/>
    <w:unhideWhenUsed/>
    <w:uiPriority w:val="0"/>
  </w:style>
  <w:style w:type="character" w:customStyle="1" w:styleId="9">
    <w:name w:val="批注框文本 Char"/>
    <w:link w:val="2"/>
    <w:uiPriority w:val="0"/>
    <w:rPr>
      <w:kern w:val="2"/>
      <w:sz w:val="18"/>
      <w:szCs w:val="18"/>
    </w:rPr>
  </w:style>
  <w:style w:type="character" w:customStyle="1" w:styleId="10">
    <w:name w:val="页脚 Char"/>
    <w:link w:val="3"/>
    <w:uiPriority w:val="0"/>
    <w:rPr>
      <w:kern w:val="2"/>
      <w:sz w:val="18"/>
      <w:szCs w:val="18"/>
    </w:rPr>
  </w:style>
  <w:style w:type="character" w:customStyle="1" w:styleId="11">
    <w:name w:val="页眉 Char"/>
    <w:link w:val="4"/>
    <w:uiPriority w:val="0"/>
    <w:rPr>
      <w:kern w:val="2"/>
      <w:sz w:val="18"/>
      <w:szCs w:val="18"/>
    </w:rPr>
  </w:style>
  <w:style w:type="character" w:customStyle="1" w:styleId="12">
    <w:name w:val="页脚 字符1"/>
    <w:semiHidden/>
    <w:locked/>
    <w:uiPriority w:val="0"/>
    <w:rPr>
      <w:kern w:val="2"/>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wdzx97.dot</Template>
  <Pages>5</Pages>
  <Words>289</Words>
  <Characters>1652</Characters>
  <Lines>13</Lines>
  <Paragraphs>3</Paragraphs>
  <TotalTime>7</TotalTime>
  <ScaleCrop>false</ScaleCrop>
  <LinksUpToDate>false</LinksUpToDate>
  <CharactersWithSpaces>1938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2022-02-09T11:19:00Z</dcterms:created>
  <dc:creator>Administrator</dc:creator>
  <cp:lastModifiedBy>落薰</cp:lastModifiedBy>
  <cp:lastPrinted>2018-01-02T08:11:00Z</cp:lastPrinted>
  <dcterms:modified xsi:type="dcterms:W3CDTF">2024-02-26T08:25:07Z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F9D1EA1E42B545F1801CA3F153D532D4_13</vt:lpwstr>
  </property>
</Properties>
</file>