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重庆市石柱土家族自治县林业行政执法支队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widowControl/>
        <w:suppressLineNumbers w:val="0"/>
        <w:autoSpaceDE w:val="0"/>
        <w:autoSpaceDN/>
        <w:spacing w:line="600" w:lineRule="atLeas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承担破坏森林和野生动植物资源等涉林行政案件的调查、处理具体工作；承担买卖或伪造涉林证件等违法行为的查处具体工作；负责林木采伐、林地征占用、林木种子种苗、草种、森林植物检疫、湿地资源保护、各类自然保护地资源保护、林区违规用火等行政执法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suppressLineNumbers w:val="0"/>
        <w:autoSpaceDE w:val="0"/>
        <w:autoSpaceDN/>
        <w:spacing w:line="600" w:lineRule="atLeas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本单位内设行政执法支队1个机构处室。</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2023年度收入总计426.19万元，支出总计</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万元。收支较上年决算数增加55.94万元，增长15.11%，主要原因是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2023年度收入合计426.19万元，较上年决算数增加55.94万元，增长15.11%，主要原因是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万元，较上年决算数增加55.94万元，增长15.11%，主要原因是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2023年度财政拨款收、支总计426.19万元。与2022年相比，财政拨款收、支总计各增加55.94万元，增长15.11%。主要原因是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万元，较上年决算数增加55.94万元，增长15.11%。主要原因是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较年初预算数增加27.38万元，增长6.87%。主要原因是</w:t>
      </w:r>
      <w:r>
        <w:rPr>
          <w:rFonts w:hint="eastAsia" w:ascii="方正仿宋_GBK" w:hAnsi="方正仿宋_GBK" w:eastAsia="方正仿宋_GBK" w:cs="方正仿宋_GBK"/>
          <w:color w:val="auto"/>
          <w:sz w:val="32"/>
          <w:szCs w:val="32"/>
          <w:shd w:val="clear" w:color="auto" w:fill="FFFFFF"/>
          <w:lang w:eastAsia="zh-CN"/>
        </w:rPr>
        <w:t>年中追加预算了社保的不足部分。</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万元，较上年决算数增加55.94万元，增长15.11%。主要原因是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较年初预算数增加27.38万元，增长6.87%。主要原因是</w:t>
      </w:r>
      <w:r>
        <w:rPr>
          <w:rFonts w:hint="eastAsia" w:ascii="方正仿宋_GBK" w:hAnsi="方正仿宋_GBK" w:eastAsia="方正仿宋_GBK" w:cs="方正仿宋_GBK"/>
          <w:color w:val="auto"/>
          <w:sz w:val="32"/>
          <w:szCs w:val="32"/>
          <w:shd w:val="clear" w:color="auto" w:fill="FFFFFF"/>
          <w:lang w:eastAsia="zh-CN"/>
        </w:rPr>
        <w:t>年中追加预算了社保的不足部分。</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14.61</w:t>
      </w:r>
      <w:r>
        <w:rPr>
          <w:rFonts w:ascii="方正仿宋_GBK" w:hAnsi="方正仿宋_GBK" w:eastAsia="方正仿宋_GBK" w:cs="方正仿宋_GBK"/>
          <w:sz w:val="32"/>
          <w:szCs w:val="32"/>
          <w:shd w:val="clear" w:color="auto" w:fill="FFFFFF"/>
        </w:rPr>
        <w:t>%，较年初预算数增加7.35万元，增长13.39%，主要原因是</w:t>
      </w:r>
      <w:r>
        <w:rPr>
          <w:rFonts w:hint="eastAsia" w:ascii="方正仿宋_GBK" w:hAnsi="方正仿宋_GBK" w:eastAsia="方正仿宋_GBK" w:cs="方正仿宋_GBK"/>
          <w:color w:val="auto"/>
          <w:sz w:val="32"/>
          <w:szCs w:val="32"/>
          <w:shd w:val="clear" w:color="auto" w:fill="FFFFFF"/>
          <w:lang w:eastAsia="zh-CN"/>
        </w:rPr>
        <w:t>年中追加预算养老保险和职业年金的不足部分。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4.40</w:t>
      </w:r>
      <w:r>
        <w:rPr>
          <w:rFonts w:ascii="方正仿宋_GBK" w:hAnsi="方正仿宋_GBK" w:eastAsia="方正仿宋_GBK" w:cs="方正仿宋_GBK"/>
          <w:sz w:val="32"/>
          <w:szCs w:val="32"/>
          <w:shd w:val="clear" w:color="auto" w:fill="FFFFFF"/>
        </w:rPr>
        <w:t>%，较年初预算数增加1.57万元，增</w:t>
      </w:r>
      <w:r>
        <w:rPr>
          <w:rFonts w:ascii="方正仿宋_GBK" w:hAnsi="方正仿宋_GBK" w:eastAsia="方正仿宋_GBK" w:cs="方正仿宋_GBK"/>
          <w:color w:val="auto"/>
          <w:sz w:val="32"/>
          <w:szCs w:val="32"/>
          <w:shd w:val="clear" w:color="auto" w:fill="FFFFFF"/>
        </w:rPr>
        <w:t>长9.13%，主要原因是</w:t>
      </w:r>
      <w:r>
        <w:rPr>
          <w:rFonts w:hint="eastAsia" w:ascii="方正仿宋_GBK" w:hAnsi="方正仿宋_GBK" w:eastAsia="方正仿宋_GBK" w:cs="方正仿宋_GBK"/>
          <w:color w:val="auto"/>
          <w:sz w:val="32"/>
          <w:szCs w:val="32"/>
          <w:shd w:val="clear" w:color="auto" w:fill="FFFFFF"/>
          <w:lang w:eastAsia="zh-CN"/>
        </w:rPr>
        <w:t>年中预算追加了医疗保险的不足部分。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315.71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74.08</w:t>
      </w:r>
      <w:r>
        <w:rPr>
          <w:rFonts w:ascii="方正仿宋_GBK" w:hAnsi="方正仿宋_GBK" w:eastAsia="方正仿宋_GBK" w:cs="方正仿宋_GBK"/>
          <w:sz w:val="32"/>
          <w:szCs w:val="32"/>
          <w:shd w:val="clear" w:color="auto" w:fill="FFFFFF"/>
        </w:rPr>
        <w:t>%，较年初预算数增加15.67万元，增长5.22%，主要原因是</w:t>
      </w:r>
      <w:r>
        <w:rPr>
          <w:rFonts w:hint="eastAsia" w:ascii="方正仿宋_GBK" w:hAnsi="方正仿宋_GBK" w:eastAsia="方正仿宋_GBK" w:cs="方正仿宋_GBK"/>
          <w:color w:val="auto"/>
          <w:sz w:val="32"/>
          <w:szCs w:val="32"/>
          <w:shd w:val="clear" w:color="auto" w:fill="FFFFFF"/>
          <w:lang w:eastAsia="zh-CN"/>
        </w:rPr>
        <w:t>年中预算追加了基本工资等的不足部分。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6.91</w:t>
      </w:r>
      <w:r>
        <w:rPr>
          <w:rFonts w:ascii="方正仿宋_GBK" w:hAnsi="方正仿宋_GBK" w:eastAsia="方正仿宋_GBK" w:cs="方正仿宋_GBK"/>
          <w:sz w:val="32"/>
          <w:szCs w:val="32"/>
          <w:shd w:val="clear" w:color="auto" w:fill="FFFFFF"/>
        </w:rPr>
        <w:t>%，较年初预算数增加2.79万元，增长10.47%，主要原因是</w:t>
      </w:r>
      <w:r>
        <w:rPr>
          <w:rFonts w:hint="eastAsia" w:ascii="方正仿宋_GBK" w:hAnsi="方正仿宋_GBK" w:eastAsia="方正仿宋_GBK" w:cs="方正仿宋_GBK"/>
          <w:color w:val="auto"/>
          <w:sz w:val="32"/>
          <w:szCs w:val="32"/>
          <w:shd w:val="clear" w:color="auto" w:fill="FFFFFF"/>
          <w:lang w:eastAsia="zh-CN"/>
        </w:rPr>
        <w:t>年中预算追加了住房公积金的不足部分。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426.19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347.67</w:t>
      </w:r>
      <w:r>
        <w:rPr>
          <w:rFonts w:ascii="方正仿宋_GBK" w:hAnsi="方正仿宋_GBK" w:eastAsia="方正仿宋_GBK" w:cs="方正仿宋_GBK"/>
          <w:sz w:val="32"/>
          <w:szCs w:val="32"/>
          <w:shd w:val="clear" w:color="auto" w:fill="FFFFFF"/>
        </w:rPr>
        <w:t>万元，较上年决算数增加50.74万元，增长17.09%，主要原因是</w:t>
      </w:r>
      <w:r>
        <w:rPr>
          <w:rFonts w:hint="eastAsia" w:ascii="方正仿宋_GBK" w:hAnsi="方正仿宋_GBK" w:eastAsia="方正仿宋_GBK" w:cs="方正仿宋_GBK"/>
          <w:color w:val="auto"/>
          <w:sz w:val="32"/>
          <w:szCs w:val="32"/>
          <w:shd w:val="clear" w:color="auto" w:fill="FFFFFF"/>
        </w:rPr>
        <w:t>1.人员增加导致工资等人员经费增加；2.五险一金基数提高以及养老和职业年金补缴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2"/>
          <w:sz w:val="32"/>
          <w:szCs w:val="32"/>
        </w:rPr>
        <w:t>基本工资、津贴补贴、奖金、绩效工资、社会保障缴费、其他工资福利支出、抚恤金、生活补助、医疗费、住房公积金、退休人员生活补贴和健康休养费、遗属生活补贴等</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78.52</w:t>
      </w:r>
      <w:r>
        <w:rPr>
          <w:rFonts w:ascii="方正仿宋_GBK" w:hAnsi="方正仿宋_GBK" w:eastAsia="方正仿宋_GBK" w:cs="方正仿宋_GBK"/>
          <w:sz w:val="32"/>
          <w:szCs w:val="32"/>
          <w:shd w:val="clear" w:color="auto" w:fill="FFFFFF"/>
        </w:rPr>
        <w:t>万元，较上年决算数增加5.19万元，增长7.08%，主要原因是</w:t>
      </w:r>
      <w:r>
        <w:rPr>
          <w:rFonts w:hint="eastAsia" w:ascii="方正仿宋_GBK" w:hAnsi="方正仿宋_GBK" w:eastAsia="方正仿宋_GBK" w:cs="方正仿宋_GBK"/>
          <w:color w:val="auto"/>
          <w:sz w:val="32"/>
          <w:szCs w:val="32"/>
          <w:shd w:val="clear" w:color="auto" w:fill="FFFFFF"/>
        </w:rPr>
        <w:t>人员增加2名，导致公用交通补贴增加增加。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2"/>
          <w:sz w:val="32"/>
          <w:szCs w:val="32"/>
        </w:rPr>
        <w:t>办公费、印刷费、咨询费、差旅费、公务接待费、其他交通费用、工会经费</w:t>
      </w:r>
      <w:r>
        <w:rPr>
          <w:rFonts w:hint="eastAsia" w:ascii="方正仿宋_GBK" w:hAnsi="方正仿宋_GBK" w:eastAsia="方正仿宋_GBK" w:cs="方正仿宋_GBK"/>
          <w:kern w:val="2"/>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auto"/>
          <w:sz w:val="32"/>
          <w:szCs w:val="32"/>
          <w:shd w:val="clear" w:color="auto" w:fill="auto"/>
        </w:rPr>
      </w:pPr>
      <w:r>
        <w:rPr>
          <w:rStyle w:val="10"/>
          <w:rFonts w:ascii="方正仿宋_GBK" w:hAnsi="方正仿宋_GBK" w:eastAsia="方正仿宋_GBK" w:cs="方正仿宋_GBK"/>
          <w:b w:val="0"/>
          <w:bCs/>
          <w:color w:val="auto"/>
          <w:sz w:val="32"/>
          <w:szCs w:val="32"/>
          <w:shd w:val="clear" w:color="auto" w:fill="auto"/>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auto"/>
        </w:rPr>
        <w:t>本单位2023年度无国有资本经营预算财政拨款支出。</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“三公”经费情况说明</w:t>
      </w:r>
    </w:p>
    <w:p>
      <w:pPr>
        <w:ind w:firstLine="643" w:firstLineChars="200"/>
        <w:rPr>
          <w:rFonts w:hint="eastAsia"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lang w:val="en-US" w:eastAsia="zh-CN"/>
        </w:rPr>
        <w:t xml:space="preserve">  </w:t>
      </w:r>
      <w:r>
        <w:rPr>
          <w:rFonts w:hint="eastAsia" w:ascii="方正仿宋_GBK" w:hAnsi="方正仿宋_GBK" w:eastAsia="方正仿宋_GBK" w:cs="方正仿宋_GBK"/>
          <w:sz w:val="32"/>
          <w:szCs w:val="32"/>
        </w:rPr>
        <w:t>本单位2023年度无</w:t>
      </w:r>
      <w:r>
        <w:rPr>
          <w:rStyle w:val="10"/>
          <w:rFonts w:hint="eastAsia" w:ascii="方正仿宋_GBK" w:hAnsi="方正仿宋_GBK" w:eastAsia="方正仿宋_GBK" w:cs="方正仿宋_GBK"/>
          <w:b w:val="0"/>
          <w:bCs/>
          <w:sz w:val="32"/>
          <w:szCs w:val="32"/>
          <w:shd w:val="clear" w:color="auto" w:fill="FFFFFF"/>
        </w:rPr>
        <w:t>“三公”经费</w:t>
      </w:r>
      <w:r>
        <w:rPr>
          <w:rFonts w:hint="eastAsia" w:ascii="方正仿宋_GBK" w:hAnsi="方正仿宋_GBK" w:eastAsia="方正仿宋_GBK" w:cs="方正仿宋_GBK"/>
          <w:b w:val="0"/>
          <w:bCs/>
          <w:sz w:val="32"/>
          <w:szCs w:val="32"/>
        </w:rPr>
        <w:t>支</w:t>
      </w:r>
      <w:r>
        <w:rPr>
          <w:rFonts w:hint="eastAsia" w:ascii="方正仿宋_GBK" w:hAnsi="方正仿宋_GBK" w:eastAsia="方正仿宋_GBK" w:cs="方正仿宋_GBK"/>
          <w:sz w:val="32"/>
          <w:szCs w:val="32"/>
        </w:rPr>
        <w:t>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3" w:firstLineChars="200"/>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（一）财政拨款会议费和培训费情况说明</w:t>
      </w:r>
    </w:p>
    <w:p>
      <w:pPr>
        <w:pStyle w:val="11"/>
        <w:autoSpaceDE w:val="0"/>
        <w:ind w:firstLine="643"/>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rPr>
        <w:t>本单位2023年度无</w:t>
      </w:r>
      <w:r>
        <w:rPr>
          <w:rFonts w:hint="eastAsia" w:ascii="方正仿宋_GBK" w:hAnsi="方正仿宋_GBK" w:eastAsia="方正仿宋_GBK" w:cs="方正仿宋_GBK"/>
          <w:b w:val="0"/>
          <w:bCs w:val="0"/>
          <w:sz w:val="32"/>
          <w:szCs w:val="32"/>
          <w:shd w:val="clear" w:color="auto" w:fill="FFFFFF"/>
        </w:rPr>
        <w:t>会议费和培训费</w:t>
      </w:r>
      <w:r>
        <w:rPr>
          <w:rStyle w:val="10"/>
          <w:rFonts w:hint="eastAsia" w:ascii="方正仿宋_GBK" w:hAnsi="方正仿宋_GBK" w:eastAsia="方正仿宋_GBK" w:cs="方正仿宋_GBK"/>
          <w:b w:val="0"/>
          <w:bCs/>
          <w:sz w:val="32"/>
          <w:szCs w:val="32"/>
          <w:shd w:val="clear" w:color="auto" w:fill="FFFFFF"/>
        </w:rPr>
        <w:t>经费</w:t>
      </w:r>
      <w:r>
        <w:rPr>
          <w:rFonts w:hint="eastAsia" w:ascii="方正仿宋_GBK" w:hAnsi="方正仿宋_GBK" w:eastAsia="方正仿宋_GBK" w:cs="方正仿宋_GBK"/>
          <w:b w:val="0"/>
          <w:bCs/>
          <w:sz w:val="32"/>
          <w:szCs w:val="32"/>
        </w:rPr>
        <w:t>支</w:t>
      </w:r>
      <w:r>
        <w:rPr>
          <w:rFonts w:hint="eastAsia" w:ascii="方正仿宋_GBK" w:hAnsi="方正仿宋_GBK" w:eastAsia="方正仿宋_GBK" w:cs="方正仿宋_GBK"/>
          <w:sz w:val="32"/>
          <w:szCs w:val="32"/>
        </w:rPr>
        <w:t>出。</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78.52</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2"/>
          <w:sz w:val="32"/>
          <w:szCs w:val="32"/>
        </w:rPr>
        <w:t>办公费、公务车运行维护费、公务接待费、劳务费、工会经费、其他交通费</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机关运行经费较上年支出数增加5.19万元，增长7.08%，主要原因是</w:t>
      </w:r>
      <w:r>
        <w:rPr>
          <w:rFonts w:hint="eastAsia" w:ascii="方正仿宋_GBK" w:hAnsi="方正仿宋_GBK" w:eastAsia="方正仿宋_GBK" w:cs="方正仿宋_GBK"/>
          <w:color w:val="auto"/>
          <w:sz w:val="32"/>
          <w:szCs w:val="32"/>
          <w:shd w:val="clear" w:color="auto" w:fill="FFFFFF"/>
        </w:rPr>
        <w:t>人员增加2名，导致公用交通补贴增加增加。</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rPr>
        <w:t>本单位2023年度无</w:t>
      </w:r>
      <w:r>
        <w:rPr>
          <w:rFonts w:hint="eastAsia" w:ascii="楷体" w:hAnsi="楷体" w:eastAsia="楷体" w:cs="楷体"/>
          <w:b w:val="0"/>
          <w:bCs w:val="0"/>
          <w:sz w:val="32"/>
          <w:szCs w:val="32"/>
          <w:shd w:val="clear" w:color="auto" w:fill="FFFFFF"/>
        </w:rPr>
        <w:t>国有资产占用</w:t>
      </w:r>
      <w:r>
        <w:rPr>
          <w:rFonts w:hint="eastAsia" w:ascii="方正仿宋_GBK" w:hAnsi="方正仿宋_GBK" w:eastAsia="方正仿宋_GBK" w:cs="方正仿宋_GBK"/>
          <w:sz w:val="32"/>
          <w:szCs w:val="32"/>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w:t>
      </w:r>
      <w:r>
        <w:rPr>
          <w:rFonts w:hint="eastAsia" w:ascii="方正仿宋_GBK" w:hAnsi="方正仿宋_GBK" w:eastAsia="方正仿宋_GBK" w:cs="方正仿宋_GBK"/>
          <w:color w:val="auto"/>
          <w:sz w:val="32"/>
          <w:szCs w:val="32"/>
          <w:shd w:val="clear" w:color="auto" w:fill="FFFFFF"/>
          <w:lang w:eastAsia="zh-CN"/>
        </w:rPr>
        <w:t>绩效自评</w:t>
      </w:r>
      <w:r>
        <w:rPr>
          <w:rFonts w:ascii="方正仿宋_GBK" w:hAnsi="方正仿宋_GBK" w:eastAsia="方正仿宋_GBK" w:cs="方正仿宋_GBK"/>
          <w:color w:val="auto"/>
          <w:sz w:val="32"/>
          <w:szCs w:val="32"/>
          <w:shd w:val="clear" w:color="auto" w:fill="FFFFFF"/>
        </w:rPr>
        <w:t>事项，无相关经费支出。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w:t>
      </w:r>
      <w:r>
        <w:rPr>
          <w:rFonts w:hint="eastAsia" w:ascii="方正仿宋_GBK" w:hAnsi="方正仿宋_GBK" w:eastAsia="方正仿宋_GBK" w:cs="方正仿宋_GBK"/>
          <w:color w:val="auto"/>
          <w:sz w:val="32"/>
          <w:szCs w:val="32"/>
          <w:shd w:val="clear" w:color="auto" w:fill="FFFFFF"/>
          <w:lang w:eastAsia="zh-CN"/>
        </w:rPr>
        <w:t>绩效评价</w:t>
      </w:r>
      <w:r>
        <w:rPr>
          <w:rFonts w:ascii="方正仿宋_GBK" w:hAnsi="方正仿宋_GBK" w:eastAsia="方正仿宋_GBK" w:cs="方正仿宋_GBK"/>
          <w:color w:val="auto"/>
          <w:sz w:val="32"/>
          <w:szCs w:val="32"/>
          <w:shd w:val="clear" w:color="auto" w:fill="FFFFFF"/>
        </w:rPr>
        <w:t>事项，无相关经费支出。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w:t>
      </w:r>
      <w:r>
        <w:rPr>
          <w:rFonts w:hint="eastAsia" w:ascii="方正仿宋_GBK" w:hAnsi="方正仿宋_GBK" w:eastAsia="方正仿宋_GBK" w:cs="方正仿宋_GBK"/>
          <w:color w:val="auto"/>
          <w:sz w:val="32"/>
          <w:szCs w:val="32"/>
          <w:shd w:val="clear" w:color="auto" w:fill="FFFFFF"/>
          <w:lang w:val="en-US" w:eastAsia="zh-CN"/>
        </w:rPr>
        <w:t>-73328606</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重庆市石柱土家族自治县林业行政执法支队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426.19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426.19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重庆市石柱土家族自治县林业行政执法支队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重庆市石柱土家族自治县林业行政执法支队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347.67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78.52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重庆市石柱土家族自治县林业行政执法支队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78.52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78.52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78985A8"/>
    <w:multiLevelType w:val="singleLevel"/>
    <w:tmpl w:val="178985A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2B5AD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石柱土家族自治县林业局</cp:lastModifiedBy>
  <dcterms:modified xsi:type="dcterms:W3CDTF">2024-10-09T09:03:32Z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