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footer1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word/footer6.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Override PartName="/word/footer9.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7.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02"/>
        <w:pageBreakBefore w:val="false"/>
        <w:kinsoku/>
        <w:wordWrap/>
        <w:overflowPunct/>
        <w:topLinePunct w:val="false"/>
        <w:bidi w:val="false"/>
        <w:spacing w:line="423" w:lineRule="auto"/>
        <w:ind/>
        <w:rPr>
          <w:rFonts w:ascii="Times New Roman" w:hAnsi="Times New Roman" w:cs="Times New Roman"/>
          <w:color w:val="000000"/>
        </w:rPr>
      </w:pPr>
    </w:p>
    <w:p>
      <w:pPr>
        <w:pStyle w:val="000001"/>
        <w:pageBreakBefore w:val="false"/>
        <w:kinsoku/>
        <w:wordWrap/>
        <w:overflowPunct/>
        <w:topLinePunct w:val="false"/>
        <w:bidi w:val="false"/>
        <w:spacing w:before="104" w:line="424" w:lineRule="exact"/>
        <w:ind w:left="47"/>
        <w:rPr>
          <w:rFonts w:ascii="Times New Roman" w:hAnsi="Times New Roman" w:eastAsia="黑体" w:cs="Times New Roman"/>
          <w:color w:val="000000"/>
          <w:sz w:val="28"/>
          <w:szCs w:val="28"/>
        </w:rPr>
      </w:pPr>
    </w:p>
    <w:p>
      <w:pPr>
        <w:pStyle w:val="000002"/>
        <w:pageBreakBefore w:val="false"/>
        <w:kinsoku/>
        <w:wordWrap/>
        <w:overflowPunct/>
        <w:topLinePunct w:val="false"/>
        <w:bidi w:val="false"/>
        <w:spacing w:line="258" w:lineRule="auto"/>
        <w:ind/>
        <w:rPr>
          <w:rFonts w:ascii="Times New Roman" w:hAnsi="Times New Roman" w:cs="Times New Roman"/>
          <w:color w:val="000000"/>
        </w:rPr>
      </w:pPr>
    </w:p>
    <w:p>
      <w:pPr>
        <w:pStyle w:val="000002"/>
        <w:pageBreakBefore w:val="false"/>
        <w:kinsoku/>
        <w:wordWrap/>
        <w:overflowPunct/>
        <w:topLinePunct w:val="false"/>
        <w:bidi w:val="false"/>
        <w:spacing w:line="258" w:lineRule="auto"/>
        <w:ind/>
        <w:rPr>
          <w:rFonts w:ascii="Times New Roman" w:hAnsi="Times New Roman" w:cs="Times New Roman"/>
          <w:color w:val="000000"/>
        </w:rPr>
      </w:pPr>
    </w:p>
    <w:p>
      <w:pPr>
        <w:pStyle w:val="000002"/>
        <w:pageBreakBefore w:val="false"/>
        <w:kinsoku/>
        <w:wordWrap/>
        <w:overflowPunct/>
        <w:topLinePunct w:val="false"/>
        <w:bidi w:val="false"/>
        <w:spacing w:line="258" w:lineRule="auto"/>
        <w:ind/>
        <w:rPr>
          <w:rFonts w:ascii="Times New Roman" w:hAnsi="Times New Roman" w:cs="Times New Roman"/>
          <w:color w:val="000000"/>
        </w:rPr>
      </w:pPr>
    </w:p>
    <w:p>
      <w:pPr>
        <w:pStyle w:val="000002"/>
        <w:pageBreakBefore w:val="false"/>
        <w:kinsoku/>
        <w:wordWrap/>
        <w:overflowPunct/>
        <w:topLinePunct w:val="false"/>
        <w:bidi w:val="false"/>
        <w:spacing w:line="259" w:lineRule="auto"/>
        <w:ind/>
        <w:rPr>
          <w:rFonts w:ascii="Times New Roman" w:hAnsi="Times New Roman" w:cs="Times New Roman"/>
          <w:color w:val="000000"/>
        </w:rPr>
      </w:pPr>
    </w:p>
    <w:p>
      <w:pPr>
        <w:pStyle w:val="000002"/>
        <w:pageBreakBefore w:val="false"/>
        <w:kinsoku/>
        <w:wordWrap/>
        <w:overflowPunct/>
        <w:topLinePunct w:val="false"/>
        <w:bidi w:val="false"/>
        <w:spacing w:line="259" w:lineRule="auto"/>
        <w:ind/>
        <w:rPr>
          <w:rFonts w:ascii="Times New Roman" w:hAnsi="Times New Roman" w:cs="Times New Roman"/>
          <w:color w:val="000000"/>
        </w:rPr>
      </w:pPr>
    </w:p>
    <w:p>
      <w:pPr>
        <w:pStyle w:val="000002"/>
        <w:pageBreakBefore w:val="false"/>
        <w:kinsoku/>
        <w:wordWrap/>
        <w:overflowPunct/>
        <w:topLinePunct w:val="false"/>
        <w:bidi w:val="false"/>
        <w:spacing w:line="259" w:lineRule="auto"/>
        <w:ind/>
        <w:rPr>
          <w:rFonts w:ascii="Times New Roman" w:hAnsi="Times New Roman" w:cs="Times New Roman"/>
          <w:color w:val="000000"/>
        </w:rPr>
      </w:pPr>
    </w:p>
    <w:p>
      <w:pPr>
        <w:pStyle w:val="000002"/>
        <w:pageBreakBefore w:val="false"/>
        <w:kinsoku/>
        <w:wordWrap/>
        <w:overflowPunct/>
        <w:topLinePunct w:val="false"/>
        <w:bidi w:val="false"/>
        <w:spacing w:line="259" w:lineRule="auto"/>
        <w:ind/>
        <w:rPr>
          <w:rFonts w:ascii="Times New Roman" w:hAnsi="Times New Roman" w:cs="Times New Roman"/>
          <w:color w:val="000000"/>
        </w:rPr>
      </w:pPr>
    </w:p>
    <w:p>
      <w:pPr>
        <w:pStyle w:val="000001"/>
        <w:pageBreakBefore w:val="false"/>
        <w:kinsoku/>
        <w:wordWrap/>
        <w:overflowPunct/>
        <w:topLinePunct w:val="false"/>
        <w:bidi w:val="false"/>
        <w:spacing w:before="159" w:line="207" w:lineRule="auto"/>
        <w:ind/>
        <w:jc w:val="center"/>
        <w:rPr>
          <w:rFonts w:ascii="Times New Roman" w:hAnsi="Times New Roman" w:eastAsia="微软雅黑" w:cs="Times New Roman"/>
          <w:color w:val="000000"/>
          <w:spacing w:val="9"/>
          <w:sz w:val="44"/>
          <w:szCs w:val="44"/>
        </w:rPr>
      </w:pPr>
      <w:r>
        <w:rPr>
          <w:rFonts w:ascii="Times New Roman" w:hAnsi="Times New Roman" w:eastAsia="微软雅黑" w:cs="Times New Roman"/>
          <w:color w:val="000000"/>
          <w:spacing w:val="9"/>
          <w:sz w:val="44"/>
          <w:szCs w:val="44"/>
        </w:rPr>
        <w:t>石柱土家族自治县林</w:t>
      </w:r>
      <w:r>
        <w:rPr>
          <w:rFonts w:ascii="Times New Roman" w:hAnsi="Times New Roman" w:eastAsia="微软雅黑" w:cs="Times New Roman"/>
          <w:color w:val="000000"/>
          <w:spacing w:val="9"/>
          <w:sz w:val="44"/>
          <w:szCs w:val="44"/>
          <w:lang w:val="en-US" w:eastAsia="zh-CN"/>
        </w:rPr>
        <w:t>草</w:t>
      </w:r>
      <w:r>
        <w:rPr>
          <w:rFonts w:ascii="Times New Roman" w:hAnsi="Times New Roman" w:eastAsia="微软雅黑" w:cs="Times New Roman"/>
          <w:color w:val="000000"/>
          <w:spacing w:val="9"/>
          <w:sz w:val="44"/>
          <w:szCs w:val="44"/>
        </w:rPr>
        <w:t>产业发展规划</w:t>
      </w:r>
    </w:p>
    <w:p>
      <w:pPr>
        <w:pStyle w:val="000001"/>
        <w:pageBreakBefore w:val="false"/>
        <w:kinsoku/>
        <w:wordWrap/>
        <w:overflowPunct/>
        <w:topLinePunct w:val="false"/>
        <w:bidi w:val="false"/>
        <w:spacing w:before="159" w:line="207" w:lineRule="auto"/>
        <w:ind/>
        <w:jc w:val="center"/>
        <w:rPr>
          <w:rFonts w:ascii="Times New Roman" w:hAnsi="Times New Roman" w:eastAsia="微软雅黑" w:cs="Times New Roman"/>
          <w:color w:val="000000"/>
          <w:spacing w:val="-6"/>
          <w:sz w:val="32"/>
          <w:szCs w:val="32"/>
        </w:rPr>
      </w:pPr>
      <w:r>
        <w:rPr>
          <w:rFonts w:ascii="Times New Roman" w:hAnsi="Times New Roman" w:eastAsia="微软雅黑" w:cs="Times New Roman"/>
          <w:color w:val="000000"/>
          <w:spacing w:val="-6"/>
          <w:sz w:val="32"/>
          <w:szCs w:val="32"/>
        </w:rPr>
        <w:t>（</w:t>
      </w:r>
      <w:r>
        <w:rPr>
          <w:rFonts w:ascii="Times New Roman" w:hAnsi="Times New Roman" w:eastAsia="Times New Roman" w:cs="Times New Roman"/>
          <w:color w:val="000000"/>
          <w:spacing w:val="-6"/>
          <w:sz w:val="32"/>
          <w:szCs w:val="32"/>
        </w:rPr>
        <w:t>202</w:t>
      </w:r>
      <w:r>
        <w:rPr>
          <w:rFonts w:ascii="Times New Roman" w:hAnsi="Times New Roman" w:eastAsia="宋体" w:cs="Times New Roman"/>
          <w:color w:val="000000"/>
          <w:spacing w:val="-6"/>
          <w:sz w:val="32"/>
          <w:szCs w:val="32"/>
          <w:lang w:val="en-US" w:eastAsia="zh-CN"/>
        </w:rPr>
        <w:t>6</w:t>
      </w:r>
      <w:r>
        <w:rPr>
          <w:rFonts w:ascii="Times New Roman" w:hAnsi="Times New Roman" w:eastAsia="微软雅黑" w:cs="Times New Roman"/>
          <w:color w:val="000000"/>
          <w:spacing w:val="-6"/>
          <w:sz w:val="32"/>
          <w:szCs w:val="32"/>
        </w:rPr>
        <w:t>—</w:t>
      </w:r>
      <w:r>
        <w:rPr>
          <w:rFonts w:ascii="Times New Roman" w:hAnsi="Times New Roman" w:eastAsia="Times New Roman" w:cs="Times New Roman"/>
          <w:color w:val="000000"/>
          <w:spacing w:val="-6"/>
          <w:sz w:val="32"/>
          <w:szCs w:val="32"/>
        </w:rPr>
        <w:t>203</w:t>
      </w:r>
      <w:r>
        <w:rPr>
          <w:rFonts w:ascii="Times New Roman" w:hAnsi="Times New Roman" w:eastAsia="宋体" w:cs="Times New Roman"/>
          <w:color w:val="000000"/>
          <w:spacing w:val="-6"/>
          <w:sz w:val="32"/>
          <w:szCs w:val="32"/>
          <w:lang w:val="en-US" w:eastAsia="zh-CN"/>
        </w:rPr>
        <w:t>5</w:t>
      </w:r>
      <w:r>
        <w:rPr>
          <w:rFonts w:ascii="Times New Roman" w:hAnsi="Times New Roman" w:eastAsia="微软雅黑" w:cs="Times New Roman"/>
          <w:color w:val="000000"/>
          <w:spacing w:val="-6"/>
          <w:sz w:val="32"/>
          <w:szCs w:val="32"/>
        </w:rPr>
        <w:t>年）</w:t>
      </w:r>
    </w:p>
    <w:p>
      <w:pPr>
        <w:pStyle w:val="000001"/>
        <w:pageBreakBefore w:val="false"/>
        <w:kinsoku/>
        <w:wordWrap/>
        <w:overflowPunct/>
        <w:topLinePunct w:val="false"/>
        <w:bidi w:val="false"/>
        <w:spacing w:before="159" w:line="207" w:lineRule="auto"/>
        <w:ind/>
        <w:jc w:val="center"/>
        <w:rPr>
          <w:rFonts w:hint="eastAsia" w:ascii="Times New Roman" w:hAnsi="Times New Roman" w:eastAsia="微软雅黑" w:cs="Times New Roman"/>
          <w:color w:val="000000"/>
          <w:sz w:val="32"/>
          <w:szCs w:val="32"/>
          <w:lang w:eastAsia="zh-CN"/>
        </w:rPr>
      </w:pPr>
      <w:r>
        <w:rPr>
          <w:rFonts w:hint="eastAsia" w:ascii="Times New Roman" w:hAnsi="Times New Roman" w:eastAsia="微软雅黑" w:cs="Times New Roman"/>
          <w:color w:val="000000"/>
          <w:spacing w:val="-6"/>
          <w:sz w:val="32"/>
          <w:szCs w:val="32"/>
          <w:lang w:eastAsia="zh-CN"/>
        </w:rPr>
        <w:t>（</w:t>
      </w:r>
      <w:r>
        <w:rPr>
          <w:rFonts w:hint="eastAsia" w:ascii="Times New Roman" w:hAnsi="Times New Roman" w:eastAsia="微软雅黑" w:cs="Times New Roman"/>
          <w:color w:val="000000"/>
          <w:spacing w:val="-6"/>
          <w:sz w:val="32"/>
          <w:szCs w:val="32"/>
          <w:lang w:val="en-US" w:eastAsia="zh-CN"/>
        </w:rPr>
        <w:t>征求意见稿</w:t>
      </w:r>
      <w:r>
        <w:rPr>
          <w:rFonts w:hint="eastAsia" w:ascii="Times New Roman" w:hAnsi="Times New Roman" w:eastAsia="微软雅黑" w:cs="Times New Roman"/>
          <w:color w:val="000000"/>
          <w:spacing w:val="-6"/>
          <w:sz w:val="32"/>
          <w:szCs w:val="32"/>
          <w:lang w:eastAsia="zh-CN"/>
        </w:rPr>
        <w:t>）</w:t>
      </w: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2"/>
        <w:pageBreakBefore w:val="false"/>
        <w:kinsoku/>
        <w:wordWrap/>
        <w:overflowPunct/>
        <w:topLinePunct w:val="false"/>
        <w:bidi w:val="false"/>
        <w:spacing w:line="241" w:lineRule="auto"/>
        <w:ind/>
        <w:rPr>
          <w:rFonts w:ascii="Times New Roman" w:hAnsi="Times New Roman" w:cs="Times New Roman"/>
          <w:color w:val="000000"/>
        </w:rPr>
      </w:pPr>
    </w:p>
    <w:p>
      <w:pPr>
        <w:pStyle w:val="000001"/>
        <w:pageBreakBefore w:val="false"/>
        <w:kinsoku/>
        <w:wordWrap/>
        <w:overflowPunct/>
        <w:topLinePunct w:val="false"/>
        <w:bidi w:val="false"/>
        <w:spacing w:before="115" w:line="197" w:lineRule="auto"/>
        <w:ind/>
        <w:jc w:val="center"/>
        <w:rPr>
          <w:rFonts w:hint="eastAsia" w:ascii="微软雅黑" w:hAnsi="微软雅黑" w:eastAsia="微软雅黑" w:cs="微软雅黑"/>
          <w:color w:val="000000"/>
          <w:spacing w:val="-6"/>
          <w:sz w:val="28"/>
          <w:szCs w:val="28"/>
          <w:lang w:eastAsia="zh-CN"/>
        </w:rPr>
      </w:pPr>
      <w:r>
        <w:rPr>
          <w:rFonts w:hint="eastAsia" w:ascii="微软雅黑" w:hAnsi="微软雅黑" w:eastAsia="微软雅黑" w:cs="微软雅黑"/>
          <w:color w:val="000000"/>
          <w:spacing w:val="-6"/>
          <w:sz w:val="28"/>
          <w:szCs w:val="28"/>
          <w:lang w:eastAsia="zh-CN"/>
        </w:rPr>
        <w:t>石柱土家族自治县</w:t>
      </w:r>
      <w:r>
        <w:rPr>
          <w:rFonts w:hint="eastAsia" w:ascii="微软雅黑" w:hAnsi="微软雅黑" w:eastAsia="微软雅黑" w:cs="微软雅黑"/>
          <w:color w:val="000000"/>
          <w:spacing w:val="-6"/>
          <w:sz w:val="28"/>
          <w:szCs w:val="28"/>
          <w:lang w:val="en-US" w:eastAsia="zh-CN"/>
        </w:rPr>
        <w:t>林业局</w:t>
      </w:r>
    </w:p>
    <w:p>
      <w:pPr>
        <w:pStyle w:val="000001"/>
        <w:pageBreakBefore w:val="false"/>
        <w:kinsoku/>
        <w:wordWrap/>
        <w:overflowPunct/>
        <w:topLinePunct w:val="false"/>
        <w:bidi w:val="false"/>
        <w:spacing w:before="115" w:line="197" w:lineRule="auto"/>
        <w:ind w:left="3146"/>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pacing w:val="-7"/>
          <w:sz w:val="28"/>
          <w:szCs w:val="28"/>
        </w:rPr>
        <w:t>202</w:t>
      </w:r>
      <w:r>
        <w:rPr>
          <w:rFonts w:hint="eastAsia" w:ascii="微软雅黑" w:hAnsi="微软雅黑" w:eastAsia="微软雅黑" w:cs="微软雅黑"/>
          <w:color w:val="000000"/>
          <w:spacing w:val="-7"/>
          <w:sz w:val="28"/>
          <w:szCs w:val="28"/>
          <w:lang w:val="en-US" w:eastAsia="zh-CN"/>
        </w:rPr>
        <w:t>6</w:t>
      </w:r>
      <w:r>
        <w:rPr>
          <w:rFonts w:hint="eastAsia" w:ascii="微软雅黑" w:hAnsi="微软雅黑" w:eastAsia="微软雅黑" w:cs="微软雅黑"/>
          <w:color w:val="000000"/>
          <w:spacing w:val="-7"/>
          <w:sz w:val="28"/>
          <w:szCs w:val="28"/>
        </w:rPr>
        <w:t xml:space="preserve"> 年</w:t>
      </w:r>
      <w:r>
        <w:rPr>
          <w:rFonts w:hint="eastAsia" w:ascii="微软雅黑" w:hAnsi="微软雅黑" w:eastAsia="微软雅黑" w:cs="微软雅黑"/>
          <w:color w:val="000000"/>
          <w:spacing w:val="25"/>
          <w:sz w:val="28"/>
          <w:szCs w:val="28"/>
        </w:rPr>
        <w:t xml:space="preserve"> </w:t>
      </w:r>
      <w:r>
        <w:rPr>
          <w:rFonts w:hint="eastAsia" w:ascii="微软雅黑" w:hAnsi="微软雅黑" w:eastAsia="微软雅黑" w:cs="微软雅黑"/>
          <w:color w:val="000000"/>
          <w:spacing w:val="25"/>
          <w:sz w:val="28"/>
          <w:szCs w:val="28"/>
          <w:lang w:val="en-US" w:eastAsia="zh-CN"/>
        </w:rPr>
        <w:t>5</w:t>
      </w:r>
      <w:r>
        <w:rPr>
          <w:rFonts w:hint="eastAsia" w:ascii="微软雅黑" w:hAnsi="微软雅黑" w:eastAsia="微软雅黑" w:cs="微软雅黑"/>
          <w:color w:val="000000"/>
          <w:spacing w:val="-7"/>
          <w:sz w:val="28"/>
          <w:szCs w:val="28"/>
        </w:rPr>
        <w:t>月</w:t>
      </w:r>
    </w:p>
    <w:p>
      <w:pPr>
        <w:sectPr>
          <w:headerReference r:id="rId5" w:type="even"/>
          <w:footerReference r:id="rId7" w:type="default"/>
          <w:footerReference r:id="rId6" w:type="even"/>
          <w:type w:val="nextPage"/>
          <w:pgSz w:w="11905" w:h="16840"/>
          <w:pgMar w:top="1440" w:right="1797" w:bottom="1440" w:left="1797" w:header="0" w:footer="0" w:gutter="0"/>
          <w:pgNumType/>
          <w:cols/>
          <w:titlePg/>
          <w:docGrid/>
        </w:sectPr>
      </w:pPr>
    </w:p>
    <w:bookmarkStart w:id="1" w:name="_Toc11108"/>
    <w:bookmarkStart w:id="2" w:name="_Toc28071"/>
    <w:bookmarkStart w:id="3" w:name="_Toc28527"/>
    <w:p>
      <w:pPr>
        <w:pStyle w:val="000004"/>
        <w:keepNext/>
        <w:keepLines/>
        <w:pageBreakBefore w:val="false"/>
        <w:widowControl w:val="false"/>
        <w:numPr>
          <w:ilvl w:val="0"/>
          <w:numId w:val="0"/>
        </w:numPr>
        <w:shd w:val="clear" w:color="auto" w:fill="auto"/>
        <w:tabs>
          <w:tab w:val="clear" w:pos="0"/>
        </w:tabs>
        <w:kinsoku/>
        <w:wordWrap/>
        <w:overflowPunct/>
        <w:topLinePunct w:val="false"/>
        <w:autoSpaceDE/>
        <w:autoSpaceDN/>
        <w:bidi w:val="false"/>
        <w:spacing w:before="0" w:after="0" w:line="240" w:lineRule="auto"/>
        <w:ind w:leftChars="0"/>
        <w:jc w:val="center"/>
        <w:rPr>
          <w:rFonts w:ascii="Times New Roman" w:hAnsi="Times New Roman" w:eastAsia="方正小标宋_GBK" w:cs="Times New Roman"/>
          <w:bCs/>
          <w:snapToGrid/>
          <w:color w:val="000000"/>
          <w:szCs w:val="28"/>
          <w:lang w:val="en-US" w:eastAsia="zh-CN"/>
        </w:rPr>
      </w:pPr>
      <w:r>
        <w:rPr>
          <w:rFonts w:ascii="Times New Roman" w:hAnsi="Times New Roman" w:eastAsia="方正小标宋_GBK" w:cs="Times New Roman"/>
          <w:bCs/>
          <w:snapToGrid/>
          <w:color w:val="000000"/>
          <w:szCs w:val="28"/>
          <w:lang w:val="en-US" w:eastAsia="zh-CN"/>
        </w:rPr>
        <w:t>前 言</w:t>
      </w:r>
      <w:bookmarkEnd w:id="1"/>
      <w:bookmarkEnd w:id="2"/>
      <w:bookmarkEnd w:id="3"/>
    </w:p>
    <w:p>
      <w:pPr>
        <w:pStyle w:val="000001"/>
        <w:keepNext w:val="false"/>
        <w:keepLines w:val="false"/>
        <w:pageBreakBefore w:val="false"/>
        <w:widowControl/>
        <w:kinsoku/>
        <w:wordWrap/>
        <w:overflowPunct/>
        <w:topLinePunct w:val="false"/>
        <w:autoSpaceDE w:val="false"/>
        <w:autoSpaceDN w:val="false"/>
        <w:bidi w:val="false"/>
        <w:spacing w:before="97"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林草兴则生态兴，生态兴则文明兴。党的二十届四中全会审议通过的《中共中央关于制定国民经济和社会发展第十五个五年规划的建议》首次明确提出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发展林下经济，壮大林草产业</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。林草产业具有产业链条长、产品种类多、就业容量大、涵盖范围广、遍布乡村的特点，是绿水青山转化为金山银山的重要载体，是实现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机制活、生态美、产业兴、百姓富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的有机统一的重要保障。</w:t>
      </w:r>
      <w:r>
        <w:rPr>
          <w:rFonts w:hint="eastAsia" w:ascii="Times New Roman" w:hAnsi="Times New Roman" w:eastAsia="仿宋" w:cs="Times New Roman"/>
          <w:color w:val="000000"/>
          <w:spacing w:val="-6"/>
          <w:sz w:val="28"/>
          <w:szCs w:val="28"/>
          <w:lang w:val="en-US" w:eastAsia="zh-CN"/>
        </w:rPr>
        <w:t>全面贯彻</w:t>
      </w:r>
      <w:r>
        <w:rPr>
          <w:rFonts w:ascii="Times New Roman" w:hAnsi="Times New Roman" w:eastAsia="仿宋" w:cs="Times New Roman"/>
          <w:color w:val="000000"/>
          <w:spacing w:val="-6"/>
          <w:sz w:val="28"/>
          <w:szCs w:val="28"/>
          <w:lang w:val="en-US" w:eastAsia="zh-CN"/>
        </w:rPr>
        <w:t>党中央决策部署，编制林草产业发展规划，</w:t>
      </w:r>
      <w:r>
        <w:rPr>
          <w:rFonts w:hint="eastAsia" w:ascii="Times New Roman" w:hAnsi="Times New Roman" w:eastAsia="仿宋" w:cs="Times New Roman"/>
          <w:color w:val="000000"/>
          <w:spacing w:val="-6"/>
          <w:sz w:val="28"/>
          <w:szCs w:val="28"/>
          <w:lang w:val="en-US" w:eastAsia="zh-CN"/>
        </w:rPr>
        <w:t>加快</w:t>
      </w:r>
      <w:r>
        <w:rPr>
          <w:rFonts w:ascii="Times New Roman" w:hAnsi="Times New Roman" w:eastAsia="仿宋" w:cs="Times New Roman"/>
          <w:color w:val="000000"/>
          <w:spacing w:val="-6"/>
          <w:sz w:val="28"/>
          <w:szCs w:val="28"/>
          <w:lang w:val="en-US" w:eastAsia="zh-CN"/>
        </w:rPr>
        <w:t>推动林草产业高质量发展，对建设生态文明、促进乡村</w:t>
      </w:r>
      <w:r>
        <w:rPr>
          <w:rFonts w:hint="eastAsia" w:ascii="Times New Roman" w:hAnsi="Times New Roman" w:eastAsia="仿宋" w:cs="Times New Roman"/>
          <w:color w:val="000000"/>
          <w:spacing w:val="-6"/>
          <w:sz w:val="28"/>
          <w:szCs w:val="28"/>
          <w:lang w:val="en-US" w:eastAsia="zh-CN"/>
        </w:rPr>
        <w:t>全面</w:t>
      </w:r>
      <w:r>
        <w:rPr>
          <w:rFonts w:ascii="Times New Roman" w:hAnsi="Times New Roman" w:eastAsia="仿宋" w:cs="Times New Roman"/>
          <w:color w:val="000000"/>
          <w:spacing w:val="-6"/>
          <w:sz w:val="28"/>
          <w:szCs w:val="28"/>
          <w:lang w:val="en-US" w:eastAsia="zh-CN"/>
        </w:rPr>
        <w:t>振兴、推动共同富裕具有重要战略意义。</w:t>
      </w:r>
    </w:p>
    <w:p>
      <w:pPr>
        <w:pStyle w:val="000001"/>
        <w:keepNext w:val="false"/>
        <w:keepLines w:val="false"/>
        <w:pageBreakBefore w:val="false"/>
        <w:widowControl/>
        <w:kinsoku/>
        <w:wordWrap/>
        <w:overflowPunct/>
        <w:topLinePunct w:val="false"/>
        <w:autoSpaceDE w:val="false"/>
        <w:autoSpaceDN w:val="false"/>
        <w:bidi w:val="false"/>
        <w:spacing w:before="97"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石柱县地处武陵山区腹地、三峡库区腹心，是重庆市以森林资源赋能生态旅游</w:t>
      </w:r>
      <w:r>
        <w:rPr>
          <w:rFonts w:hint="eastAsia" w:ascii="Times New Roman" w:hAnsi="Times New Roman" w:eastAsia="仿宋" w:cs="Times New Roman"/>
          <w:color w:val="000000"/>
          <w:spacing w:val="-6"/>
          <w:sz w:val="28"/>
          <w:szCs w:val="28"/>
          <w:lang w:val="en-US" w:eastAsia="zh-CN"/>
        </w:rPr>
        <w:t>和林下经济</w:t>
      </w:r>
      <w:r>
        <w:rPr>
          <w:rFonts w:ascii="Times New Roman" w:hAnsi="Times New Roman" w:eastAsia="仿宋" w:cs="Times New Roman"/>
          <w:color w:val="000000"/>
          <w:spacing w:val="-6"/>
          <w:sz w:val="28"/>
          <w:szCs w:val="28"/>
          <w:lang w:val="en-US" w:eastAsia="zh-CN"/>
        </w:rPr>
        <w:t>的</w:t>
      </w:r>
      <w:r>
        <w:rPr>
          <w:rFonts w:hint="eastAsia" w:ascii="Times New Roman" w:hAnsi="Times New Roman" w:eastAsia="仿宋" w:cs="Times New Roman"/>
          <w:color w:val="000000"/>
          <w:spacing w:val="-6"/>
          <w:sz w:val="28"/>
          <w:szCs w:val="28"/>
          <w:lang w:val="en-US" w:eastAsia="zh-CN"/>
        </w:rPr>
        <w:t>示范</w:t>
      </w:r>
      <w:r>
        <w:rPr>
          <w:rFonts w:ascii="Times New Roman" w:hAnsi="Times New Roman" w:eastAsia="仿宋" w:cs="Times New Roman"/>
          <w:color w:val="000000"/>
          <w:spacing w:val="-6"/>
          <w:sz w:val="28"/>
          <w:szCs w:val="28"/>
          <w:lang w:val="en-US" w:eastAsia="zh-CN"/>
        </w:rPr>
        <w:t>大县，拥有十分丰富的生态资源、物种资源、景观资源、中药材资源，具有发展林草产业的优越资源条件与政策环境。根据党中央、国务院和市委、</w:t>
      </w:r>
      <w:r>
        <w:rPr>
          <w:rFonts w:hint="eastAsia" w:ascii="Times New Roman" w:hAnsi="Times New Roman" w:eastAsia="仿宋" w:cs="Times New Roman"/>
          <w:color w:val="000000"/>
          <w:spacing w:val="-6"/>
          <w:sz w:val="28"/>
          <w:szCs w:val="28"/>
          <w:lang w:val="en-US" w:eastAsia="zh-CN"/>
        </w:rPr>
        <w:t>市政府</w:t>
      </w:r>
      <w:r>
        <w:rPr>
          <w:rFonts w:ascii="Times New Roman" w:hAnsi="Times New Roman" w:eastAsia="仿宋" w:cs="Times New Roman"/>
          <w:color w:val="000000"/>
          <w:spacing w:val="-6"/>
          <w:sz w:val="28"/>
          <w:szCs w:val="28"/>
          <w:lang w:val="en-US" w:eastAsia="zh-CN"/>
        </w:rPr>
        <w:t>关于林草发展的系列决策部署，以及《全国林业草原保护利用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十五五</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规划》《中共重庆市委关于制定重庆市国民经济和社会发展第十五个五年规划的建议》《石柱土家族自治县国土空间总体规划（2021—2035年）》</w:t>
      </w:r>
      <w:r>
        <w:rPr>
          <w:rFonts w:hint="eastAsia" w:ascii="Times New Roman" w:hAnsi="Times New Roman" w:eastAsia="仿宋" w:cs="Times New Roman"/>
          <w:color w:val="000000"/>
          <w:spacing w:val="-6"/>
          <w:sz w:val="28"/>
          <w:szCs w:val="28"/>
          <w:lang w:val="en-US" w:eastAsia="zh-CN"/>
        </w:rPr>
        <w:t>《石柱土家族自治县国民经济和社会发展第十四个五年规划和二〇三五年远景目标纲要》及《中共石柱土家族自治县委关于制定石柱县国民经济和社会发展第十五个五年规划的建议》</w:t>
      </w:r>
      <w:r>
        <w:rPr>
          <w:rFonts w:ascii="Times New Roman" w:hAnsi="Times New Roman" w:eastAsia="仿宋" w:cs="Times New Roman"/>
          <w:color w:val="000000"/>
          <w:spacing w:val="-6"/>
          <w:sz w:val="28"/>
          <w:szCs w:val="28"/>
          <w:lang w:val="en-US" w:eastAsia="zh-CN"/>
        </w:rPr>
        <w:t>，石柱县林业局组织编制了</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石柱土家族自治县林草产业发展规划（2026-2035年）》（</w:t>
      </w:r>
      <w:r>
        <w:rPr>
          <w:rFonts w:hint="eastAsia" w:ascii="Times New Roman" w:hAnsi="Times New Roman" w:eastAsia="仿宋" w:cs="Times New Roman"/>
          <w:color w:val="000000"/>
          <w:spacing w:val="-6"/>
          <w:sz w:val="28"/>
          <w:szCs w:val="28"/>
          <w:lang w:val="en-US" w:eastAsia="zh-CN"/>
        </w:rPr>
        <w:t>以下</w:t>
      </w:r>
      <w:r>
        <w:rPr>
          <w:rFonts w:ascii="Times New Roman" w:hAnsi="Times New Roman" w:eastAsia="仿宋" w:cs="Times New Roman"/>
          <w:color w:val="000000"/>
          <w:spacing w:val="-6"/>
          <w:sz w:val="28"/>
          <w:szCs w:val="28"/>
          <w:lang w:val="en-US" w:eastAsia="zh-CN"/>
        </w:rPr>
        <w:t>简称《规划》）。</w:t>
      </w:r>
    </w:p>
    <w:p>
      <w:pPr>
        <w:pStyle w:val="000001"/>
        <w:keepNext w:val="false"/>
        <w:keepLines w:val="false"/>
        <w:pageBreakBefore w:val="false"/>
        <w:widowControl/>
        <w:kinsoku/>
        <w:wordWrap/>
        <w:overflowPunct/>
        <w:topLinePunct w:val="false"/>
        <w:autoSpaceDE w:val="false"/>
        <w:autoSpaceDN w:val="false"/>
        <w:bidi w:val="false"/>
        <w:spacing w:before="97"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《规划》阐明了2026-2035年</w:t>
      </w:r>
      <w:r>
        <w:rPr>
          <w:rFonts w:hint="eastAsia" w:ascii="Times New Roman" w:hAnsi="Times New Roman" w:eastAsia="仿宋" w:cs="Times New Roman"/>
          <w:color w:val="000000"/>
          <w:spacing w:val="-6"/>
          <w:sz w:val="28"/>
          <w:szCs w:val="28"/>
          <w:lang w:val="en-US" w:eastAsia="zh-CN"/>
        </w:rPr>
        <w:t>石柱</w:t>
      </w:r>
      <w:r>
        <w:rPr>
          <w:rFonts w:ascii="Times New Roman" w:hAnsi="Times New Roman" w:eastAsia="仿宋" w:cs="Times New Roman"/>
          <w:color w:val="000000"/>
          <w:spacing w:val="-6"/>
          <w:sz w:val="28"/>
          <w:szCs w:val="28"/>
          <w:lang w:val="en-US" w:eastAsia="zh-CN"/>
        </w:rPr>
        <w:t>县林草产业发展的背景、总体要求、发展</w:t>
      </w:r>
      <w:r>
        <w:rPr>
          <w:rFonts w:hint="eastAsia" w:ascii="Times New Roman" w:hAnsi="Times New Roman" w:eastAsia="仿宋" w:cs="Times New Roman"/>
          <w:color w:val="000000"/>
          <w:spacing w:val="-6"/>
          <w:sz w:val="28"/>
          <w:szCs w:val="28"/>
          <w:lang w:val="en-US" w:eastAsia="zh-CN"/>
        </w:rPr>
        <w:t>布局</w:t>
      </w:r>
      <w:r>
        <w:rPr>
          <w:rFonts w:ascii="Times New Roman" w:hAnsi="Times New Roman" w:eastAsia="仿宋" w:cs="Times New Roman"/>
          <w:color w:val="000000"/>
          <w:spacing w:val="-6"/>
          <w:sz w:val="28"/>
          <w:szCs w:val="28"/>
          <w:lang w:val="en-US" w:eastAsia="zh-CN"/>
        </w:rPr>
        <w:t>，提出了全县林草产业发展主要任务及保障措施。此《规划》是我县各级</w:t>
      </w:r>
      <w:r>
        <w:rPr>
          <w:rFonts w:hint="eastAsia" w:ascii="Times New Roman" w:hAnsi="Times New Roman" w:eastAsia="仿宋" w:cs="Times New Roman"/>
          <w:color w:val="000000"/>
          <w:spacing w:val="-6"/>
          <w:sz w:val="28"/>
          <w:szCs w:val="28"/>
          <w:lang w:val="en-US" w:eastAsia="zh-CN"/>
        </w:rPr>
        <w:t>党委、政府</w:t>
      </w:r>
      <w:r>
        <w:rPr>
          <w:rFonts w:ascii="Times New Roman" w:hAnsi="Times New Roman" w:eastAsia="仿宋" w:cs="Times New Roman"/>
          <w:color w:val="000000"/>
          <w:spacing w:val="-6"/>
          <w:sz w:val="28"/>
          <w:szCs w:val="28"/>
          <w:lang w:val="en-US" w:eastAsia="zh-CN"/>
        </w:rPr>
        <w:t>引领和推进林草产业高质量发展的指导性文件，是制定</w:t>
      </w:r>
      <w:r>
        <w:rPr>
          <w:rFonts w:hint="eastAsia" w:ascii="Times New Roman" w:hAnsi="Times New Roman" w:eastAsia="仿宋" w:cs="Times New Roman"/>
          <w:color w:val="000000"/>
          <w:spacing w:val="-6"/>
          <w:sz w:val="28"/>
          <w:szCs w:val="28"/>
          <w:lang w:val="en-US" w:eastAsia="zh-CN"/>
        </w:rPr>
        <w:t>全县</w:t>
      </w:r>
      <w:r>
        <w:rPr>
          <w:rFonts w:ascii="Times New Roman" w:hAnsi="Times New Roman" w:eastAsia="仿宋" w:cs="Times New Roman"/>
          <w:color w:val="000000"/>
          <w:spacing w:val="-6"/>
          <w:sz w:val="28"/>
          <w:szCs w:val="28"/>
          <w:lang w:val="en-US" w:eastAsia="zh-CN"/>
        </w:rPr>
        <w:t>林草产业相关政策和安排重点项目投资的重要依据。</w:t>
      </w:r>
    </w:p>
    <w:p>
      <w:pPr>
        <w:pStyle w:val="000001"/>
        <w:keepNext w:val="false"/>
        <w:keepLines w:val="false"/>
        <w:pageBreakBefore w:val="false"/>
        <w:widowControl/>
        <w:kinsoku/>
        <w:wordWrap/>
        <w:overflowPunct/>
        <w:topLinePunct w:val="false"/>
        <w:autoSpaceDE w:val="false"/>
        <w:autoSpaceDN w:val="false"/>
        <w:bidi w:val="false"/>
        <w:spacing w:before="97"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本规划基准年为2025年，规划期为2026—2035年。</w:t>
      </w:r>
    </w:p>
    <w:bookmarkStart w:id="4" w:name="_Toc19478"/>
    <w:bookmarkStart w:id="5" w:name="_Toc30938"/>
    <w:p>
      <w:pPr>
        <w:sectPr>
          <w:headerReference r:id="rId8" w:type="default"/>
          <w:footerReference r:id="rId10" w:type="even"/>
          <w:footerReference r:id="rId9" w:type="default"/>
          <w:type w:val="nextPage"/>
          <w:pgSz w:w="11905" w:h="16840"/>
          <w:pgMar w:top="1440" w:right="1797" w:bottom="1440" w:left="1797" w:header="1134" w:footer="1134" w:gutter="0"/>
          <w:pgNumType w:fmt="lowerRoman" w:start="1"/>
          <w:cols/>
          <w:docGrid/>
        </w:sectPr>
      </w:pPr>
    </w:p>
    <w:p>
      <w:pPr>
        <w:pStyle w:val="000004"/>
        <w:keepNext/>
        <w:keepLines/>
        <w:pageBreakBefore w:val="false"/>
        <w:widowControl w:val="false"/>
        <w:numPr>
          <w:ilvl w:val="0"/>
          <w:numId w:val="0"/>
        </w:numPr>
        <w:shd w:val="clear" w:color="auto" w:fill="auto"/>
        <w:tabs>
          <w:tab w:val="clear" w:pos="0"/>
        </w:tabs>
        <w:kinsoku/>
        <w:wordWrap/>
        <w:overflowPunct/>
        <w:topLinePunct w:val="false"/>
        <w:autoSpaceDE/>
        <w:autoSpaceDN/>
        <w:bidi w:val="false"/>
        <w:spacing w:before="0" w:after="0" w:line="240" w:lineRule="auto"/>
        <w:ind w:leftChars="0"/>
        <w:jc w:val="center"/>
        <w:rPr>
          <w:rFonts w:ascii="Times New Roman" w:hAnsi="Times New Roman" w:eastAsia="方正小标宋_GBK" w:cs="Times New Roman"/>
          <w:bCs/>
          <w:snapToGrid/>
          <w:color w:val="000000"/>
          <w:szCs w:val="28"/>
          <w:lang w:val="en-US" w:eastAsia="zh-CN"/>
        </w:rPr>
      </w:pPr>
      <w:r>
        <w:rPr>
          <w:rFonts w:ascii="Times New Roman" w:hAnsi="Times New Roman" w:eastAsia="方正小标宋_GBK" w:cs="Times New Roman"/>
          <w:bCs/>
          <w:snapToGrid/>
          <w:color w:val="000000"/>
          <w:szCs w:val="28"/>
          <w:lang w:val="en-US" w:eastAsia="zh-CN"/>
        </w:rPr>
        <w:t>目  录</w:t>
      </w:r>
      <w:bookmarkEnd w:id="4"/>
      <w:bookmarkEnd w:id="5"/>
    </w:p>
    <w:p>
      <w:pPr>
        <w:pStyle w:val="000013"/>
        <w:tabs>
          <w:tab w:val="right" w:leader="dot" w:pos="8311"/>
        </w:tabs>
        <w:ind/>
        <w:rPr>
          <w:sz w:val="28"/>
          <w:szCs w:val="28"/>
        </w:rPr>
      </w:pPr>
      <w:r>
        <w:rPr>
          <w:color w:val="000000"/>
        </w:rPr>
        <w:fldChar w:fldCharType="begin"/>
      </w:r>
      <w:r>
        <w:rPr>
          <w:color w:val="000000"/>
        </w:rPr>
        <w:instrText xml:space="preserve">TOC \o "1-2" \h \u </w:instrText>
      </w:r>
      <w:r>
        <w:rPr>
          <w:color w:val="000000"/>
        </w:rPr>
        <w:fldChar w:fldCharType="separate"/>
      </w:r>
      <w:r>
        <w:rPr>
          <w:color w:val="000000"/>
          <w:sz w:val="28"/>
          <w:szCs w:val="28"/>
        </w:rPr>
        <w:fldChar w:fldCharType="begin"/>
      </w:r>
      <w:r>
        <w:rPr>
          <w:sz w:val="28"/>
          <w:szCs w:val="28"/>
        </w:rPr>
        <w:instrText xml:space="preserve"> HYPERLINK \l _Toc5050 </w:instrText>
      </w:r>
      <w:r>
        <w:rPr>
          <w:sz w:val="28"/>
          <w:szCs w:val="28"/>
        </w:rPr>
        <w:fldChar w:fldCharType="separate"/>
      </w:r>
      <w:r>
        <w:rPr>
          <w:rFonts w:hint="eastAsia" w:ascii="Times New Roman" w:hAnsi="Times New Roman" w:eastAsia="方正小标宋_GBK" w:cs="Times New Roman"/>
          <w:bCs/>
          <w:snapToGrid/>
          <w:sz w:val="28"/>
          <w:szCs w:val="40"/>
          <w:lang w:val="en-US" w:eastAsia="zh-CN"/>
        </w:rPr>
        <w:t xml:space="preserve">第一章 </w:t>
      </w:r>
      <w:r>
        <w:rPr>
          <w:rFonts w:ascii="Times New Roman" w:hAnsi="Times New Roman" w:eastAsia="方正小标宋_GBK" w:cs="Times New Roman"/>
          <w:bCs/>
          <w:snapToGrid/>
          <w:sz w:val="28"/>
          <w:szCs w:val="40"/>
          <w:lang w:val="en-US" w:eastAsia="zh-CN"/>
        </w:rPr>
        <w:t>发展背景</w:t>
      </w:r>
      <w:r>
        <w:rPr>
          <w:sz w:val="28"/>
          <w:szCs w:val="28"/>
        </w:rPr>
        <w:tab/>
      </w:r>
      <w:r>
        <w:rPr>
          <w:sz w:val="28"/>
          <w:szCs w:val="28"/>
        </w:rPr>
        <w:fldChar w:fldCharType="begin"/>
      </w:r>
      <w:r>
        <w:rPr>
          <w:sz w:val="28"/>
          <w:szCs w:val="28"/>
        </w:rPr>
        <w:instrText xml:space="preserve"> PAGEREF _Toc5050 \h </w:instrText>
      </w:r>
      <w:r>
        <w:rPr>
          <w:sz w:val="28"/>
          <w:szCs w:val="28"/>
        </w:rPr>
        <w:fldChar w:fldCharType="separate"/>
      </w:r>
      <w:r>
        <w:rPr>
          <w:sz w:val="28"/>
          <w:szCs w:val="28"/>
        </w:rPr>
        <w:t>1</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_Toc15610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第一节 发展基础</w:t>
      </w:r>
      <w:r>
        <w:rPr>
          <w:sz w:val="28"/>
          <w:szCs w:val="28"/>
        </w:rPr>
        <w:tab/>
      </w:r>
      <w:r>
        <w:rPr>
          <w:sz w:val="28"/>
          <w:szCs w:val="28"/>
        </w:rPr>
        <w:fldChar w:fldCharType="begin"/>
      </w:r>
      <w:r>
        <w:rPr>
          <w:sz w:val="28"/>
          <w:szCs w:val="28"/>
        </w:rPr>
        <w:instrText xml:space="preserve"> PAGEREF _Toc15610 \h </w:instrText>
      </w:r>
      <w:r>
        <w:rPr>
          <w:sz w:val="28"/>
          <w:szCs w:val="28"/>
        </w:rPr>
        <w:fldChar w:fldCharType="separate"/>
      </w:r>
      <w:r>
        <w:rPr>
          <w:sz w:val="28"/>
          <w:szCs w:val="28"/>
        </w:rPr>
        <w:t>1</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_Toc13331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第二节 存在问题</w:t>
      </w:r>
      <w:r>
        <w:rPr>
          <w:sz w:val="28"/>
          <w:szCs w:val="28"/>
        </w:rPr>
        <w:tab/>
      </w:r>
      <w:r>
        <w:rPr>
          <w:sz w:val="28"/>
          <w:szCs w:val="28"/>
        </w:rPr>
        <w:fldChar w:fldCharType="begin"/>
      </w:r>
      <w:r>
        <w:rPr>
          <w:sz w:val="28"/>
          <w:szCs w:val="28"/>
        </w:rPr>
        <w:instrText xml:space="preserve"> PAGEREF _Toc13331 \h </w:instrText>
      </w:r>
      <w:r>
        <w:rPr>
          <w:sz w:val="28"/>
          <w:szCs w:val="28"/>
        </w:rPr>
        <w:fldChar w:fldCharType="separate"/>
      </w:r>
      <w:r>
        <w:rPr>
          <w:sz w:val="28"/>
          <w:szCs w:val="28"/>
        </w:rPr>
        <w:t>3</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_Toc20135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第三节 发展机遇</w:t>
      </w:r>
      <w:r>
        <w:rPr>
          <w:sz w:val="28"/>
          <w:szCs w:val="28"/>
        </w:rPr>
        <w:tab/>
      </w:r>
      <w:r>
        <w:rPr>
          <w:sz w:val="28"/>
          <w:szCs w:val="28"/>
        </w:rPr>
        <w:fldChar w:fldCharType="begin"/>
      </w:r>
      <w:r>
        <w:rPr>
          <w:sz w:val="28"/>
          <w:szCs w:val="28"/>
        </w:rPr>
        <w:instrText xml:space="preserve"> PAGEREF _Toc20135 \h </w:instrText>
      </w:r>
      <w:r>
        <w:rPr>
          <w:sz w:val="28"/>
          <w:szCs w:val="28"/>
        </w:rPr>
        <w:fldChar w:fldCharType="separate"/>
      </w:r>
      <w:r>
        <w:rPr>
          <w:sz w:val="28"/>
          <w:szCs w:val="28"/>
        </w:rPr>
        <w:t>5</w:t>
      </w:r>
      <w:r>
        <w:rPr>
          <w:sz w:val="28"/>
          <w:szCs w:val="28"/>
        </w:rPr>
        <w:fldChar w:fldCharType="end"/>
      </w:r>
      <w:r>
        <w:rPr>
          <w:color w:val="000000"/>
          <w:sz w:val="28"/>
          <w:szCs w:val="28"/>
        </w:rPr>
        <w:fldChar w:fldCharType="end"/>
      </w:r>
    </w:p>
    <w:p>
      <w:pPr>
        <w:pStyle w:val="000013"/>
        <w:tabs>
          <w:tab w:val="right" w:leader="dot" w:pos="8311"/>
        </w:tabs>
        <w:ind/>
        <w:rPr>
          <w:sz w:val="28"/>
          <w:szCs w:val="28"/>
        </w:rPr>
      </w:pPr>
      <w:r>
        <w:rPr>
          <w:color w:val="000000"/>
          <w:sz w:val="28"/>
          <w:szCs w:val="28"/>
        </w:rPr>
        <w:fldChar w:fldCharType="begin"/>
      </w:r>
      <w:r>
        <w:rPr>
          <w:sz w:val="28"/>
          <w:szCs w:val="28"/>
        </w:rPr>
        <w:instrText xml:space="preserve"> HYPERLINK \l _Toc13825 </w:instrText>
      </w:r>
      <w:r>
        <w:rPr>
          <w:sz w:val="28"/>
          <w:szCs w:val="28"/>
        </w:rPr>
        <w:fldChar w:fldCharType="separate"/>
      </w:r>
      <w:r>
        <w:rPr>
          <w:rFonts w:hint="eastAsia" w:ascii="Times New Roman" w:hAnsi="Times New Roman" w:eastAsia="方正小标宋_GBK" w:cs="Times New Roman"/>
          <w:bCs/>
          <w:snapToGrid/>
          <w:sz w:val="28"/>
          <w:szCs w:val="40"/>
          <w:lang w:val="en-US" w:eastAsia="zh-CN"/>
        </w:rPr>
        <w:t xml:space="preserve">第二章 </w:t>
      </w:r>
      <w:r>
        <w:rPr>
          <w:rFonts w:ascii="Times New Roman" w:hAnsi="Times New Roman" w:eastAsia="方正小标宋_GBK" w:cs="Times New Roman"/>
          <w:bCs/>
          <w:snapToGrid/>
          <w:sz w:val="28"/>
          <w:szCs w:val="40"/>
          <w:lang w:val="en-US" w:eastAsia="zh-CN"/>
        </w:rPr>
        <w:t>总体要求</w:t>
      </w:r>
      <w:r>
        <w:rPr>
          <w:sz w:val="28"/>
          <w:szCs w:val="28"/>
        </w:rPr>
        <w:tab/>
      </w:r>
      <w:r>
        <w:rPr>
          <w:sz w:val="28"/>
          <w:szCs w:val="28"/>
        </w:rPr>
        <w:fldChar w:fldCharType="begin"/>
      </w:r>
      <w:r>
        <w:rPr>
          <w:sz w:val="28"/>
          <w:szCs w:val="28"/>
        </w:rPr>
        <w:instrText xml:space="preserve"> PAGEREF _Toc13825 \h </w:instrText>
      </w:r>
      <w:r>
        <w:rPr>
          <w:sz w:val="28"/>
          <w:szCs w:val="28"/>
        </w:rPr>
        <w:fldChar w:fldCharType="separate"/>
      </w:r>
      <w:r>
        <w:rPr>
          <w:sz w:val="28"/>
          <w:szCs w:val="28"/>
        </w:rPr>
        <w:t>10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_Toc30368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第一节 指导思想</w:t>
      </w:r>
      <w:r>
        <w:rPr>
          <w:sz w:val="28"/>
          <w:szCs w:val="28"/>
        </w:rPr>
        <w:tab/>
      </w:r>
      <w:r>
        <w:rPr>
          <w:sz w:val="28"/>
          <w:szCs w:val="28"/>
        </w:rPr>
        <w:fldChar w:fldCharType="begin"/>
      </w:r>
      <w:r>
        <w:rPr>
          <w:sz w:val="28"/>
          <w:szCs w:val="28"/>
        </w:rPr>
        <w:instrText xml:space="preserve"> PAGEREF _Toc30368 \h </w:instrText>
      </w:r>
      <w:r>
        <w:rPr>
          <w:sz w:val="28"/>
          <w:szCs w:val="28"/>
        </w:rPr>
        <w:fldChar w:fldCharType="separate"/>
      </w:r>
      <w:r>
        <w:rPr>
          <w:sz w:val="28"/>
          <w:szCs w:val="28"/>
        </w:rPr>
        <w:t>10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_Toc15597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第二节 基本原则</w:t>
      </w:r>
      <w:r>
        <w:rPr>
          <w:sz w:val="28"/>
          <w:szCs w:val="28"/>
        </w:rPr>
        <w:tab/>
      </w:r>
      <w:r>
        <w:rPr>
          <w:sz w:val="28"/>
          <w:szCs w:val="28"/>
        </w:rPr>
        <w:fldChar w:fldCharType="begin"/>
      </w:r>
      <w:r>
        <w:rPr>
          <w:sz w:val="28"/>
          <w:szCs w:val="28"/>
        </w:rPr>
        <w:instrText xml:space="preserve"> PAGEREF _Toc15597 \h </w:instrText>
      </w:r>
      <w:r>
        <w:rPr>
          <w:sz w:val="28"/>
          <w:szCs w:val="28"/>
        </w:rPr>
        <w:fldChar w:fldCharType="separate"/>
      </w:r>
      <w:r>
        <w:rPr>
          <w:sz w:val="28"/>
          <w:szCs w:val="28"/>
        </w:rPr>
        <w:t>10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_Toc19709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第三节 规划依据</w:t>
      </w:r>
      <w:r>
        <w:rPr>
          <w:sz w:val="28"/>
          <w:szCs w:val="28"/>
        </w:rPr>
        <w:tab/>
      </w:r>
      <w:r>
        <w:rPr>
          <w:sz w:val="28"/>
          <w:szCs w:val="28"/>
        </w:rPr>
        <w:fldChar w:fldCharType="begin"/>
      </w:r>
      <w:r>
        <w:rPr>
          <w:sz w:val="28"/>
          <w:szCs w:val="28"/>
        </w:rPr>
        <w:instrText xml:space="preserve"> PAGEREF _Toc19709 \h </w:instrText>
      </w:r>
      <w:r>
        <w:rPr>
          <w:sz w:val="28"/>
          <w:szCs w:val="28"/>
        </w:rPr>
        <w:fldChar w:fldCharType="separate"/>
      </w:r>
      <w:r>
        <w:rPr>
          <w:sz w:val="28"/>
          <w:szCs w:val="28"/>
        </w:rPr>
        <w:t>12</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_Toc16789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第四节 总体定位</w:t>
      </w:r>
      <w:r>
        <w:rPr>
          <w:sz w:val="28"/>
          <w:szCs w:val="28"/>
        </w:rPr>
        <w:tab/>
      </w:r>
      <w:r>
        <w:rPr>
          <w:sz w:val="28"/>
          <w:szCs w:val="28"/>
        </w:rPr>
        <w:fldChar w:fldCharType="begin"/>
      </w:r>
      <w:r>
        <w:rPr>
          <w:sz w:val="28"/>
          <w:szCs w:val="28"/>
        </w:rPr>
        <w:instrText xml:space="preserve"> PAGEREF _Toc16789 \h </w:instrText>
      </w:r>
      <w:r>
        <w:rPr>
          <w:sz w:val="28"/>
          <w:szCs w:val="28"/>
        </w:rPr>
        <w:fldChar w:fldCharType="separate"/>
      </w:r>
      <w:r>
        <w:rPr>
          <w:sz w:val="28"/>
          <w:szCs w:val="28"/>
        </w:rPr>
        <w:t>17</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_Toc19554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第五节 发展目标</w:t>
      </w:r>
      <w:r>
        <w:rPr>
          <w:sz w:val="28"/>
          <w:szCs w:val="28"/>
        </w:rPr>
        <w:tab/>
      </w:r>
      <w:r>
        <w:rPr>
          <w:sz w:val="28"/>
          <w:szCs w:val="28"/>
        </w:rPr>
        <w:fldChar w:fldCharType="begin"/>
      </w:r>
      <w:r>
        <w:rPr>
          <w:sz w:val="28"/>
          <w:szCs w:val="28"/>
        </w:rPr>
        <w:instrText xml:space="preserve"> PAGEREF _Toc19554 \h </w:instrText>
      </w:r>
      <w:r>
        <w:rPr>
          <w:sz w:val="28"/>
          <w:szCs w:val="28"/>
        </w:rPr>
        <w:fldChar w:fldCharType="separate"/>
      </w:r>
      <w:r>
        <w:rPr>
          <w:sz w:val="28"/>
          <w:szCs w:val="28"/>
        </w:rPr>
        <w:t>18</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_Toc11629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第六节 发展思路</w:t>
      </w:r>
      <w:r>
        <w:rPr>
          <w:sz w:val="28"/>
          <w:szCs w:val="28"/>
        </w:rPr>
        <w:tab/>
      </w:r>
      <w:r>
        <w:rPr>
          <w:sz w:val="28"/>
          <w:szCs w:val="28"/>
        </w:rPr>
        <w:fldChar w:fldCharType="begin"/>
      </w:r>
      <w:r>
        <w:rPr>
          <w:sz w:val="28"/>
          <w:szCs w:val="28"/>
        </w:rPr>
        <w:instrText xml:space="preserve"> PAGEREF _Toc11629 \h </w:instrText>
      </w:r>
      <w:r>
        <w:rPr>
          <w:sz w:val="28"/>
          <w:szCs w:val="28"/>
        </w:rPr>
        <w:fldChar w:fldCharType="separate"/>
      </w:r>
      <w:r>
        <w:rPr>
          <w:sz w:val="28"/>
          <w:szCs w:val="28"/>
        </w:rPr>
        <w:t>19</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_Toc5225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第七节 规划期限</w:t>
      </w:r>
      <w:r>
        <w:rPr>
          <w:sz w:val="28"/>
          <w:szCs w:val="28"/>
        </w:rPr>
        <w:tab/>
      </w:r>
      <w:r>
        <w:rPr>
          <w:sz w:val="28"/>
          <w:szCs w:val="28"/>
        </w:rPr>
        <w:fldChar w:fldCharType="begin"/>
      </w:r>
      <w:r>
        <w:rPr>
          <w:sz w:val="28"/>
          <w:szCs w:val="28"/>
        </w:rPr>
        <w:instrText xml:space="preserve"> PAGEREF _Toc5225 \h </w:instrText>
      </w:r>
      <w:r>
        <w:rPr>
          <w:sz w:val="28"/>
          <w:szCs w:val="28"/>
        </w:rPr>
        <w:fldChar w:fldCharType="separate"/>
      </w:r>
      <w:r>
        <w:rPr>
          <w:sz w:val="28"/>
          <w:szCs w:val="28"/>
        </w:rPr>
        <w:t>19</w:t>
      </w:r>
      <w:r>
        <w:rPr>
          <w:sz w:val="28"/>
          <w:szCs w:val="28"/>
        </w:rPr>
        <w:fldChar w:fldCharType="end"/>
      </w:r>
      <w:r>
        <w:rPr>
          <w:color w:val="000000"/>
          <w:sz w:val="28"/>
          <w:szCs w:val="28"/>
        </w:rPr>
        <w:fldChar w:fldCharType="end"/>
      </w:r>
    </w:p>
    <w:p>
      <w:pPr>
        <w:pStyle w:val="000013"/>
        <w:tabs>
          <w:tab w:val="right" w:leader="dot" w:pos="8311"/>
        </w:tabs>
        <w:ind/>
        <w:rPr>
          <w:sz w:val="28"/>
          <w:szCs w:val="28"/>
        </w:rPr>
      </w:pPr>
      <w:r>
        <w:rPr>
          <w:color w:val="000000"/>
          <w:sz w:val="28"/>
          <w:szCs w:val="28"/>
        </w:rPr>
        <w:fldChar w:fldCharType="begin"/>
      </w:r>
      <w:r>
        <w:rPr>
          <w:sz w:val="28"/>
          <w:szCs w:val="28"/>
        </w:rPr>
        <w:instrText xml:space="preserve"> HYPERLINK \l _Toc21965 </w:instrText>
      </w:r>
      <w:r>
        <w:rPr>
          <w:sz w:val="28"/>
          <w:szCs w:val="28"/>
        </w:rPr>
        <w:fldChar w:fldCharType="separate"/>
      </w:r>
      <w:r>
        <w:rPr>
          <w:rFonts w:hint="eastAsia" w:ascii="Times New Roman" w:hAnsi="Times New Roman" w:eastAsia="方正小标宋_GBK" w:cs="Times New Roman"/>
          <w:sz w:val="28"/>
          <w:szCs w:val="56"/>
          <w:lang w:val="en-US" w:eastAsia="zh-CN"/>
        </w:rPr>
        <w:t xml:space="preserve">第三章 </w:t>
      </w:r>
      <w:r>
        <w:rPr>
          <w:rFonts w:ascii="Times New Roman" w:hAnsi="Times New Roman" w:eastAsia="方正小标宋_GBK" w:cs="Times New Roman"/>
          <w:bCs/>
          <w:snapToGrid/>
          <w:sz w:val="28"/>
          <w:szCs w:val="40"/>
          <w:lang w:val="en-US" w:eastAsia="zh-CN"/>
        </w:rPr>
        <w:t>发展布局</w:t>
      </w:r>
      <w:r>
        <w:rPr>
          <w:sz w:val="28"/>
          <w:szCs w:val="28"/>
        </w:rPr>
        <w:tab/>
      </w:r>
      <w:r>
        <w:rPr>
          <w:sz w:val="28"/>
          <w:szCs w:val="28"/>
        </w:rPr>
        <w:fldChar w:fldCharType="begin"/>
      </w:r>
      <w:r>
        <w:rPr>
          <w:sz w:val="28"/>
          <w:szCs w:val="28"/>
        </w:rPr>
        <w:instrText xml:space="preserve"> PAGEREF _Toc21965 \h </w:instrText>
      </w:r>
      <w:r>
        <w:rPr>
          <w:sz w:val="28"/>
          <w:szCs w:val="28"/>
        </w:rPr>
        <w:fldChar w:fldCharType="separate"/>
      </w:r>
      <w:r>
        <w:rPr>
          <w:sz w:val="28"/>
          <w:szCs w:val="28"/>
        </w:rPr>
        <w:t>20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_Toc12425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第一节 林地利用范围</w:t>
      </w:r>
      <w:r>
        <w:rPr>
          <w:sz w:val="28"/>
          <w:szCs w:val="28"/>
        </w:rPr>
        <w:tab/>
      </w:r>
      <w:r>
        <w:rPr>
          <w:sz w:val="28"/>
          <w:szCs w:val="28"/>
        </w:rPr>
        <w:fldChar w:fldCharType="begin"/>
      </w:r>
      <w:r>
        <w:rPr>
          <w:sz w:val="28"/>
          <w:szCs w:val="28"/>
        </w:rPr>
        <w:instrText xml:space="preserve"> PAGEREF _Toc12425 \h </w:instrText>
      </w:r>
      <w:r>
        <w:rPr>
          <w:sz w:val="28"/>
          <w:szCs w:val="28"/>
        </w:rPr>
        <w:fldChar w:fldCharType="separate"/>
      </w:r>
      <w:r>
        <w:rPr>
          <w:sz w:val="28"/>
          <w:szCs w:val="28"/>
        </w:rPr>
        <w:t>20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_Toc32202 </w:instrText>
      </w:r>
      <w:r>
        <w:rPr>
          <w:sz w:val="28"/>
          <w:szCs w:val="28"/>
        </w:rPr>
        <w:fldChar w:fldCharType="separate"/>
      </w:r>
      <w:r>
        <w:rPr>
          <w:rFonts w:hint="eastAsia" w:ascii="方正楷体_GBK" w:hAnsi="方正楷体_GBK" w:eastAsia="方正楷体_GBK" w:cs="方正楷体_GBK"/>
          <w:bCs w:val="false"/>
          <w:spacing w:val="-5"/>
          <w:position w:val="1"/>
          <w:sz w:val="28"/>
          <w:szCs w:val="44"/>
          <w:lang w:val="en-US" w:eastAsia="zh-CN"/>
        </w:rPr>
        <w:t>第二节 林草产业发展正负面清单</w:t>
      </w:r>
      <w:r>
        <w:rPr>
          <w:sz w:val="28"/>
          <w:szCs w:val="28"/>
        </w:rPr>
        <w:tab/>
      </w:r>
      <w:r>
        <w:rPr>
          <w:sz w:val="28"/>
          <w:szCs w:val="28"/>
        </w:rPr>
        <w:fldChar w:fldCharType="begin"/>
      </w:r>
      <w:r>
        <w:rPr>
          <w:sz w:val="28"/>
          <w:szCs w:val="28"/>
        </w:rPr>
        <w:instrText xml:space="preserve"> PAGEREF _Toc32202 \h </w:instrText>
      </w:r>
      <w:r>
        <w:rPr>
          <w:sz w:val="28"/>
          <w:szCs w:val="28"/>
        </w:rPr>
        <w:fldChar w:fldCharType="separate"/>
      </w:r>
      <w:r>
        <w:rPr>
          <w:sz w:val="28"/>
          <w:szCs w:val="28"/>
        </w:rPr>
        <w:t>22</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_Toc3863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第三节 区域布局</w:t>
      </w:r>
      <w:r>
        <w:rPr>
          <w:sz w:val="28"/>
          <w:szCs w:val="28"/>
        </w:rPr>
        <w:tab/>
      </w:r>
      <w:r>
        <w:rPr>
          <w:sz w:val="28"/>
          <w:szCs w:val="28"/>
        </w:rPr>
        <w:fldChar w:fldCharType="begin"/>
      </w:r>
      <w:r>
        <w:rPr>
          <w:sz w:val="28"/>
          <w:szCs w:val="28"/>
        </w:rPr>
        <w:instrText xml:space="preserve"> PAGEREF _Toc3863 \h </w:instrText>
      </w:r>
      <w:r>
        <w:rPr>
          <w:sz w:val="28"/>
          <w:szCs w:val="28"/>
        </w:rPr>
        <w:fldChar w:fldCharType="separate"/>
      </w:r>
      <w:r>
        <w:rPr>
          <w:sz w:val="28"/>
          <w:szCs w:val="28"/>
        </w:rPr>
        <w:t>25</w:t>
      </w:r>
      <w:r>
        <w:rPr>
          <w:sz w:val="28"/>
          <w:szCs w:val="28"/>
        </w:rPr>
        <w:fldChar w:fldCharType="end"/>
      </w:r>
      <w:r>
        <w:rPr>
          <w:color w:val="000000"/>
          <w:sz w:val="28"/>
          <w:szCs w:val="28"/>
        </w:rPr>
        <w:fldChar w:fldCharType="end"/>
      </w:r>
    </w:p>
    <w:p>
      <w:pPr>
        <w:pStyle w:val="000013"/>
        <w:tabs>
          <w:tab w:val="right" w:leader="dot" w:pos="8311"/>
        </w:tabs>
        <w:ind/>
        <w:rPr>
          <w:sz w:val="28"/>
          <w:szCs w:val="28"/>
        </w:rPr>
      </w:pPr>
      <w:r>
        <w:rPr>
          <w:color w:val="000000"/>
          <w:sz w:val="28"/>
          <w:szCs w:val="28"/>
        </w:rPr>
        <w:fldChar w:fldCharType="begin"/>
      </w:r>
      <w:r>
        <w:rPr>
          <w:sz w:val="28"/>
          <w:szCs w:val="28"/>
        </w:rPr>
        <w:instrText xml:space="preserve"> HYPERLINK \l _Toc31667 </w:instrText>
      </w:r>
      <w:r>
        <w:rPr>
          <w:sz w:val="28"/>
          <w:szCs w:val="28"/>
        </w:rPr>
        <w:fldChar w:fldCharType="separate"/>
      </w:r>
      <w:r>
        <w:rPr>
          <w:rFonts w:hint="eastAsia" w:ascii="Times New Roman" w:hAnsi="Times New Roman" w:eastAsia="方正小标宋_GBK" w:cs="Times New Roman"/>
          <w:bCs/>
          <w:snapToGrid/>
          <w:sz w:val="28"/>
          <w:szCs w:val="40"/>
          <w:lang w:val="en-US" w:eastAsia="zh-CN"/>
        </w:rPr>
        <w:t xml:space="preserve">第四章 </w:t>
      </w:r>
      <w:r>
        <w:rPr>
          <w:rFonts w:ascii="Times New Roman" w:hAnsi="Times New Roman" w:eastAsia="方正小标宋_GBK" w:cs="Times New Roman"/>
          <w:bCs/>
          <w:snapToGrid/>
          <w:sz w:val="28"/>
          <w:szCs w:val="40"/>
          <w:lang w:val="en-US" w:eastAsia="zh-CN"/>
        </w:rPr>
        <w:t>主要任务</w:t>
      </w:r>
      <w:r>
        <w:rPr>
          <w:sz w:val="28"/>
          <w:szCs w:val="28"/>
        </w:rPr>
        <w:tab/>
      </w:r>
      <w:r>
        <w:rPr>
          <w:sz w:val="28"/>
          <w:szCs w:val="28"/>
        </w:rPr>
        <w:fldChar w:fldCharType="begin"/>
      </w:r>
      <w:r>
        <w:rPr>
          <w:sz w:val="28"/>
          <w:szCs w:val="28"/>
        </w:rPr>
        <w:instrText xml:space="preserve"> PAGEREF _Toc31667 \h </w:instrText>
      </w:r>
      <w:r>
        <w:rPr>
          <w:sz w:val="28"/>
          <w:szCs w:val="28"/>
        </w:rPr>
        <w:fldChar w:fldCharType="separate"/>
      </w:r>
      <w:r>
        <w:rPr>
          <w:sz w:val="28"/>
          <w:szCs w:val="28"/>
        </w:rPr>
        <w:t>33</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_Toc29000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第一节 做精做靓森林康养</w:t>
      </w:r>
      <w:r>
        <w:rPr>
          <w:sz w:val="28"/>
          <w:szCs w:val="28"/>
        </w:rPr>
        <w:tab/>
      </w:r>
      <w:r>
        <w:rPr>
          <w:sz w:val="28"/>
          <w:szCs w:val="28"/>
        </w:rPr>
        <w:fldChar w:fldCharType="begin"/>
      </w:r>
      <w:r>
        <w:rPr>
          <w:sz w:val="28"/>
          <w:szCs w:val="28"/>
        </w:rPr>
        <w:instrText xml:space="preserve"> PAGEREF _Toc29000 \h </w:instrText>
      </w:r>
      <w:r>
        <w:rPr>
          <w:sz w:val="28"/>
          <w:szCs w:val="28"/>
        </w:rPr>
        <w:fldChar w:fldCharType="separate"/>
      </w:r>
      <w:r>
        <w:rPr>
          <w:sz w:val="28"/>
          <w:szCs w:val="28"/>
        </w:rPr>
        <w:t>33</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_Toc18303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第二节 做大做强林下经济</w:t>
      </w:r>
      <w:r>
        <w:rPr>
          <w:sz w:val="28"/>
          <w:szCs w:val="28"/>
        </w:rPr>
        <w:tab/>
      </w:r>
      <w:r>
        <w:rPr>
          <w:sz w:val="28"/>
          <w:szCs w:val="28"/>
        </w:rPr>
        <w:fldChar w:fldCharType="begin"/>
      </w:r>
      <w:r>
        <w:rPr>
          <w:sz w:val="28"/>
          <w:szCs w:val="28"/>
        </w:rPr>
        <w:instrText xml:space="preserve"> PAGEREF _Toc18303 \h </w:instrText>
      </w:r>
      <w:r>
        <w:rPr>
          <w:sz w:val="28"/>
          <w:szCs w:val="28"/>
        </w:rPr>
        <w:fldChar w:fldCharType="separate"/>
      </w:r>
      <w:r>
        <w:rPr>
          <w:sz w:val="28"/>
          <w:szCs w:val="28"/>
        </w:rPr>
        <w:t>42</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_Toc9319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第三节 做深做细木材加工产业</w:t>
      </w:r>
      <w:r>
        <w:rPr>
          <w:sz w:val="28"/>
          <w:szCs w:val="28"/>
        </w:rPr>
        <w:tab/>
      </w:r>
      <w:r>
        <w:rPr>
          <w:sz w:val="28"/>
          <w:szCs w:val="28"/>
        </w:rPr>
        <w:fldChar w:fldCharType="begin"/>
      </w:r>
      <w:r>
        <w:rPr>
          <w:sz w:val="28"/>
          <w:szCs w:val="28"/>
        </w:rPr>
        <w:instrText xml:space="preserve"> PAGEREF _Toc9319 \h </w:instrText>
      </w:r>
      <w:r>
        <w:rPr>
          <w:sz w:val="28"/>
          <w:szCs w:val="28"/>
        </w:rPr>
        <w:fldChar w:fldCharType="separate"/>
      </w:r>
      <w:r>
        <w:rPr>
          <w:sz w:val="28"/>
          <w:szCs w:val="28"/>
        </w:rPr>
        <w:t>50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_Toc8631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第四节 做特做优特色经济林</w:t>
      </w:r>
      <w:r>
        <w:rPr>
          <w:sz w:val="28"/>
          <w:szCs w:val="28"/>
        </w:rPr>
        <w:tab/>
      </w:r>
      <w:r>
        <w:rPr>
          <w:sz w:val="28"/>
          <w:szCs w:val="28"/>
        </w:rPr>
        <w:fldChar w:fldCharType="begin"/>
      </w:r>
      <w:r>
        <w:rPr>
          <w:sz w:val="28"/>
          <w:szCs w:val="28"/>
        </w:rPr>
        <w:instrText xml:space="preserve"> PAGEREF _Toc8631 \h </w:instrText>
      </w:r>
      <w:r>
        <w:rPr>
          <w:sz w:val="28"/>
          <w:szCs w:val="28"/>
        </w:rPr>
        <w:fldChar w:fldCharType="separate"/>
      </w:r>
      <w:r>
        <w:rPr>
          <w:sz w:val="28"/>
          <w:szCs w:val="28"/>
        </w:rPr>
        <w:t>52</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_Toc5533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第五节 夯实基础支撑能力</w:t>
      </w:r>
      <w:r>
        <w:rPr>
          <w:sz w:val="28"/>
          <w:szCs w:val="28"/>
        </w:rPr>
        <w:tab/>
      </w:r>
      <w:r>
        <w:rPr>
          <w:sz w:val="28"/>
          <w:szCs w:val="28"/>
        </w:rPr>
        <w:fldChar w:fldCharType="begin"/>
      </w:r>
      <w:r>
        <w:rPr>
          <w:sz w:val="28"/>
          <w:szCs w:val="28"/>
        </w:rPr>
        <w:instrText xml:space="preserve"> PAGEREF _Toc5533 \h </w:instrText>
      </w:r>
      <w:r>
        <w:rPr>
          <w:sz w:val="28"/>
          <w:szCs w:val="28"/>
        </w:rPr>
        <w:fldChar w:fldCharType="separate"/>
      </w:r>
      <w:r>
        <w:rPr>
          <w:sz w:val="28"/>
          <w:szCs w:val="28"/>
        </w:rPr>
        <w:t>54</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_Toc16030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第六节 深化重大改革支撑能力</w:t>
      </w:r>
      <w:r>
        <w:rPr>
          <w:sz w:val="28"/>
          <w:szCs w:val="28"/>
        </w:rPr>
        <w:tab/>
      </w:r>
      <w:r>
        <w:rPr>
          <w:sz w:val="28"/>
          <w:szCs w:val="28"/>
        </w:rPr>
        <w:fldChar w:fldCharType="begin"/>
      </w:r>
      <w:r>
        <w:rPr>
          <w:sz w:val="28"/>
          <w:szCs w:val="28"/>
        </w:rPr>
        <w:instrText xml:space="preserve"> PAGEREF _Toc16030 \h </w:instrText>
      </w:r>
      <w:r>
        <w:rPr>
          <w:sz w:val="28"/>
          <w:szCs w:val="28"/>
        </w:rPr>
        <w:fldChar w:fldCharType="separate"/>
      </w:r>
      <w:r>
        <w:rPr>
          <w:sz w:val="28"/>
          <w:szCs w:val="28"/>
        </w:rPr>
        <w:t>59</w:t>
      </w:r>
      <w:r>
        <w:rPr>
          <w:sz w:val="28"/>
          <w:szCs w:val="28"/>
        </w:rPr>
        <w:fldChar w:fldCharType="end"/>
      </w:r>
      <w:r>
        <w:rPr>
          <w:color w:val="000000"/>
          <w:sz w:val="28"/>
          <w:szCs w:val="28"/>
        </w:rPr>
        <w:fldChar w:fldCharType="end"/>
      </w:r>
    </w:p>
    <w:p>
      <w:pPr>
        <w:pStyle w:val="000013"/>
        <w:tabs>
          <w:tab w:val="right" w:leader="dot" w:pos="8311"/>
        </w:tabs>
        <w:ind/>
        <w:rPr>
          <w:sz w:val="28"/>
          <w:szCs w:val="28"/>
        </w:rPr>
      </w:pPr>
      <w:r>
        <w:rPr>
          <w:color w:val="000000"/>
          <w:sz w:val="28"/>
          <w:szCs w:val="28"/>
        </w:rPr>
        <w:fldChar w:fldCharType="begin"/>
      </w:r>
      <w:r>
        <w:rPr>
          <w:sz w:val="28"/>
          <w:szCs w:val="28"/>
        </w:rPr>
        <w:instrText xml:space="preserve"> HYPERLINK \l _Toc32676 </w:instrText>
      </w:r>
      <w:r>
        <w:rPr>
          <w:sz w:val="28"/>
          <w:szCs w:val="28"/>
        </w:rPr>
        <w:fldChar w:fldCharType="separate"/>
      </w:r>
      <w:r>
        <w:rPr>
          <w:rFonts w:hint="eastAsia" w:ascii="Times New Roman" w:hAnsi="Times New Roman" w:eastAsia="方正小标宋_GBK" w:cs="Times New Roman"/>
          <w:bCs/>
          <w:snapToGrid/>
          <w:sz w:val="28"/>
          <w:szCs w:val="40"/>
          <w:lang w:val="en-US" w:eastAsia="zh-CN"/>
        </w:rPr>
        <w:t xml:space="preserve">第五章 </w:t>
      </w:r>
      <w:r>
        <w:rPr>
          <w:rFonts w:ascii="Times New Roman" w:hAnsi="Times New Roman" w:eastAsia="方正小标宋_GBK" w:cs="Times New Roman"/>
          <w:bCs/>
          <w:snapToGrid/>
          <w:sz w:val="28"/>
          <w:szCs w:val="40"/>
          <w:lang w:val="en-US" w:eastAsia="zh-CN"/>
        </w:rPr>
        <w:t>保障措施</w:t>
      </w:r>
      <w:r>
        <w:rPr>
          <w:sz w:val="28"/>
          <w:szCs w:val="28"/>
        </w:rPr>
        <w:tab/>
      </w:r>
      <w:r>
        <w:rPr>
          <w:sz w:val="28"/>
          <w:szCs w:val="28"/>
        </w:rPr>
        <w:fldChar w:fldCharType="begin"/>
      </w:r>
      <w:r>
        <w:rPr>
          <w:sz w:val="28"/>
          <w:szCs w:val="28"/>
        </w:rPr>
        <w:instrText xml:space="preserve"> PAGEREF _Toc32676 \h </w:instrText>
      </w:r>
      <w:r>
        <w:rPr>
          <w:sz w:val="28"/>
          <w:szCs w:val="28"/>
        </w:rPr>
        <w:fldChar w:fldCharType="separate"/>
      </w:r>
      <w:r>
        <w:rPr>
          <w:sz w:val="28"/>
          <w:szCs w:val="28"/>
        </w:rPr>
        <w:t>68</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_Toc376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第一节 组织保障</w:t>
      </w:r>
      <w:r>
        <w:rPr>
          <w:sz w:val="28"/>
          <w:szCs w:val="28"/>
        </w:rPr>
        <w:tab/>
      </w:r>
      <w:r>
        <w:rPr>
          <w:sz w:val="28"/>
          <w:szCs w:val="28"/>
        </w:rPr>
        <w:fldChar w:fldCharType="begin"/>
      </w:r>
      <w:r>
        <w:rPr>
          <w:sz w:val="28"/>
          <w:szCs w:val="28"/>
        </w:rPr>
        <w:instrText xml:space="preserve"> PAGEREF _Toc376 \h </w:instrText>
      </w:r>
      <w:r>
        <w:rPr>
          <w:sz w:val="28"/>
          <w:szCs w:val="28"/>
        </w:rPr>
        <w:fldChar w:fldCharType="separate"/>
      </w:r>
      <w:r>
        <w:rPr>
          <w:sz w:val="28"/>
          <w:szCs w:val="28"/>
        </w:rPr>
        <w:t>68</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_Toc21863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第二节 法治保障</w:t>
      </w:r>
      <w:r>
        <w:rPr>
          <w:sz w:val="28"/>
          <w:szCs w:val="28"/>
        </w:rPr>
        <w:tab/>
      </w:r>
      <w:r>
        <w:rPr>
          <w:sz w:val="28"/>
          <w:szCs w:val="28"/>
        </w:rPr>
        <w:fldChar w:fldCharType="begin"/>
      </w:r>
      <w:r>
        <w:rPr>
          <w:sz w:val="28"/>
          <w:szCs w:val="28"/>
        </w:rPr>
        <w:instrText xml:space="preserve"> PAGEREF _Toc21863 \h </w:instrText>
      </w:r>
      <w:r>
        <w:rPr>
          <w:sz w:val="28"/>
          <w:szCs w:val="28"/>
        </w:rPr>
        <w:fldChar w:fldCharType="separate"/>
      </w:r>
      <w:r>
        <w:rPr>
          <w:sz w:val="28"/>
          <w:szCs w:val="28"/>
        </w:rPr>
        <w:t>68</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_Toc1991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第三节 政策保障</w:t>
      </w:r>
      <w:r>
        <w:rPr>
          <w:sz w:val="28"/>
          <w:szCs w:val="28"/>
        </w:rPr>
        <w:tab/>
      </w:r>
      <w:r>
        <w:rPr>
          <w:sz w:val="28"/>
          <w:szCs w:val="28"/>
        </w:rPr>
        <w:fldChar w:fldCharType="begin"/>
      </w:r>
      <w:r>
        <w:rPr>
          <w:sz w:val="28"/>
          <w:szCs w:val="28"/>
        </w:rPr>
        <w:instrText xml:space="preserve"> PAGEREF _Toc1991 \h </w:instrText>
      </w:r>
      <w:r>
        <w:rPr>
          <w:sz w:val="28"/>
          <w:szCs w:val="28"/>
        </w:rPr>
        <w:fldChar w:fldCharType="separate"/>
      </w:r>
      <w:r>
        <w:rPr>
          <w:sz w:val="28"/>
          <w:szCs w:val="28"/>
        </w:rPr>
        <w:t>69</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_Toc30418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第四节 资金保障</w:t>
      </w:r>
      <w:r>
        <w:rPr>
          <w:sz w:val="28"/>
          <w:szCs w:val="28"/>
        </w:rPr>
        <w:tab/>
      </w:r>
      <w:r>
        <w:rPr>
          <w:sz w:val="28"/>
          <w:szCs w:val="28"/>
        </w:rPr>
        <w:fldChar w:fldCharType="begin"/>
      </w:r>
      <w:r>
        <w:rPr>
          <w:sz w:val="28"/>
          <w:szCs w:val="28"/>
        </w:rPr>
        <w:instrText xml:space="preserve"> PAGEREF _Toc30418 \h </w:instrText>
      </w:r>
      <w:r>
        <w:rPr>
          <w:sz w:val="28"/>
          <w:szCs w:val="28"/>
        </w:rPr>
        <w:fldChar w:fldCharType="separate"/>
      </w:r>
      <w:r>
        <w:rPr>
          <w:sz w:val="28"/>
          <w:szCs w:val="28"/>
        </w:rPr>
        <w:t>70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_Toc9503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第五节 空间保障</w:t>
      </w:r>
      <w:r>
        <w:rPr>
          <w:sz w:val="28"/>
          <w:szCs w:val="28"/>
        </w:rPr>
        <w:tab/>
      </w:r>
      <w:r>
        <w:rPr>
          <w:sz w:val="28"/>
          <w:szCs w:val="28"/>
        </w:rPr>
        <w:fldChar w:fldCharType="begin"/>
      </w:r>
      <w:r>
        <w:rPr>
          <w:sz w:val="28"/>
          <w:szCs w:val="28"/>
        </w:rPr>
        <w:instrText xml:space="preserve"> PAGEREF _Toc9503 \h </w:instrText>
      </w:r>
      <w:r>
        <w:rPr>
          <w:sz w:val="28"/>
          <w:szCs w:val="28"/>
        </w:rPr>
        <w:fldChar w:fldCharType="separate"/>
      </w:r>
      <w:r>
        <w:rPr>
          <w:sz w:val="28"/>
          <w:szCs w:val="28"/>
        </w:rPr>
        <w:t>70</w:t>
      </w:r>
      <w:r>
        <w:rPr>
          <w:sz w:val="28"/>
          <w:szCs w:val="28"/>
        </w:rPr>
        <w:fldChar w:fldCharType="end"/>
      </w:r>
      <w:r>
        <w:rPr>
          <w:color w:val="000000"/>
          <w:sz w:val="28"/>
          <w:szCs w:val="28"/>
        </w:rPr>
        <w:fldChar w:fldCharType="end"/>
      </w:r>
    </w:p>
    <w:p>
      <w:pPr>
        <w:pStyle w:val="000014"/>
        <w:tabs>
          <w:tab w:val="right" w:leader="dot" w:pos="8311"/>
        </w:tabs>
        <w:ind/>
        <w:rPr>
          <w:sz w:val="28"/>
          <w:szCs w:val="28"/>
        </w:rPr>
      </w:pPr>
      <w:r>
        <w:rPr>
          <w:color w:val="000000"/>
          <w:sz w:val="28"/>
          <w:szCs w:val="28"/>
        </w:rPr>
        <w:fldChar w:fldCharType="begin"/>
      </w:r>
      <w:r>
        <w:rPr>
          <w:sz w:val="28"/>
          <w:szCs w:val="28"/>
        </w:rPr>
        <w:instrText xml:space="preserve"> HYPERLINK \l _Toc15897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第六节 科技保障</w:t>
      </w:r>
      <w:r>
        <w:rPr>
          <w:sz w:val="28"/>
          <w:szCs w:val="28"/>
        </w:rPr>
        <w:tab/>
      </w:r>
      <w:r>
        <w:rPr>
          <w:sz w:val="28"/>
          <w:szCs w:val="28"/>
        </w:rPr>
        <w:fldChar w:fldCharType="begin"/>
      </w:r>
      <w:r>
        <w:rPr>
          <w:sz w:val="28"/>
          <w:szCs w:val="28"/>
        </w:rPr>
        <w:instrText xml:space="preserve"> PAGEREF _Toc15897 \h </w:instrText>
      </w:r>
      <w:r>
        <w:rPr>
          <w:sz w:val="28"/>
          <w:szCs w:val="28"/>
        </w:rPr>
        <w:fldChar w:fldCharType="separate"/>
      </w:r>
      <w:r>
        <w:rPr>
          <w:sz w:val="28"/>
          <w:szCs w:val="28"/>
        </w:rPr>
        <w:t>71</w:t>
      </w:r>
      <w:r>
        <w:rPr>
          <w:sz w:val="28"/>
          <w:szCs w:val="28"/>
        </w:rPr>
        <w:fldChar w:fldCharType="end"/>
      </w:r>
      <w:r>
        <w:rPr>
          <w:color w:val="000000"/>
          <w:sz w:val="28"/>
          <w:szCs w:val="28"/>
        </w:rPr>
        <w:fldChar w:fldCharType="end"/>
      </w:r>
    </w:p>
    <w:p>
      <w:pPr>
        <w:pStyle w:val="000014"/>
        <w:tabs>
          <w:tab w:val="right" w:leader="dot" w:pos="8311"/>
        </w:tabs>
        <w:ind/>
        <w:rPr/>
      </w:pPr>
      <w:r>
        <w:rPr>
          <w:color w:val="000000"/>
          <w:sz w:val="28"/>
          <w:szCs w:val="28"/>
        </w:rPr>
        <w:fldChar w:fldCharType="begin"/>
      </w:r>
      <w:r>
        <w:rPr>
          <w:sz w:val="28"/>
          <w:szCs w:val="28"/>
        </w:rPr>
        <w:instrText xml:space="preserve"> HYPERLINK \l _Toc1273 </w:instrText>
      </w:r>
      <w:r>
        <w:rPr>
          <w:sz w:val="28"/>
          <w:szCs w:val="28"/>
        </w:rPr>
        <w:fldChar w:fldCharType="separate"/>
      </w:r>
      <w:r>
        <w:rPr>
          <w:rFonts w:hint="eastAsia" w:ascii="方正楷体_GBK" w:hAnsi="方正楷体_GBK" w:eastAsia="方正楷体_GBK" w:cs="方正楷体_GBK"/>
          <w:bCs/>
          <w:snapToGrid/>
          <w:sz w:val="28"/>
          <w:szCs w:val="48"/>
          <w:lang w:val="en-US" w:eastAsia="zh-CN"/>
        </w:rPr>
        <w:t>第七节 实施保障</w:t>
      </w:r>
      <w:r>
        <w:rPr>
          <w:sz w:val="28"/>
          <w:szCs w:val="28"/>
        </w:rPr>
        <w:tab/>
      </w:r>
      <w:r>
        <w:rPr>
          <w:sz w:val="28"/>
          <w:szCs w:val="28"/>
        </w:rPr>
        <w:fldChar w:fldCharType="begin"/>
      </w:r>
      <w:r>
        <w:rPr>
          <w:sz w:val="28"/>
          <w:szCs w:val="28"/>
        </w:rPr>
        <w:instrText xml:space="preserve"> PAGEREF _Toc1273 \h </w:instrText>
      </w:r>
      <w:r>
        <w:rPr>
          <w:sz w:val="28"/>
          <w:szCs w:val="28"/>
        </w:rPr>
        <w:fldChar w:fldCharType="separate"/>
      </w:r>
      <w:r>
        <w:rPr>
          <w:sz w:val="28"/>
          <w:szCs w:val="28"/>
        </w:rPr>
        <w:t>72</w:t>
      </w:r>
      <w:r>
        <w:rPr>
          <w:sz w:val="28"/>
          <w:szCs w:val="28"/>
        </w:rPr>
        <w:fldChar w:fldCharType="end"/>
      </w:r>
      <w:r>
        <w:rPr>
          <w:color w:val="000000"/>
          <w:sz w:val="28"/>
          <w:szCs w:val="28"/>
        </w:rPr>
        <w:fldChar w:fldCharType="end"/>
      </w:r>
    </w:p>
    <w:p>
      <w:pPr>
        <w:pStyle w:val="000001"/>
        <w:pageBreakBefore w:val="false"/>
        <w:kinsoku/>
        <w:wordWrap/>
        <w:overflowPunct/>
        <w:topLinePunct w:val="false"/>
        <w:bidi w:val="false"/>
        <w:ind/>
        <w:rPr>
          <w:color w:val="000000"/>
        </w:rPr>
      </w:pPr>
      <w:r>
        <w:rPr>
          <w:color w:val="000000"/>
        </w:rPr>
        <w:fldChar w:fldCharType="end"/>
      </w:r>
    </w:p>
    <w:p>
      <w:pPr>
        <w:pStyle w:val="000001"/>
        <w:pageBreakBefore w:val="false"/>
        <w:kinsoku/>
        <w:wordWrap/>
        <w:overflowPunct/>
        <w:topLinePunct w:val="false"/>
        <w:bidi w:val="false"/>
        <w:ind/>
        <w:rPr>
          <w:color w:val="000000"/>
        </w:rPr>
      </w:pPr>
    </w:p>
    <w:p>
      <w:pPr>
        <w:pStyle w:val="000002"/>
        <w:pageBreakBefore w:val="false"/>
        <w:kinsoku/>
        <w:wordWrap/>
        <w:overflowPunct/>
        <w:topLinePunct w:val="false"/>
        <w:bidi w:val="false"/>
        <w:ind/>
        <w:rPr>
          <w:rFonts w:ascii="Times New Roman" w:hAnsi="Times New Roman" w:cs="Times New Roman"/>
          <w:color w:val="000000"/>
        </w:rPr>
      </w:pPr>
    </w:p>
    <w:bookmarkStart w:id="6" w:name="bookmark1"/>
    <w:bookmarkEnd w:id="6"/>
    <w:bookmarkStart w:id="7" w:name="bookmark110"/>
    <w:bookmarkEnd w:id="7"/>
    <w:bookmarkStart w:id="8" w:name="_Toc10114"/>
    <w:bookmarkStart w:id="9" w:name="_Toc21074"/>
    <w:bookmarkStart w:id="10" w:name="_Toc28753"/>
    <w:bookmarkStart w:id="11" w:name="_Toc10652"/>
    <w:p>
      <w:pPr>
        <w:sectPr>
          <w:headerReference r:id="rId11" w:type="even"/>
          <w:footerReference r:id="rId13" w:type="even"/>
          <w:footerReference r:id="rId12" w:type="default"/>
          <w:type w:val="nextPage"/>
          <w:pgSz w:w="11905" w:h="16840"/>
          <w:pgMar w:top="1440" w:right="1797" w:bottom="1440" w:left="1797" w:header="1134" w:footer="1134" w:gutter="0"/>
          <w:pgNumType w:fmt="lowerRoman" w:start="1"/>
          <w:cols/>
          <w:docGrid/>
        </w:sectPr>
      </w:pPr>
    </w:p>
    <w:bookmarkStart w:id="12" w:name="_Toc5050"/>
    <w:p>
      <w:pPr>
        <w:pStyle w:val="000004"/>
        <w:keepNext/>
        <w:keepLines/>
        <w:pageBreakBefore w:val="false"/>
        <w:widowControl w:val="false"/>
        <w:numPr>
          <w:ilvl w:val="0"/>
          <w:numId w:val="1"/>
        </w:numPr>
        <w:shd w:val="clear" w:color="auto" w:fill="auto"/>
        <w:tabs>
          <w:tab w:val="clear" w:pos="0"/>
        </w:tabs>
        <w:kinsoku/>
        <w:wordWrap/>
        <w:overflowPunct/>
        <w:topLinePunct w:val="false"/>
        <w:autoSpaceDE/>
        <w:autoSpaceDN/>
        <w:bidi w:val="false"/>
        <w:spacing w:before="0" w:after="0" w:line="240" w:lineRule="auto"/>
        <w:ind w:left="0" w:leftChars="0" w:firstLine="0" w:firstLineChars="0"/>
        <w:rPr>
          <w:rFonts w:ascii="Times New Roman" w:hAnsi="Times New Roman" w:eastAsia="方正小标宋_GBK" w:cs="Times New Roman"/>
          <w:bCs/>
          <w:snapToGrid/>
          <w:color w:val="000000"/>
          <w:szCs w:val="28"/>
          <w:lang w:val="en-US" w:eastAsia="zh-CN"/>
        </w:rPr>
      </w:pPr>
      <w:r>
        <w:rPr>
          <w:rFonts w:ascii="Times New Roman" w:hAnsi="Times New Roman" w:eastAsia="方正小标宋_GBK" w:cs="Times New Roman"/>
          <w:bCs/>
          <w:snapToGrid/>
          <w:color w:val="000000"/>
          <w:szCs w:val="28"/>
          <w:lang w:val="en-US" w:eastAsia="zh-CN"/>
        </w:rPr>
        <w:t>发展背景</w:t>
      </w:r>
      <w:bookmarkEnd w:id="8"/>
      <w:bookmarkEnd w:id="9"/>
      <w:bookmarkEnd w:id="10"/>
      <w:bookmarkEnd w:id="11"/>
      <w:bookmarkEnd w:id="12"/>
    </w:p>
    <w:bookmarkStart w:id="13" w:name="bookmark2"/>
    <w:bookmarkEnd w:id="13"/>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党的十八大</w:t>
      </w:r>
      <w:r>
        <w:rPr>
          <w:rFonts w:ascii="Times New Roman" w:hAnsi="Times New Roman" w:eastAsia="仿宋" w:cs="Times New Roman"/>
          <w:color w:val="000000"/>
          <w:spacing w:val="-6"/>
          <w:sz w:val="28"/>
          <w:szCs w:val="28"/>
          <w:lang w:val="en-US" w:eastAsia="zh-CN"/>
        </w:rPr>
        <w:t>以来，在习近平生态文明思想指引下，全县上下深入贯彻党中央、国务院决策部署和市委、市政府及县委、县政府工作要求，深入践行绿水青山就是金山银山理念，依托良好的资源禀赋、区位条件、产业基础，不断发展壮大林草产业，延长产业链、提升价值链、优化供应链，产业体系不断完善，林业产品更加丰富，新产业新业态不断推陈出新，林草产业蓬勃发展。</w:t>
      </w:r>
    </w:p>
    <w:bookmarkStart w:id="14" w:name="_Toc31460"/>
    <w:bookmarkStart w:id="15" w:name="_Toc15610"/>
    <w:bookmarkStart w:id="16" w:name="_Toc5989"/>
    <w:bookmarkStart w:id="17" w:name="_Toc10133"/>
    <w:bookmarkStart w:id="18" w:name="_Toc25268"/>
    <w:p>
      <w:pPr>
        <w:pStyle w:val="000006"/>
        <w:keepNext/>
        <w:keepLines/>
        <w:pageBreakBefore w:val="false"/>
        <w:widowControl w:val="false"/>
        <w:numPr>
          <w:ilvl w:val="0"/>
          <w:numId w:val="2"/>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发展基础</w:t>
      </w:r>
      <w:bookmarkEnd w:id="14"/>
      <w:bookmarkEnd w:id="15"/>
      <w:bookmarkEnd w:id="16"/>
      <w:bookmarkEnd w:id="17"/>
      <w:bookmarkEnd w:id="18"/>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——区位交通</w:t>
      </w:r>
      <w:r>
        <w:rPr>
          <w:rFonts w:hint="eastAsia" w:ascii="方正楷体_GBK" w:hAnsi="方正楷体_GBK" w:eastAsia="方正楷体_GBK" w:cs="方正楷体_GBK"/>
          <w:color w:val="000000"/>
          <w:spacing w:val="-6"/>
          <w:sz w:val="28"/>
          <w:szCs w:val="28"/>
          <w:lang w:val="en-US" w:eastAsia="zh-CN"/>
        </w:rPr>
        <w:t>优势为产业发展蓄势</w:t>
      </w:r>
      <w:r>
        <w:rPr>
          <w:rFonts w:ascii="方正楷体_GBK" w:hAnsi="方正楷体_GBK" w:eastAsia="方正楷体_GBK" w:cs="方正楷体_GBK"/>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石柱县地处</w:t>
      </w:r>
      <w:r>
        <w:rPr>
          <w:rFonts w:hint="eastAsia" w:ascii="Times New Roman" w:hAnsi="Times New Roman" w:eastAsia="仿宋" w:cs="Times New Roman"/>
          <w:color w:val="000000"/>
          <w:spacing w:val="-6"/>
          <w:sz w:val="28"/>
          <w:szCs w:val="28"/>
          <w:lang w:val="en-US" w:eastAsia="zh-CN"/>
        </w:rPr>
        <w:t>重庆东部</w:t>
      </w:r>
      <w:r>
        <w:rPr>
          <w:rFonts w:ascii="Times New Roman" w:hAnsi="Times New Roman" w:eastAsia="仿宋" w:cs="Times New Roman"/>
          <w:color w:val="000000"/>
          <w:spacing w:val="-6"/>
          <w:sz w:val="28"/>
          <w:szCs w:val="28"/>
          <w:lang w:val="en-US" w:eastAsia="zh-CN"/>
        </w:rPr>
        <w:t>、渝东北三峡库区城镇群与渝东南武陵山区城镇群重要联结点，扼守着巴蜀地区向东的交通</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咽喉</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，是成渝双城</w:t>
      </w:r>
      <w:r>
        <w:rPr>
          <w:rFonts w:hint="eastAsia" w:ascii="Times New Roman" w:hAnsi="Times New Roman" w:eastAsia="仿宋" w:cs="Times New Roman"/>
          <w:color w:val="000000"/>
          <w:spacing w:val="-6"/>
          <w:sz w:val="28"/>
          <w:szCs w:val="28"/>
          <w:lang w:val="en-US" w:eastAsia="zh-CN"/>
        </w:rPr>
        <w:t>经济圈建设“</w:t>
      </w:r>
      <w:r>
        <w:rPr>
          <w:rFonts w:ascii="Times New Roman" w:hAnsi="Times New Roman" w:eastAsia="仿宋" w:cs="Times New Roman"/>
          <w:color w:val="000000"/>
          <w:spacing w:val="-6"/>
          <w:sz w:val="28"/>
          <w:szCs w:val="28"/>
          <w:lang w:val="en-US" w:eastAsia="zh-CN"/>
        </w:rPr>
        <w:t>桥头堡</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、重庆向东南方向出口点，区位优势明显。目前已拥有渝利铁路、沪渝高速公路、丰石高速公路、沿江高速公路</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石黔高速公路和正在建设的西沱长江深水港口，让石柱实现了1小时</w:t>
      </w:r>
      <w:r>
        <w:rPr>
          <w:rFonts w:hint="eastAsia" w:ascii="Times New Roman" w:hAnsi="Times New Roman" w:eastAsia="仿宋" w:cs="Times New Roman"/>
          <w:color w:val="000000"/>
          <w:spacing w:val="-6"/>
          <w:sz w:val="28"/>
          <w:szCs w:val="28"/>
          <w:lang w:val="en-US" w:eastAsia="zh-CN"/>
        </w:rPr>
        <w:t>到主城</w:t>
      </w:r>
      <w:r>
        <w:rPr>
          <w:rFonts w:ascii="Times New Roman" w:hAnsi="Times New Roman" w:eastAsia="仿宋" w:cs="Times New Roman"/>
          <w:color w:val="000000"/>
          <w:spacing w:val="-6"/>
          <w:sz w:val="28"/>
          <w:szCs w:val="28"/>
          <w:lang w:val="en-US" w:eastAsia="zh-CN"/>
        </w:rPr>
        <w:t>、3—4小时</w:t>
      </w:r>
      <w:r>
        <w:rPr>
          <w:rFonts w:hint="eastAsia" w:ascii="Times New Roman" w:hAnsi="Times New Roman" w:eastAsia="仿宋" w:cs="Times New Roman"/>
          <w:color w:val="000000"/>
          <w:spacing w:val="-6"/>
          <w:sz w:val="28"/>
          <w:szCs w:val="28"/>
          <w:lang w:val="en-US" w:eastAsia="zh-CN"/>
        </w:rPr>
        <w:t>到成都</w:t>
      </w:r>
      <w:r>
        <w:rPr>
          <w:rFonts w:ascii="Times New Roman" w:hAnsi="Times New Roman" w:eastAsia="仿宋" w:cs="Times New Roman"/>
          <w:color w:val="000000"/>
          <w:spacing w:val="-6"/>
          <w:sz w:val="28"/>
          <w:szCs w:val="28"/>
          <w:lang w:val="en-US" w:eastAsia="zh-CN"/>
        </w:rPr>
        <w:t>、5小时</w:t>
      </w:r>
      <w:r>
        <w:rPr>
          <w:rFonts w:hint="eastAsia" w:ascii="Times New Roman" w:hAnsi="Times New Roman" w:eastAsia="仿宋" w:cs="Times New Roman"/>
          <w:color w:val="000000"/>
          <w:spacing w:val="-6"/>
          <w:sz w:val="28"/>
          <w:szCs w:val="28"/>
          <w:lang w:val="en-US" w:eastAsia="zh-CN"/>
        </w:rPr>
        <w:t>到武汉</w:t>
      </w:r>
      <w:r>
        <w:rPr>
          <w:rFonts w:ascii="Times New Roman" w:hAnsi="Times New Roman" w:eastAsia="仿宋" w:cs="Times New Roman"/>
          <w:color w:val="000000"/>
          <w:spacing w:val="-6"/>
          <w:sz w:val="28"/>
          <w:szCs w:val="28"/>
          <w:lang w:val="en-US" w:eastAsia="zh-CN"/>
        </w:rPr>
        <w:t>及0.5小时</w:t>
      </w:r>
      <w:r>
        <w:rPr>
          <w:rFonts w:hint="eastAsia" w:ascii="Times New Roman" w:hAnsi="Times New Roman" w:eastAsia="仿宋" w:cs="Times New Roman"/>
          <w:color w:val="000000"/>
          <w:spacing w:val="-6"/>
          <w:sz w:val="28"/>
          <w:szCs w:val="28"/>
          <w:lang w:val="en-US" w:eastAsia="zh-CN"/>
        </w:rPr>
        <w:t>到周边，</w:t>
      </w:r>
      <w:r>
        <w:rPr>
          <w:rFonts w:ascii="Times New Roman" w:hAnsi="Times New Roman" w:eastAsia="仿宋" w:cs="Times New Roman"/>
          <w:color w:val="000000"/>
          <w:spacing w:val="-6"/>
          <w:sz w:val="28"/>
          <w:szCs w:val="28"/>
          <w:lang w:val="en-US" w:eastAsia="zh-CN"/>
        </w:rPr>
        <w:t>渝西高铁、宜涪高铁建成后，将进一步缩短至西安、成都及重庆主城的时空距离。同时，县内交通循环畅通，景区交通换乘方便，乡镇、景区通畅率达100%。</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——生态资源禀赋</w:t>
      </w:r>
      <w:r>
        <w:rPr>
          <w:rFonts w:hint="eastAsia" w:ascii="方正楷体_GBK" w:hAnsi="方正楷体_GBK" w:eastAsia="方正楷体_GBK" w:cs="方正楷体_GBK"/>
          <w:color w:val="000000"/>
          <w:spacing w:val="-6"/>
          <w:sz w:val="28"/>
          <w:szCs w:val="28"/>
          <w:lang w:val="en-US" w:eastAsia="zh-CN"/>
        </w:rPr>
        <w:t>为产业发展托底</w:t>
      </w:r>
      <w:r>
        <w:rPr>
          <w:rFonts w:ascii="方正楷体_GBK" w:hAnsi="方正楷体_GBK" w:eastAsia="方正楷体_GBK" w:cs="方正楷体_GBK"/>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石柱县地处武陵山区腹地、三峡库区腹心，是重庆市以森林资源赋能生态旅游和林下经济的</w:t>
      </w:r>
      <w:r>
        <w:rPr>
          <w:rFonts w:hint="eastAsia" w:ascii="Times New Roman" w:hAnsi="Times New Roman" w:eastAsia="仿宋" w:cs="Times New Roman"/>
          <w:color w:val="000000"/>
          <w:spacing w:val="-6"/>
          <w:sz w:val="28"/>
          <w:szCs w:val="28"/>
          <w:lang w:val="en-US" w:eastAsia="zh-CN"/>
        </w:rPr>
        <w:t>示范</w:t>
      </w:r>
      <w:r>
        <w:rPr>
          <w:rFonts w:ascii="Times New Roman" w:hAnsi="Times New Roman" w:eastAsia="仿宋" w:cs="Times New Roman"/>
          <w:color w:val="000000"/>
          <w:spacing w:val="-6"/>
          <w:sz w:val="28"/>
          <w:szCs w:val="28"/>
          <w:lang w:val="en-US" w:eastAsia="zh-CN"/>
        </w:rPr>
        <w:t>大县。根据石柱县第三次国土调查数据统计</w:t>
      </w:r>
      <w:r>
        <w:rPr>
          <w:rFonts w:hint="eastAsia" w:ascii="Times New Roman" w:hAnsi="Times New Roman" w:eastAsia="仿宋" w:cs="Times New Roman"/>
          <w:color w:val="000000"/>
          <w:spacing w:val="-6"/>
          <w:sz w:val="28"/>
          <w:szCs w:val="28"/>
          <w:lang w:val="en-US" w:eastAsia="zh-CN"/>
        </w:rPr>
        <w:t>结果</w:t>
      </w:r>
      <w:r>
        <w:rPr>
          <w:rFonts w:ascii="Times New Roman" w:hAnsi="Times New Roman" w:eastAsia="仿宋" w:cs="Times New Roman"/>
          <w:color w:val="000000"/>
          <w:spacing w:val="-6"/>
          <w:sz w:val="28"/>
          <w:szCs w:val="28"/>
          <w:lang w:val="en-US" w:eastAsia="zh-CN"/>
        </w:rPr>
        <w:t>，全县林地面积</w:t>
      </w:r>
      <w:r>
        <w:rPr>
          <w:rFonts w:hint="eastAsia" w:ascii="Times New Roman" w:hAnsi="Times New Roman" w:eastAsia="仿宋" w:cs="Times New Roman"/>
          <w:color w:val="000000"/>
          <w:spacing w:val="-6"/>
          <w:sz w:val="28"/>
          <w:szCs w:val="28"/>
          <w:lang w:val="en-US" w:eastAsia="zh-CN"/>
        </w:rPr>
        <w:t>327.6964</w:t>
      </w:r>
      <w:r>
        <w:rPr>
          <w:rFonts w:ascii="Times New Roman" w:hAnsi="Times New Roman" w:eastAsia="仿宋" w:cs="Times New Roman"/>
          <w:color w:val="000000"/>
          <w:spacing w:val="-6"/>
          <w:sz w:val="28"/>
          <w:szCs w:val="28"/>
          <w:lang w:val="en-US" w:eastAsia="zh-CN"/>
        </w:rPr>
        <w:t>万亩，活立木总蓄积</w:t>
      </w:r>
      <w:r>
        <w:rPr>
          <w:rFonts w:hint="eastAsia" w:ascii="Times New Roman" w:hAnsi="Times New Roman" w:eastAsia="仿宋" w:cs="Times New Roman"/>
          <w:color w:val="000000"/>
          <w:spacing w:val="-6"/>
          <w:sz w:val="28"/>
          <w:szCs w:val="28"/>
          <w:lang w:val="en-US" w:eastAsia="zh-CN"/>
        </w:rPr>
        <w:t>1939.2</w:t>
      </w:r>
      <w:r>
        <w:rPr>
          <w:rFonts w:ascii="Times New Roman" w:hAnsi="Times New Roman" w:eastAsia="仿宋" w:cs="Times New Roman"/>
          <w:color w:val="000000"/>
          <w:spacing w:val="-6"/>
          <w:sz w:val="28"/>
          <w:szCs w:val="28"/>
          <w:lang w:val="en-US" w:eastAsia="zh-CN"/>
        </w:rPr>
        <w:t>万立方米。拥有大风堡等自然保护地、</w:t>
      </w:r>
      <w:r>
        <w:rPr>
          <w:rFonts w:hint="eastAsia" w:ascii="Times New Roman" w:hAnsi="Times New Roman" w:eastAsia="仿宋" w:cs="Times New Roman"/>
          <w:color w:val="000000"/>
          <w:spacing w:val="-6"/>
          <w:sz w:val="28"/>
          <w:szCs w:val="28"/>
          <w:lang w:val="en-US" w:eastAsia="zh-CN"/>
        </w:rPr>
        <w:t>40</w:t>
      </w:r>
      <w:r>
        <w:rPr>
          <w:rFonts w:ascii="Times New Roman" w:hAnsi="Times New Roman" w:eastAsia="仿宋" w:cs="Times New Roman"/>
          <w:color w:val="000000"/>
          <w:spacing w:val="-6"/>
          <w:sz w:val="28"/>
          <w:szCs w:val="28"/>
          <w:lang w:val="en-US" w:eastAsia="zh-CN"/>
        </w:rPr>
        <w:t>种国家级保护植物。全县空气优良天数350天，年均负氧离子浓度达3000个/立方厘米，空气质量优良率达到95%，水质全面达标。石柱县还是中国黄连之乡、中国辣椒之乡和全球最大的莼菜生产基地，黄连生产系统入选中国重要农业文化遗产，有机天麻基地是</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全国有机农业示范基地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——持续深化改革为产业发展助力。</w:t>
      </w:r>
      <w:r>
        <w:rPr>
          <w:rFonts w:hint="eastAsia" w:ascii="Times New Roman" w:hAnsi="Times New Roman" w:eastAsia="仿宋" w:cs="Times New Roman"/>
          <w:color w:val="000000"/>
          <w:spacing w:val="-6"/>
          <w:sz w:val="28"/>
          <w:szCs w:val="28"/>
          <w:lang w:val="en-US" w:eastAsia="zh-CN"/>
        </w:rPr>
        <w:t>近年来，石柱县以深化集体林权改革为核心抓手，为林草产业发展注入强劲动力。创新建立“林连互利共生”林下种植经营管理模式，成功入选全国林业改革典型案例，并将模式经验全面推广至全县林地及各类林下种植场景，有效拓宽林下经济发展空间；积极创建集体林权制度改革先行示范区，深入推进天然林与公益林并轨、林下非木质资源利用、林业金融服务等配套改革，持续开展森林可持续经营试点，多维度改革举措协同发力，为林草产业高质量发展增添新引擎。</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——产业稳健发展促产业厚积薄发。</w:t>
      </w:r>
      <w:r>
        <w:rPr>
          <w:rFonts w:hint="eastAsia" w:ascii="Times New Roman" w:hAnsi="Times New Roman" w:eastAsia="仿宋" w:cs="Times New Roman"/>
          <w:color w:val="000000"/>
          <w:spacing w:val="-6"/>
          <w:sz w:val="28"/>
          <w:szCs w:val="28"/>
          <w:lang w:val="en-US" w:eastAsia="zh-CN"/>
        </w:rPr>
        <w:t>近年来，</w:t>
      </w:r>
      <w:r>
        <w:rPr>
          <w:rFonts w:ascii="Times New Roman" w:hAnsi="Times New Roman" w:eastAsia="仿宋" w:cs="Times New Roman"/>
          <w:color w:val="000000"/>
          <w:spacing w:val="-6"/>
          <w:sz w:val="28"/>
          <w:szCs w:val="28"/>
          <w:lang w:val="en-US" w:eastAsia="zh-CN"/>
        </w:rPr>
        <w:t>石柱县大力发展林草产业，推动产业规模实现快速增长。202</w:t>
      </w:r>
      <w:r>
        <w:rPr>
          <w:rFonts w:hint="eastAsia" w:ascii="Times New Roman" w:hAnsi="Times New Roman" w:eastAsia="仿宋" w:cs="Times New Roman"/>
          <w:color w:val="000000"/>
          <w:spacing w:val="-6"/>
          <w:sz w:val="28"/>
          <w:szCs w:val="28"/>
          <w:lang w:val="en-US" w:eastAsia="zh-CN"/>
        </w:rPr>
        <w:t>5</w:t>
      </w:r>
      <w:r>
        <w:rPr>
          <w:rFonts w:ascii="Times New Roman" w:hAnsi="Times New Roman" w:eastAsia="仿宋" w:cs="Times New Roman"/>
          <w:color w:val="000000"/>
          <w:spacing w:val="-6"/>
          <w:sz w:val="28"/>
          <w:szCs w:val="28"/>
          <w:lang w:val="en-US" w:eastAsia="zh-CN"/>
        </w:rPr>
        <w:t>年，全县林业总产值</w:t>
      </w:r>
      <w:r>
        <w:rPr>
          <w:rFonts w:hint="eastAsia" w:ascii="Times New Roman" w:hAnsi="Times New Roman" w:eastAsia="仿宋" w:cs="Times New Roman"/>
          <w:color w:val="000000"/>
          <w:spacing w:val="-6"/>
          <w:sz w:val="28"/>
          <w:szCs w:val="28"/>
          <w:lang w:val="en-US" w:eastAsia="zh-CN"/>
        </w:rPr>
        <w:t>84.26</w:t>
      </w:r>
      <w:r>
        <w:rPr>
          <w:rFonts w:ascii="Times New Roman" w:hAnsi="Times New Roman" w:eastAsia="仿宋" w:cs="Times New Roman"/>
          <w:color w:val="000000"/>
          <w:spacing w:val="-6"/>
          <w:sz w:val="28"/>
          <w:szCs w:val="28"/>
          <w:lang w:val="en-US" w:eastAsia="zh-CN"/>
        </w:rPr>
        <w:t>亿元。</w:t>
      </w:r>
      <w:r>
        <w:rPr>
          <w:rFonts w:ascii="Times New Roman" w:hAnsi="Times New Roman" w:eastAsia="仿宋" w:cs="Times New Roman"/>
          <w:color w:val="000000"/>
          <w:spacing w:val="-6"/>
          <w:sz w:val="28"/>
          <w:szCs w:val="28"/>
          <w:lang w:val="en-US" w:eastAsia="en-US"/>
        </w:rPr>
        <w:t>持续</w:t>
      </w:r>
      <w:r>
        <w:rPr>
          <w:rFonts w:hint="eastAsia" w:ascii="Times New Roman" w:hAnsi="Times New Roman" w:eastAsia="仿宋" w:cs="Times New Roman"/>
          <w:color w:val="000000"/>
          <w:spacing w:val="-6"/>
          <w:sz w:val="28"/>
          <w:szCs w:val="28"/>
          <w:lang w:val="en-US" w:eastAsia="zh-CN"/>
        </w:rPr>
        <w:t>做</w:t>
      </w:r>
      <w:r>
        <w:rPr>
          <w:rFonts w:ascii="Times New Roman" w:hAnsi="Times New Roman" w:eastAsia="仿宋" w:cs="Times New Roman"/>
          <w:color w:val="000000"/>
          <w:spacing w:val="-6"/>
          <w:sz w:val="28"/>
          <w:szCs w:val="28"/>
          <w:lang w:val="en-US" w:eastAsia="en-US"/>
        </w:rPr>
        <w:t>优特色种植业，在巩固黄连优势的基础上，衍生发展黄精、天麻等</w:t>
      </w:r>
      <w:r>
        <w:rPr>
          <w:rFonts w:hint="eastAsia" w:ascii="Times New Roman" w:hAnsi="Times New Roman" w:eastAsia="仿宋" w:cs="Times New Roman"/>
          <w:color w:val="000000"/>
          <w:spacing w:val="-6"/>
          <w:sz w:val="28"/>
          <w:szCs w:val="28"/>
          <w:lang w:val="en-US" w:eastAsia="zh-CN"/>
        </w:rPr>
        <w:t>林下</w:t>
      </w:r>
      <w:r>
        <w:rPr>
          <w:rFonts w:ascii="Times New Roman" w:hAnsi="Times New Roman" w:eastAsia="仿宋" w:cs="Times New Roman"/>
          <w:color w:val="000000"/>
          <w:spacing w:val="-6"/>
          <w:sz w:val="28"/>
          <w:szCs w:val="28"/>
          <w:lang w:val="en-US" w:eastAsia="en-US"/>
        </w:rPr>
        <w:t>中药材，推动林下经济产值快速增长，</w:t>
      </w:r>
      <w:r>
        <w:rPr>
          <w:rFonts w:ascii="Times New Roman" w:hAnsi="Times New Roman" w:eastAsia="仿宋" w:cs="Times New Roman"/>
          <w:color w:val="000000"/>
          <w:spacing w:val="-6"/>
          <w:sz w:val="28"/>
          <w:szCs w:val="28"/>
          <w:lang w:val="en-US" w:eastAsia="zh-CN"/>
        </w:rPr>
        <w:t>林下经济产值突破</w:t>
      </w:r>
      <w:r>
        <w:rPr>
          <w:rFonts w:hint="eastAsia" w:ascii="Times New Roman" w:hAnsi="Times New Roman" w:eastAsia="仿宋" w:cs="Times New Roman"/>
          <w:color w:val="000000"/>
          <w:spacing w:val="-6"/>
          <w:sz w:val="28"/>
          <w:szCs w:val="28"/>
          <w:lang w:val="en-US" w:eastAsia="zh-CN"/>
        </w:rPr>
        <w:t>35</w:t>
      </w:r>
      <w:r>
        <w:rPr>
          <w:rFonts w:ascii="Times New Roman" w:hAnsi="Times New Roman" w:eastAsia="仿宋" w:cs="Times New Roman"/>
          <w:color w:val="000000"/>
          <w:spacing w:val="-6"/>
          <w:sz w:val="28"/>
          <w:szCs w:val="28"/>
          <w:lang w:val="en-US" w:eastAsia="zh-CN"/>
        </w:rPr>
        <w:t>亿元，成为驱动产业发展的绝对主力。黄连种植规模和产量约占全国的60%、全球的50%</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黄连全产业链产值突破15亿元，成为全国乃至全球黄连产业的定价中心和资源高地。</w:t>
      </w:r>
      <w:r>
        <w:rPr>
          <w:rFonts w:ascii="Times New Roman" w:hAnsi="Times New Roman" w:eastAsia="仿宋" w:cs="Times New Roman"/>
          <w:color w:val="000000"/>
          <w:spacing w:val="-6"/>
          <w:sz w:val="28"/>
          <w:szCs w:val="28"/>
          <w:lang w:val="en-US" w:eastAsia="en-US"/>
        </w:rPr>
        <w:t>建成中小型木材加工企业</w:t>
      </w:r>
      <w:r>
        <w:rPr>
          <w:rFonts w:hint="eastAsia" w:ascii="Times New Roman" w:hAnsi="Times New Roman" w:eastAsia="仿宋" w:cs="Times New Roman"/>
          <w:color w:val="000000"/>
          <w:spacing w:val="-6"/>
          <w:sz w:val="28"/>
          <w:szCs w:val="28"/>
          <w:lang w:val="en-US" w:eastAsia="zh-CN"/>
        </w:rPr>
        <w:t>47</w:t>
      </w:r>
      <w:r>
        <w:rPr>
          <w:rFonts w:ascii="Times New Roman" w:hAnsi="Times New Roman" w:eastAsia="仿宋" w:cs="Times New Roman"/>
          <w:color w:val="000000"/>
          <w:spacing w:val="-6"/>
          <w:sz w:val="28"/>
          <w:szCs w:val="28"/>
          <w:lang w:val="en-US" w:eastAsia="en-US"/>
        </w:rPr>
        <w:t>家，涵盖原木加工、板材生产等环节，产业链加快向精深加工延伸。黄连深加工体系逐步完善，衍生医药、日化等20余种深加工产品。</w:t>
      </w:r>
      <w:r>
        <w:rPr>
          <w:rFonts w:ascii="Times New Roman" w:hAnsi="Times New Roman" w:eastAsia="仿宋" w:cs="Times New Roman"/>
          <w:color w:val="000000"/>
          <w:spacing w:val="-6"/>
          <w:sz w:val="28"/>
          <w:szCs w:val="28"/>
          <w:lang w:val="en-US" w:eastAsia="zh-CN"/>
        </w:rPr>
        <w:t>全面打造</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森林康养体系</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，成功创建国家4A级森林景区</w:t>
      </w:r>
      <w:r>
        <w:rPr>
          <w:rFonts w:hint="eastAsia" w:ascii="Times New Roman" w:hAnsi="Times New Roman" w:eastAsia="仿宋" w:cs="Times New Roman"/>
          <w:color w:val="000000"/>
          <w:spacing w:val="-6"/>
          <w:sz w:val="28"/>
          <w:szCs w:val="28"/>
          <w:lang w:val="en-US" w:eastAsia="zh-CN"/>
        </w:rPr>
        <w:t>7</w:t>
      </w:r>
      <w:r>
        <w:rPr>
          <w:rFonts w:ascii="Times New Roman" w:hAnsi="Times New Roman" w:eastAsia="仿宋" w:cs="Times New Roman"/>
          <w:color w:val="000000"/>
          <w:spacing w:val="-6"/>
          <w:sz w:val="28"/>
          <w:szCs w:val="28"/>
          <w:lang w:val="en-US" w:eastAsia="zh-CN"/>
        </w:rPr>
        <w:t>个，市级森林康养基地6个，国家森林乡村9个，森林人家180家，是重庆市森林康养基地最多的县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以森林康养为主的旅游产业蓬勃发展</w:t>
      </w:r>
      <w:r>
        <w:rPr>
          <w:rFonts w:hint="eastAsia"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——品牌影响扩大为产业发展赋能。</w:t>
      </w:r>
      <w:r>
        <w:rPr>
          <w:rFonts w:ascii="Times New Roman" w:hAnsi="Times New Roman" w:eastAsia="仿宋" w:cs="Times New Roman"/>
          <w:color w:val="000000"/>
          <w:spacing w:val="-6"/>
          <w:sz w:val="28"/>
          <w:szCs w:val="28"/>
          <w:lang w:val="en-US" w:eastAsia="zh-CN"/>
        </w:rPr>
        <w:t>近年来，石柱县通过持续的品牌创建与市场深耕，</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石柱林草</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已从地方特色名片升级为全国性产业地标，为林草产业高质量发展持续赋能。成功获评</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全国首批国家森林康养基地县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中国森林氧吧</w:t>
      </w:r>
      <w:r>
        <w:rPr>
          <w:rFonts w:hint="eastAsia" w:ascii="Times New Roman" w:hAnsi="Times New Roman" w:eastAsia="仿宋" w:cs="Times New Roman"/>
          <w:color w:val="000000"/>
          <w:spacing w:val="-6"/>
          <w:sz w:val="28"/>
          <w:szCs w:val="28"/>
          <w:lang w:val="en-US" w:eastAsia="zh-CN"/>
        </w:rPr>
        <w:t>”等国家级荣誉称号</w:t>
      </w:r>
      <w:r>
        <w:rPr>
          <w:rFonts w:ascii="Times New Roman" w:hAnsi="Times New Roman" w:eastAsia="仿宋" w:cs="Times New Roman"/>
          <w:color w:val="000000"/>
          <w:spacing w:val="-6"/>
          <w:sz w:val="28"/>
          <w:szCs w:val="28"/>
          <w:lang w:val="en-US" w:eastAsia="zh-CN"/>
        </w:rPr>
        <w:t>，以黄水旅游度假区为核心的森林康养目的地，依托便捷的高铁交通网络，市场吸引力辐射整个川渝乃至华中地区；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中国黄连之乡</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地位进一步巩固，不仅坐拥全国最大黄连种植规模，还建成全国唯一的黄连专业交易市场，年交易量占全国九成份额，牢牢掌握黄连品种的定价权与资源调配主导权，品牌影响力持续转化为产业发展核心竞争力。</w:t>
      </w:r>
    </w:p>
    <w:bookmarkStart w:id="19" w:name="_Toc13331"/>
    <w:bookmarkStart w:id="20" w:name="_Toc19739"/>
    <w:p>
      <w:pPr>
        <w:pStyle w:val="000006"/>
        <w:keepNext/>
        <w:keepLines/>
        <w:pageBreakBefore w:val="false"/>
        <w:widowControl w:val="false"/>
        <w:numPr>
          <w:ilvl w:val="0"/>
          <w:numId w:val="2"/>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存在问题</w:t>
      </w:r>
      <w:bookmarkEnd w:id="19"/>
      <w:bookmarkEnd w:id="20"/>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——森林资源“大而不优”。</w:t>
      </w:r>
      <w:r>
        <w:rPr>
          <w:rFonts w:ascii="Times New Roman" w:hAnsi="Times New Roman" w:eastAsia="仿宋" w:cs="Times New Roman"/>
          <w:color w:val="000000"/>
          <w:spacing w:val="-6"/>
          <w:sz w:val="28"/>
          <w:szCs w:val="28"/>
          <w:lang w:val="en-US" w:eastAsia="zh-CN"/>
        </w:rPr>
        <w:t>全县森林资源总量可观，但质量效益短板明显。一是森林质量偏低。现状亩均森林蓄积量仅</w:t>
      </w:r>
      <w:r>
        <w:rPr>
          <w:rFonts w:hint="eastAsia" w:ascii="Times New Roman" w:hAnsi="Times New Roman" w:eastAsia="仿宋" w:cs="Times New Roman"/>
          <w:color w:val="000000"/>
          <w:spacing w:val="-6"/>
          <w:sz w:val="28"/>
          <w:szCs w:val="28"/>
          <w:lang w:val="en-US" w:eastAsia="zh-CN"/>
        </w:rPr>
        <w:t>6.8</w:t>
      </w:r>
      <w:r>
        <w:rPr>
          <w:rFonts w:ascii="Times New Roman" w:hAnsi="Times New Roman" w:eastAsia="仿宋" w:cs="Times New Roman"/>
          <w:color w:val="000000"/>
          <w:spacing w:val="-6"/>
          <w:sz w:val="28"/>
          <w:szCs w:val="28"/>
          <w:lang w:val="en-US" w:eastAsia="zh-CN"/>
        </w:rPr>
        <w:t>立方米，大径材、珍稀树种供应能力不足，难以支撑高端木材加工需求。二是林分结构不合理。中幼龄林占比65%，近成熟林仅20%</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马尾松、柏木等针叶纯林占比超70%，珍贵阔叶树种不足15%，生物多样性低、抗病虫害能力弱。</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——产业发展“散而不强”。</w:t>
      </w:r>
      <w:r>
        <w:rPr>
          <w:rFonts w:ascii="Times New Roman" w:hAnsi="Times New Roman" w:eastAsia="仿宋" w:cs="Times New Roman"/>
          <w:color w:val="000000"/>
          <w:spacing w:val="-6"/>
          <w:sz w:val="28"/>
          <w:szCs w:val="28"/>
          <w:lang w:val="en-US" w:eastAsia="zh-CN"/>
        </w:rPr>
        <w:t>全县林草产业形态呈现出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小、散、弱</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的特征。一是产业布局碎片化。全县虽有各类</w:t>
      </w:r>
      <w:r>
        <w:rPr>
          <w:rFonts w:hint="eastAsia" w:ascii="Times New Roman" w:hAnsi="Times New Roman" w:eastAsia="仿宋" w:cs="Times New Roman"/>
          <w:color w:val="000000"/>
          <w:spacing w:val="-6"/>
          <w:sz w:val="28"/>
          <w:szCs w:val="28"/>
          <w:lang w:val="en-US" w:eastAsia="zh-CN"/>
        </w:rPr>
        <w:t>林草产业</w:t>
      </w:r>
      <w:r>
        <w:rPr>
          <w:rFonts w:ascii="Times New Roman" w:hAnsi="Times New Roman" w:eastAsia="仿宋" w:cs="Times New Roman"/>
          <w:color w:val="000000"/>
          <w:spacing w:val="-6"/>
          <w:sz w:val="28"/>
          <w:szCs w:val="28"/>
          <w:lang w:val="en-US" w:eastAsia="zh-CN"/>
        </w:rPr>
        <w:t>基地约130万亩，但品种多而杂，基地布局零星分散，未能形成集中连片的优势产业带，导致管理成本高，技术标准难以统一，规模效应无法显现。二是产业链条短且附加值低。现状林草产业中第二产业产值占比不足5%，远低于全国平均水平，且多以木材初级加工（锯材、板材）为主，精深加工产品（如高端家具、竹纤维制品）占比不足20%。林下中药材（黄连、天麻）等多以原材料供应和初级产品加工为主，中成药、日化产品（如黄连牙膏）等精深加工产品占比不足10%，产品附加值低，市场议价能力弱。三是新型经营主体带动能力有限。龙头企业数量少、体量小，专业合作社组织化程度不高，与林农的利益联结机制不够紧密，无法有效整合资源、对接市场、引领产业升级。</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——基础设施短板明显。</w:t>
      </w:r>
      <w:r>
        <w:rPr>
          <w:rFonts w:ascii="Times New Roman" w:hAnsi="Times New Roman" w:eastAsia="仿宋" w:cs="Times New Roman"/>
          <w:color w:val="000000"/>
          <w:spacing w:val="-6"/>
          <w:sz w:val="28"/>
          <w:szCs w:val="28"/>
          <w:lang w:val="en-US" w:eastAsia="zh-CN"/>
        </w:rPr>
        <w:t>基础设施是产业高质量发展的核心支撑，但石柱在此方面支撑明显不足。一是林区路网通行效能不足，物流成本居高不下。全县30%的林区道路属于等外公路，路面条件差、通行保障能力弱，晴通雨阻现象普遍存在；部分偏远林区尚未实现通路覆盖，物料运输和产品外运仍依赖人力背运，运输成本是常规道路运输成本的3倍，直接压缩了产业利润空间。二是产地仓储冷链体系不完善，产后损耗问题突出。目前全县产地冷链设施覆盖率不足30%，近45%的新鲜</w:t>
      </w:r>
      <w:r>
        <w:rPr>
          <w:rFonts w:hint="eastAsia" w:ascii="Times New Roman" w:hAnsi="Times New Roman" w:eastAsia="仿宋" w:cs="Times New Roman"/>
          <w:color w:val="000000"/>
          <w:spacing w:val="-6"/>
          <w:sz w:val="28"/>
          <w:szCs w:val="28"/>
          <w:lang w:val="en-US" w:eastAsia="zh-CN"/>
        </w:rPr>
        <w:t>林</w:t>
      </w:r>
      <w:r>
        <w:rPr>
          <w:rFonts w:ascii="Times New Roman" w:hAnsi="Times New Roman" w:eastAsia="仿宋" w:cs="Times New Roman"/>
          <w:color w:val="000000"/>
          <w:spacing w:val="-6"/>
          <w:sz w:val="28"/>
          <w:szCs w:val="28"/>
          <w:lang w:val="en-US" w:eastAsia="zh-CN"/>
        </w:rPr>
        <w:t>产品采收后24小时内无法进入冷链环节，产后损耗率高达12%，远高于5%的行业先进水平；村级预冷设施普遍缺失，80%的种植户仍采用传统自然晾晒方式处理</w:t>
      </w:r>
      <w:r>
        <w:rPr>
          <w:rFonts w:hint="eastAsia" w:ascii="Times New Roman" w:hAnsi="Times New Roman" w:eastAsia="仿宋" w:cs="Times New Roman"/>
          <w:color w:val="000000"/>
          <w:spacing w:val="-6"/>
          <w:sz w:val="28"/>
          <w:szCs w:val="28"/>
          <w:lang w:val="en-US" w:eastAsia="zh-CN"/>
        </w:rPr>
        <w:t>林</w:t>
      </w:r>
      <w:r>
        <w:rPr>
          <w:rFonts w:ascii="Times New Roman" w:hAnsi="Times New Roman" w:eastAsia="仿宋" w:cs="Times New Roman"/>
          <w:color w:val="000000"/>
          <w:spacing w:val="-6"/>
          <w:sz w:val="28"/>
          <w:szCs w:val="28"/>
          <w:lang w:val="en-US" w:eastAsia="zh-CN"/>
        </w:rPr>
        <w:t>产品，导致产品品相参差不齐、有效成分含量波动较大，产品市场竞争力难以稳定保障。三是灌溉保障与数字化服务能力滞后，产业抗风险能力较弱。节水灌溉系统仅覆盖15%的经济林种植区域，部分高海拔种植区缺乏常规灌溉设施，应对极端天气的抗灾能力不足，2023年干旱灾害中，未覆盖灌溉设施的区域作物减产幅度达25%，而已覆盖区域减产幅度仅为8%；同时产业数字化支撑体系尚未建立，缺乏“林地一张图”“产业大脑”等数字化管理平台，在林地资源动态监测、病虫害预警、市场供需分析等方面能力不足，难以对产业发展形成精准、高效的指导支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——科技支撑依然薄弱。</w:t>
      </w:r>
      <w:r>
        <w:rPr>
          <w:rFonts w:ascii="Times New Roman" w:hAnsi="Times New Roman" w:eastAsia="仿宋" w:cs="Times New Roman"/>
          <w:color w:val="000000"/>
          <w:spacing w:val="-6"/>
          <w:sz w:val="28"/>
          <w:szCs w:val="28"/>
          <w:lang w:val="en-US" w:eastAsia="zh-CN"/>
        </w:rPr>
        <w:t>科技创新是产业发展的核心引擎，但石柱在此方面支撑</w:t>
      </w:r>
      <w:r>
        <w:rPr>
          <w:rFonts w:hint="eastAsia" w:ascii="Times New Roman" w:hAnsi="Times New Roman" w:eastAsia="仿宋" w:cs="Times New Roman"/>
          <w:color w:val="000000"/>
          <w:spacing w:val="-6"/>
          <w:sz w:val="28"/>
          <w:szCs w:val="28"/>
          <w:lang w:val="en-US" w:eastAsia="zh-CN"/>
        </w:rPr>
        <w:t>能力偏弱</w:t>
      </w:r>
      <w:r>
        <w:rPr>
          <w:rFonts w:ascii="Times New Roman" w:hAnsi="Times New Roman" w:eastAsia="仿宋" w:cs="Times New Roman"/>
          <w:color w:val="000000"/>
          <w:spacing w:val="-6"/>
          <w:sz w:val="28"/>
          <w:szCs w:val="28"/>
          <w:lang w:val="en-US" w:eastAsia="zh-CN"/>
        </w:rPr>
        <w:t>。一是本地化科技研发与推广体系薄弱。全县林业专业技术人员占比仅3.5%，基层</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土专家</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不足50人，缺乏高水平的林草科研平台和稳定的科技人才队伍。对良种选育、高效栽培、森林经营、病虫害绿色防控、林产品精深加工等关键技术的自主研发能力弱，先进适用技术的引进、消化和落地推广存在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最后一公里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梗阻。二是生产经营者技能素质有待提升。广大林农和基层林业经营者普遍缺乏现代林业经营知识和技能，习惯于传统粗放模式，缺乏有效的现场技术指导、技术培训和新技术的推广应用，对标准化生产、机械化作业、数字化管理等接受度和应用能力不足。三是基层林业管理体系弱化。乡镇机构改革后，基层林业站职能整合，存在专业人才流失、技术指导和服务能力下降的问题，导致政策和技术难以精准落地。</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——体制机制“活而不畅”。</w:t>
      </w:r>
      <w:r>
        <w:rPr>
          <w:rFonts w:ascii="Times New Roman" w:hAnsi="Times New Roman" w:eastAsia="仿宋" w:cs="Times New Roman"/>
          <w:color w:val="000000"/>
          <w:spacing w:val="-6"/>
          <w:sz w:val="28"/>
          <w:szCs w:val="28"/>
          <w:lang w:val="en-US" w:eastAsia="zh-CN"/>
        </w:rPr>
        <w:t>虽然改革不断深化，但深层次体制机制障碍依然存在。一是产权流转与融资机制不畅。尽管林权确权基本完成，但林地经营权、林木所有权等产权流转的市场化平台和规范化机制尚不健全，林权抵押贷款等绿色金融产品落地难，社会资本进入林业领域存在顾虑，导致产业发展长期面临资金短缺。二是政策整合与协同不足。目前，财政资金用于产业建设的投资较少，政策性贷款争取难度大，涉及林业的财政、金融、税收、保险等支持政策分散，未能形成合力。三是用地矛盾突出。自然保护地、公益林、</w:t>
      </w:r>
      <w:r>
        <w:rPr>
          <w:rFonts w:hint="eastAsia" w:ascii="Times New Roman" w:hAnsi="Times New Roman" w:eastAsia="仿宋" w:cs="Times New Roman"/>
          <w:color w:val="000000"/>
          <w:spacing w:val="-6"/>
          <w:sz w:val="28"/>
          <w:szCs w:val="28"/>
          <w:lang w:val="en-US" w:eastAsia="zh-CN"/>
        </w:rPr>
        <w:t>耕地、</w:t>
      </w:r>
      <w:r>
        <w:rPr>
          <w:rFonts w:ascii="Times New Roman" w:hAnsi="Times New Roman" w:eastAsia="仿宋" w:cs="Times New Roman"/>
          <w:color w:val="000000"/>
          <w:spacing w:val="-6"/>
          <w:sz w:val="28"/>
          <w:szCs w:val="28"/>
          <w:lang w:val="en-US" w:eastAsia="zh-CN"/>
        </w:rPr>
        <w:t>基本农田</w:t>
      </w:r>
      <w:r>
        <w:rPr>
          <w:rFonts w:hint="eastAsia" w:ascii="Times New Roman" w:hAnsi="Times New Roman" w:eastAsia="仿宋" w:cs="Times New Roman"/>
          <w:color w:val="000000"/>
          <w:spacing w:val="-6"/>
          <w:sz w:val="28"/>
          <w:szCs w:val="28"/>
          <w:lang w:val="en-US" w:eastAsia="zh-CN"/>
        </w:rPr>
        <w:t>、生态保护红线</w:t>
      </w:r>
      <w:r>
        <w:rPr>
          <w:rFonts w:ascii="Times New Roman" w:hAnsi="Times New Roman" w:eastAsia="仿宋" w:cs="Times New Roman"/>
          <w:color w:val="000000"/>
          <w:spacing w:val="-6"/>
          <w:sz w:val="28"/>
          <w:szCs w:val="28"/>
          <w:lang w:val="en-US" w:eastAsia="zh-CN"/>
        </w:rPr>
        <w:t>等不同管理要求存在空间重叠或政策冲突，历史遗留问题导致部分区域生态保护与社区发展、项目建设用地需求矛盾尖锐，林草资源保护压力持续增加，制约了产业空间的合理布局。</w:t>
      </w:r>
    </w:p>
    <w:p>
      <w:pPr>
        <w:pStyle w:val="000002"/>
        <w:pageBreakBefore w:val="false"/>
        <w:kinsoku/>
        <w:wordWrap/>
        <w:overflowPunct/>
        <w:topLinePunct w:val="false"/>
        <w:bidi w:val="false"/>
        <w:ind/>
        <w:rPr>
          <w:color w:val="000000"/>
          <w:lang w:val="en-US" w:eastAsia="zh-CN"/>
        </w:rPr>
      </w:pPr>
    </w:p>
    <w:bookmarkStart w:id="21" w:name="_Toc585"/>
    <w:bookmarkStart w:id="22" w:name="_Toc28386"/>
    <w:bookmarkStart w:id="23" w:name="_Toc20135"/>
    <w:bookmarkStart w:id="24" w:name="_Toc5386"/>
    <w:bookmarkStart w:id="25" w:name="_Toc24616"/>
    <w:p>
      <w:pPr>
        <w:pStyle w:val="000006"/>
        <w:keepNext/>
        <w:keepLines/>
        <w:pageBreakBefore w:val="false"/>
        <w:widowControl w:val="false"/>
        <w:numPr>
          <w:ilvl w:val="0"/>
          <w:numId w:val="2"/>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发展机遇</w:t>
      </w:r>
      <w:bookmarkEnd w:id="21"/>
      <w:bookmarkEnd w:id="22"/>
      <w:bookmarkEnd w:id="23"/>
      <w:bookmarkEnd w:id="24"/>
      <w:bookmarkEnd w:id="25"/>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——战略机遇。</w:t>
      </w:r>
      <w:r>
        <w:rPr>
          <w:rFonts w:ascii="Times New Roman" w:hAnsi="Times New Roman" w:eastAsia="仿宋" w:cs="Times New Roman"/>
          <w:color w:val="000000"/>
          <w:spacing w:val="-6"/>
          <w:sz w:val="28"/>
          <w:szCs w:val="28"/>
          <w:lang w:val="en-US" w:eastAsia="zh-CN"/>
        </w:rPr>
        <w:t>当前及未来一段时期，石柱县林草产业正处于政策红利集中释放、价值潜能加速激活的黄金战略机遇期</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从国家战略</w:t>
      </w:r>
      <w:r>
        <w:rPr>
          <w:rFonts w:hint="eastAsia" w:ascii="Times New Roman" w:hAnsi="Times New Roman" w:eastAsia="仿宋" w:cs="Times New Roman"/>
          <w:color w:val="000000"/>
          <w:spacing w:val="-6"/>
          <w:sz w:val="28"/>
          <w:szCs w:val="28"/>
          <w:lang w:val="en-US" w:eastAsia="zh-CN"/>
        </w:rPr>
        <w:t>层面</w:t>
      </w:r>
      <w:r>
        <w:rPr>
          <w:rFonts w:ascii="Times New Roman" w:hAnsi="Times New Roman" w:eastAsia="仿宋" w:cs="Times New Roman"/>
          <w:color w:val="000000"/>
          <w:spacing w:val="-6"/>
          <w:sz w:val="28"/>
          <w:szCs w:val="28"/>
          <w:lang w:val="en-US" w:eastAsia="zh-CN"/>
        </w:rPr>
        <w:t>看，国内国际双循环新发展格局下，</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一带一路</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、长江经济带发展、西部大开发等区域协调战略，与</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双碳</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目标、</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健康中国</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行动、乡村全面振兴等国家战略深度耦合，既为林草产业摆脱传统资源依赖模式、转向生态价值驱动型发展提供了顶层设计遵循，也为森林碳汇交易、生态康养服务、特色林产品开发等生态价值变现路径开辟了多元化空间；从市级</w:t>
      </w:r>
      <w:r>
        <w:rPr>
          <w:rFonts w:hint="eastAsia" w:ascii="Times New Roman" w:hAnsi="Times New Roman" w:eastAsia="仿宋" w:cs="Times New Roman"/>
          <w:color w:val="000000"/>
          <w:spacing w:val="-6"/>
          <w:sz w:val="28"/>
          <w:szCs w:val="28"/>
          <w:lang w:val="en-US" w:eastAsia="zh-CN"/>
        </w:rPr>
        <w:t>战略层面</w:t>
      </w:r>
      <w:r>
        <w:rPr>
          <w:rFonts w:ascii="Times New Roman" w:hAnsi="Times New Roman" w:eastAsia="仿宋" w:cs="Times New Roman"/>
          <w:color w:val="000000"/>
          <w:spacing w:val="-6"/>
          <w:sz w:val="28"/>
          <w:szCs w:val="28"/>
          <w:lang w:val="en-US" w:eastAsia="zh-CN"/>
        </w:rPr>
        <w:t>看，成渝地区双城经济圈建设持续释放政策、投资、项目红利，市域</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一区两群</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协调发展、武陵山区渝东南文旅融合发展加速推进，加之国家林草局与重庆市共建科学绿化试点示范市的精准布局，既助力石柱发挥生态资源本底优势、打造低碳发展特色，推动生态保护与资源利用协同共进，也依托</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两群</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联结节点的独特定位，为森林康养品牌塑造、生态旅游市场拓展创造了广阔空间；多重战略机遇交织下，石柱县林草产业正迎来双向价值跃升的关键窗口，既可以借集体林权制度改革、横向生态效益补偿机制、</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碳惠通</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碳汇交易等制度创新机遇，打通生态资源向经济价值转化的通道，也能紧扣</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健康中国</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需求导向，依托</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不与粮争田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的资源禀赋，重点发展</w:t>
      </w:r>
      <w:r>
        <w:rPr>
          <w:rFonts w:hint="eastAsia" w:ascii="Times New Roman" w:hAnsi="Times New Roman" w:eastAsia="仿宋" w:cs="Times New Roman"/>
          <w:color w:val="000000"/>
          <w:spacing w:val="-6"/>
          <w:sz w:val="28"/>
          <w:szCs w:val="28"/>
          <w:lang w:val="en-US" w:eastAsia="zh-CN"/>
        </w:rPr>
        <w:t>脆李</w:t>
      </w:r>
      <w:r>
        <w:rPr>
          <w:rFonts w:ascii="Times New Roman" w:hAnsi="Times New Roman" w:eastAsia="仿宋" w:cs="Times New Roman"/>
          <w:color w:val="000000"/>
          <w:spacing w:val="-6"/>
          <w:sz w:val="28"/>
          <w:szCs w:val="28"/>
          <w:lang w:val="en-US" w:eastAsia="zh-CN"/>
        </w:rPr>
        <w:t>、</w:t>
      </w:r>
      <w:r>
        <w:rPr>
          <w:rFonts w:hint="eastAsia" w:ascii="Times New Roman" w:hAnsi="Times New Roman" w:eastAsia="仿宋" w:cs="Times New Roman"/>
          <w:color w:val="000000"/>
          <w:spacing w:val="-6"/>
          <w:sz w:val="28"/>
          <w:szCs w:val="28"/>
          <w:lang w:val="en-US" w:eastAsia="zh-CN"/>
        </w:rPr>
        <w:t>柑橘、</w:t>
      </w:r>
      <w:r>
        <w:rPr>
          <w:rFonts w:ascii="Times New Roman" w:hAnsi="Times New Roman" w:eastAsia="仿宋" w:cs="Times New Roman"/>
          <w:color w:val="000000"/>
          <w:spacing w:val="-6"/>
          <w:sz w:val="28"/>
          <w:szCs w:val="28"/>
          <w:lang w:val="en-US" w:eastAsia="zh-CN"/>
        </w:rPr>
        <w:t>黄连、</w:t>
      </w:r>
      <w:r>
        <w:rPr>
          <w:rFonts w:hint="eastAsia" w:ascii="Times New Roman" w:hAnsi="Times New Roman" w:eastAsia="仿宋" w:cs="Times New Roman"/>
          <w:color w:val="000000"/>
          <w:spacing w:val="-6"/>
          <w:sz w:val="28"/>
          <w:szCs w:val="28"/>
          <w:lang w:val="en-US" w:eastAsia="zh-CN"/>
        </w:rPr>
        <w:t>笋竹</w:t>
      </w:r>
      <w:r>
        <w:rPr>
          <w:rFonts w:ascii="Times New Roman" w:hAnsi="Times New Roman" w:eastAsia="仿宋" w:cs="Times New Roman"/>
          <w:color w:val="000000"/>
          <w:spacing w:val="-6"/>
          <w:sz w:val="28"/>
          <w:szCs w:val="28"/>
          <w:lang w:val="en-US" w:eastAsia="zh-CN"/>
        </w:rPr>
        <w:t>等特色森林</w:t>
      </w:r>
      <w:r>
        <w:rPr>
          <w:rFonts w:hint="eastAsia" w:ascii="Times New Roman" w:hAnsi="Times New Roman" w:eastAsia="仿宋" w:cs="Times New Roman"/>
          <w:color w:val="000000"/>
          <w:spacing w:val="-6"/>
          <w:sz w:val="28"/>
          <w:szCs w:val="28"/>
          <w:lang w:val="en-US" w:eastAsia="zh-CN"/>
        </w:rPr>
        <w:t>粮食</w:t>
      </w:r>
      <w:r>
        <w:rPr>
          <w:rFonts w:ascii="Times New Roman" w:hAnsi="Times New Roman" w:eastAsia="仿宋" w:cs="Times New Roman"/>
          <w:color w:val="000000"/>
          <w:spacing w:val="-6"/>
          <w:sz w:val="28"/>
          <w:szCs w:val="28"/>
          <w:lang w:val="en-US" w:eastAsia="zh-CN"/>
        </w:rPr>
        <w:t>产业，同时融合生态疗愈与文旅资源打造</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生态疗愈场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，实现生态效益向健康经济的高效变现，最终在低碳转型与生态价值变现的双轮驱动下，实现高质量发展的跨越升级。</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仿宋" w:hAnsi="仿宋" w:eastAsia="仿宋" w:cs="仿宋"/>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——政策机遇。</w:t>
      </w:r>
      <w:r>
        <w:rPr>
          <w:rFonts w:hint="eastAsia" w:ascii="仿宋" w:hAnsi="仿宋" w:eastAsia="仿宋" w:cs="仿宋"/>
          <w:color w:val="000000"/>
          <w:spacing w:val="-6"/>
          <w:sz w:val="28"/>
          <w:szCs w:val="28"/>
          <w:lang w:val="en-US" w:eastAsia="zh-CN"/>
        </w:rPr>
        <w:t>近年来，</w:t>
      </w:r>
      <w:r>
        <w:rPr>
          <w:rFonts w:ascii="Times New Roman" w:hAnsi="Times New Roman" w:eastAsia="仿宋" w:cs="Times New Roman"/>
          <w:color w:val="000000"/>
          <w:spacing w:val="-6"/>
          <w:sz w:val="28"/>
          <w:szCs w:val="28"/>
          <w:lang w:val="en-US" w:eastAsia="zh-CN"/>
        </w:rPr>
        <w:t>国家密集出台林草产业发展系列顶层设计和专项政策，为石柱县林草产业高质量发展构建起全方位、多层次的政策支撑体系。2019年，国家林业和草原局印发《关于促进林草产业高质量发展的指导意见》，从生态保护与产业协同角度明确林草产业转型发展方向；联合民政部、国家卫生健康委员会、国家中医药管理局印发《关于促进森林康养产业发展的意见》，为融合生态资源打造森林康养品牌、发展生态疗愈新业态提供了专项政策支撑；2023年，中共中央办公厅、国务院办公厅印发《深化集体林权制度改革方案》，明确支持重庆建设深化集体林权制度改革先行区，要求通过制度创新激发林业发展内生动力；2024年，《国务院办公厅关于践行大食物观构建多元化食物供给体系的意见》明确支持发展林下</w:t>
      </w:r>
      <w:r>
        <w:rPr>
          <w:rFonts w:hint="eastAsia" w:ascii="Times New Roman" w:hAnsi="Times New Roman" w:eastAsia="仿宋" w:cs="Times New Roman"/>
          <w:color w:val="000000"/>
          <w:spacing w:val="-6"/>
          <w:sz w:val="28"/>
          <w:szCs w:val="28"/>
          <w:lang w:val="en-US" w:eastAsia="zh-CN"/>
        </w:rPr>
        <w:t>种植</w:t>
      </w:r>
      <w:r>
        <w:rPr>
          <w:rFonts w:ascii="Times New Roman" w:hAnsi="Times New Roman" w:eastAsia="仿宋" w:cs="Times New Roman"/>
          <w:color w:val="000000"/>
          <w:spacing w:val="-6"/>
          <w:sz w:val="28"/>
          <w:szCs w:val="28"/>
          <w:lang w:val="en-US" w:eastAsia="zh-CN"/>
        </w:rPr>
        <w:t>，为规模化、标准化发展脆李、柑橘、黄连、笋竹等特色森林</w:t>
      </w:r>
      <w:r>
        <w:rPr>
          <w:rFonts w:hint="eastAsia" w:ascii="Times New Roman" w:hAnsi="Times New Roman" w:eastAsia="仿宋" w:cs="Times New Roman"/>
          <w:color w:val="000000"/>
          <w:spacing w:val="-6"/>
          <w:sz w:val="28"/>
          <w:szCs w:val="28"/>
          <w:lang w:val="en-US" w:eastAsia="zh-CN"/>
        </w:rPr>
        <w:t>粮食</w:t>
      </w:r>
      <w:r>
        <w:rPr>
          <w:rFonts w:ascii="Times New Roman" w:hAnsi="Times New Roman" w:eastAsia="仿宋" w:cs="Times New Roman"/>
          <w:color w:val="000000"/>
          <w:spacing w:val="-6"/>
          <w:sz w:val="28"/>
          <w:szCs w:val="28"/>
          <w:lang w:val="en-US" w:eastAsia="zh-CN"/>
        </w:rPr>
        <w:t>产业拓宽了政策空间；2025年，《中共中央 国务院关于进一步深化农村改革扎实推进乡村全面振兴的意见》将林草产业纳入乡村振兴重点支持领域，为依托林业资源激活农村发展动能、保障林农合法权益提供了根本政策遵循；《国家林业和草原局关于促进林下经济发展的若干措施》进一步细化林下经济发展支持举措，为依法依规发展林下种植养殖、拓宽生态价值转化路径提供了具体操作指引，同时叠加集体林权制度改革政策红利；国家林业和草原局印发《关于支持深化集体林权制度改革先行区先行先试的若干措施》，进一步赋予重庆先行先试政策权限。石柱县作为重庆市先行区建设的重要实践地，承担天然林与公益林并轨管理改革试点任务，在系列政策叠加赋能下，既有效破解生态保护与资源利用的矛盾，更为林下经济、森林康养等产业规模化发展打通了政策通道，推动林草产业在生态价值与经济价值双向转化中实现高质量发展</w:t>
      </w:r>
      <w:r>
        <w:rPr>
          <w:rFonts w:hint="eastAsia" w:ascii="仿宋" w:hAnsi="仿宋" w:eastAsia="仿宋" w:cs="仿宋"/>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仿宋" w:hAnsi="仿宋" w:eastAsia="仿宋" w:cs="仿宋"/>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w:t>
      </w:r>
      <w:r>
        <w:rPr>
          <w:rFonts w:hint="eastAsia" w:ascii="方正楷体_GBK" w:hAnsi="方正楷体_GBK" w:eastAsia="方正楷体_GBK" w:cs="方正楷体_GBK"/>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十五五</w:t>
      </w:r>
      <w:r>
        <w:rPr>
          <w:rFonts w:hint="eastAsia" w:ascii="方正楷体_GBK" w:hAnsi="方正楷体_GBK" w:eastAsia="方正楷体_GBK" w:cs="方正楷体_GBK"/>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机遇。</w:t>
      </w:r>
      <w:bookmarkStart w:id="26" w:name="bookmark3"/>
      <w:bookmarkEnd w:id="26"/>
      <w:r>
        <w:rPr>
          <w:rFonts w:hint="eastAsia" w:ascii="仿宋" w:hAnsi="仿宋" w:eastAsia="仿宋" w:cs="仿宋"/>
          <w:color w:val="000000"/>
          <w:spacing w:val="-6"/>
          <w:sz w:val="28"/>
          <w:szCs w:val="28"/>
          <w:lang w:val="en-US" w:eastAsia="zh-CN"/>
        </w:rPr>
        <w:t>“十五五”时期在基本实现社会主义现代化进程中具有承前启后的重要地位，石柱将迎来自治县成立45周年、重庆直辖30周年、西部大开发战略实施30周年、长江经济带发展战略实施10周年、成渝地区双城经济圈建设10周年，进入抢抓战略新机遇、厚植发展新优势、推动能级新跃升的重要窗口期。国家层面，党的二十届四中全会《中共中央关于制定国民经济和社会发展第十五个五年规划的建议》锚定“美丽中国建设取得新的重大进展”目标，作出“发展林下经济，壮大林草产业”“坚持山水林田湖草沙一体化保护和系统治理”“完善多元化生态补偿机制，因地制宜拓展生态产品价值实现渠道”的战略部署，为林草产业与生态保护协同发展提供了顶层遵循；市级层面，《中共重庆市委关于制定重庆市国民经济和社会发展第十五个五年规划的建议》提出“美丽重庆建设取得重大成果”目标，明确“完善生态产品价值实现机制，不断拓展‘两山’转化通道”的具体任务，为区域生态资源市场化转化指明了实践路径。本县层面，作为重庆市深化集体林权制度改革先行区的核心实践地，石柱县紧扣国家和市级战略导向，在《中共石柱土家族自治县委关于制定石柱县国民经济和社会发展第十五个五年规划的建议》中，将林草资源作为县域发展的核心载体，系统谋划“生态保护—产业发展—价值转化”全链条布局：以生态保护为基底，深入实施“九治”污染防治攻坚，推进山水林田湖草沙一体化保护修复，深化集体林权制度改革与天然林、公益林并轨管理试点，筑牢长江上游重要生态屏障，为林草产业发展预留生态空间；以产业融合为路径，依托“三色”农业（黄连、莼菜等特色种植）、“四大百亿级”生态工业集群（康养消费品、清洁能源等生态友好型产业）、国际康养旅游度假新地标建设，推动林下种植养殖、森林康养、生态产品精深加工等业态规模化发展，打通“林草资源—产业经济—民生福祉”的转化通道；以机制创新为保障，完善多元化生态补偿机制，探索“生态保护+产业反哺”的“两山”转化石柱模式，力争“十五五”期间林草产业对地区生产总值贡献度显著提升，助力全县地区生产总值突破450亿元，建成国家生态文明建设示范县、国家“两山”实践创新基地，为全国山区库区民族地区践行“绿水青山就是金山银山”理念提供可复制、可推广的实践样本。</w:t>
      </w:r>
    </w:p>
    <w:bookmarkStart w:id="27" w:name="bookmark13"/>
    <w:bookmarkEnd w:id="27"/>
    <w:bookmarkStart w:id="28" w:name="bookmark117"/>
    <w:bookmarkEnd w:id="28"/>
    <w:bookmarkStart w:id="29" w:name="_Toc16682"/>
    <w:bookmarkStart w:id="30" w:name="_Toc28848"/>
    <w:bookmarkStart w:id="31" w:name="_Toc8689"/>
    <w:p>
      <w:pPr>
        <w:pStyle w:val="000004"/>
        <w:keepNext/>
        <w:keepLines/>
        <w:pageBreakBefore w:val="false"/>
        <w:widowControl w:val="false"/>
        <w:numPr>
          <w:ilvl w:val="0"/>
          <w:numId w:val="1"/>
        </w:numPr>
        <w:shd w:val="clear" w:color="auto" w:fill="auto"/>
        <w:tabs>
          <w:tab w:val="clear" w:pos="0"/>
        </w:tabs>
        <w:kinsoku/>
        <w:wordWrap/>
        <w:overflowPunct/>
        <w:topLinePunct w:val="false"/>
        <w:autoSpaceDE/>
        <w:autoSpaceDN/>
        <w:bidi w:val="false"/>
        <w:spacing w:before="0" w:after="0" w:line="240" w:lineRule="auto"/>
        <w:ind w:left="0" w:leftChars="0" w:firstLine="0" w:firstLineChars="0"/>
        <w:jc w:val="center"/>
        <w:rPr>
          <w:rFonts w:ascii="Times New Roman" w:hAnsi="Times New Roman" w:eastAsia="方正小标宋_GBK" w:cs="Times New Roman"/>
          <w:bCs/>
          <w:snapToGrid/>
          <w:color w:val="000000"/>
          <w:szCs w:val="28"/>
          <w:lang w:val="en-US" w:eastAsia="zh-CN"/>
        </w:rPr>
      </w:pPr>
      <w:r>
        <w:rPr>
          <w:rFonts w:ascii="Times New Roman" w:hAnsi="Times New Roman" w:eastAsia="方正小标宋_GBK" w:cs="Times New Roman"/>
          <w:bCs/>
          <w:snapToGrid/>
          <w:color w:val="000000"/>
          <w:szCs w:val="28"/>
          <w:lang w:val="en-US" w:eastAsia="zh-CN"/>
        </w:rPr>
        <w:br w:type="page"/>
      </w:r>
      <w:bookmarkStart w:id="32" w:name="_Toc23145"/>
      <w:bookmarkStart w:id="33" w:name="_Toc13825"/>
      <w:r>
        <w:rPr>
          <w:rFonts w:ascii="Times New Roman" w:hAnsi="Times New Roman" w:eastAsia="方正小标宋_GBK" w:cs="Times New Roman"/>
          <w:bCs/>
          <w:snapToGrid/>
          <w:color w:val="000000"/>
          <w:szCs w:val="28"/>
          <w:lang w:val="en-US" w:eastAsia="zh-CN"/>
        </w:rPr>
        <w:t>总体要求</w:t>
      </w:r>
      <w:bookmarkEnd w:id="29"/>
      <w:bookmarkEnd w:id="30"/>
      <w:bookmarkEnd w:id="31"/>
      <w:bookmarkEnd w:id="32"/>
      <w:bookmarkEnd w:id="33"/>
    </w:p>
    <w:bookmarkStart w:id="34" w:name="bookmark14"/>
    <w:bookmarkEnd w:id="34"/>
    <w:bookmarkStart w:id="35" w:name="_Toc25928"/>
    <w:bookmarkStart w:id="36" w:name="_Toc7869"/>
    <w:bookmarkStart w:id="37" w:name="_Toc25781"/>
    <w:bookmarkStart w:id="38" w:name="_Toc30368"/>
    <w:bookmarkStart w:id="39" w:name="_Toc30343"/>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723" w:firstLineChars="20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指导思想</w:t>
      </w:r>
      <w:bookmarkEnd w:id="35"/>
      <w:bookmarkEnd w:id="36"/>
      <w:bookmarkEnd w:id="37"/>
      <w:bookmarkEnd w:id="38"/>
      <w:bookmarkEnd w:id="39"/>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坚持以习近平新时代中国特色社会主义思想为指导，深入贯彻习近平生态文明思想，全面落实党的二十大和二十届历次全会精神、习近平总书记视察重庆重要讲话重要指示精神</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认真落实市委、市政府做实</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两大定位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、发挥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三个作用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部署要求，牢固树立和践行绿水青山就是金山银山的理念</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坚持</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三绿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并举、</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联动，更加注重提质兴业利民，以推进林草</w:t>
      </w:r>
      <w:r>
        <w:rPr>
          <w:rFonts w:hint="eastAsia" w:ascii="Times New Roman" w:hAnsi="Times New Roman" w:eastAsia="仿宋" w:cs="Times New Roman"/>
          <w:color w:val="000000"/>
          <w:spacing w:val="-6"/>
          <w:sz w:val="28"/>
          <w:szCs w:val="28"/>
          <w:lang w:val="en-US" w:eastAsia="zh-CN"/>
        </w:rPr>
        <w:t>产业</w:t>
      </w:r>
      <w:r>
        <w:rPr>
          <w:rFonts w:ascii="Times New Roman" w:hAnsi="Times New Roman" w:eastAsia="仿宋" w:cs="Times New Roman"/>
          <w:color w:val="000000"/>
          <w:spacing w:val="-6"/>
          <w:sz w:val="28"/>
          <w:szCs w:val="28"/>
          <w:lang w:val="en-US" w:eastAsia="zh-CN"/>
        </w:rPr>
        <w:t>高质量发展为主线，全面深化林草改革创新，大力推动林草生态富民惠民，全力服务全县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四新一地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建设，为筑牢长江上游重要生态屏障、推动美丽石柱建设提供坚实支撑。</w:t>
      </w:r>
    </w:p>
    <w:bookmarkStart w:id="40" w:name="_Toc18307"/>
    <w:bookmarkStart w:id="41" w:name="_Toc15597"/>
    <w:bookmarkStart w:id="42" w:name="_Toc4252"/>
    <w:bookmarkStart w:id="43" w:name="_Toc24092"/>
    <w:bookmarkStart w:id="44" w:name="_Toc24164"/>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基本原则</w:t>
      </w:r>
      <w:bookmarkEnd w:id="40"/>
      <w:bookmarkEnd w:id="41"/>
      <w:bookmarkEnd w:id="42"/>
      <w:bookmarkEnd w:id="43"/>
      <w:bookmarkEnd w:id="44"/>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w:t>
      </w:r>
      <w:r>
        <w:rPr>
          <w:rFonts w:hint="eastAsia" w:ascii="方正楷体_GBK" w:hAnsi="方正楷体_GBK" w:eastAsia="方正楷体_GBK" w:cs="方正楷体_GBK"/>
          <w:color w:val="000000"/>
          <w:spacing w:val="-6"/>
          <w:sz w:val="28"/>
          <w:szCs w:val="28"/>
          <w:lang w:val="en-US" w:eastAsia="zh-CN"/>
        </w:rPr>
        <w:t>生态优先，绿色发展。</w:t>
      </w:r>
      <w:r>
        <w:rPr>
          <w:rFonts w:ascii="Times New Roman" w:hAnsi="Times New Roman" w:eastAsia="仿宋" w:cs="Times New Roman"/>
          <w:color w:val="000000"/>
          <w:spacing w:val="-6"/>
          <w:sz w:val="28"/>
          <w:szCs w:val="28"/>
          <w:lang w:val="en-US" w:eastAsia="zh-CN"/>
        </w:rPr>
        <w:t>牢固树立和践行绿水青山就是金山银山理念，尊重自然、顺应自然、保护自然，加强生态保护和建设，转变绿色发展新理念，推动全县林草高质量发展。坚持</w:t>
      </w:r>
      <w:r>
        <w:rPr>
          <w:rFonts w:hint="eastAsia" w:ascii="Times New Roman" w:hAnsi="Times New Roman" w:eastAsia="仿宋" w:cs="Times New Roman"/>
          <w:color w:val="000000"/>
          <w:spacing w:val="-6"/>
          <w:sz w:val="28"/>
          <w:szCs w:val="28"/>
          <w:lang w:val="en-US" w:eastAsia="zh-CN"/>
        </w:rPr>
        <w:t>共抓大保护、不搞大开发</w:t>
      </w:r>
      <w:r>
        <w:rPr>
          <w:rFonts w:ascii="Times New Roman" w:hAnsi="Times New Roman" w:eastAsia="仿宋" w:cs="Times New Roman"/>
          <w:color w:val="000000"/>
          <w:spacing w:val="-6"/>
          <w:sz w:val="28"/>
          <w:szCs w:val="28"/>
          <w:lang w:val="en-US" w:eastAsia="zh-CN"/>
        </w:rPr>
        <w:t>，积极探索林草产业与生态建设共赢新模式，在保护中加快发展现代林草产业，在加快林草产业发展中推进生态文明建设。</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因地制宜，特色发展。</w:t>
      </w:r>
      <w:r>
        <w:rPr>
          <w:rFonts w:ascii="Times New Roman" w:hAnsi="Times New Roman" w:eastAsia="仿宋" w:cs="Times New Roman"/>
          <w:color w:val="000000"/>
          <w:spacing w:val="-6"/>
          <w:sz w:val="28"/>
          <w:szCs w:val="28"/>
          <w:lang w:val="en-US" w:eastAsia="zh-CN"/>
        </w:rPr>
        <w:t>强化规划引领，突出区域特色和差别化发展，科学合理确定产业发展方向和主要任务，培育产业集群，带动产业链上下游协同发展，提升产业综合竞争力。不贪大求全，根据自然条件、区位优势、产业基础，聚焦</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小而优、小而特、小而精、小而美</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，确定特色品种，进行区域布局，适度规模经营。</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绿色富民，成果共享。</w:t>
      </w:r>
      <w:r>
        <w:rPr>
          <w:rFonts w:ascii="Times New Roman" w:hAnsi="Times New Roman" w:eastAsia="仿宋" w:cs="Times New Roman"/>
          <w:color w:val="000000"/>
          <w:spacing w:val="-6"/>
          <w:sz w:val="28"/>
          <w:szCs w:val="28"/>
          <w:lang w:val="en-US" w:eastAsia="zh-CN"/>
        </w:rPr>
        <w:t>坚持以人民为中心，充分发挥林草产业在稳定扩大就业、改善民生福祉、促进农民增收致富等方面的重要作用。</w:t>
      </w:r>
      <w:r>
        <w:rPr>
          <w:rFonts w:hint="eastAsia" w:ascii="Times New Roman" w:hAnsi="Times New Roman" w:eastAsia="仿宋" w:cs="Times New Roman"/>
          <w:color w:val="000000"/>
          <w:spacing w:val="-6"/>
          <w:sz w:val="28"/>
          <w:szCs w:val="28"/>
          <w:lang w:val="en-US" w:eastAsia="zh-CN"/>
        </w:rPr>
        <w:t>持续</w:t>
      </w:r>
      <w:r>
        <w:rPr>
          <w:rFonts w:ascii="Times New Roman" w:hAnsi="Times New Roman" w:eastAsia="仿宋" w:cs="Times New Roman"/>
          <w:color w:val="000000"/>
          <w:spacing w:val="-6"/>
          <w:sz w:val="28"/>
          <w:szCs w:val="28"/>
          <w:lang w:val="en-US" w:eastAsia="zh-CN"/>
        </w:rPr>
        <w:t xml:space="preserve">提升林草产业综合效益，扩大生态产品和服务的普惠性，让绿色森林成为老百姓的 </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果篮子</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药篮子</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菜篮子</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，让更多群体共享发展成果。</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创新驱动，集约高效。</w:t>
      </w:r>
      <w:r>
        <w:rPr>
          <w:rFonts w:hint="eastAsia" w:ascii="Times New Roman" w:hAnsi="Times New Roman" w:eastAsia="仿宋" w:cs="Times New Roman"/>
          <w:color w:val="000000"/>
          <w:spacing w:val="-6"/>
          <w:sz w:val="28"/>
          <w:szCs w:val="28"/>
          <w:lang w:val="en-US" w:eastAsia="zh-CN"/>
        </w:rPr>
        <w:t>以</w:t>
      </w:r>
      <w:r>
        <w:rPr>
          <w:rFonts w:ascii="Times New Roman" w:hAnsi="Times New Roman" w:eastAsia="仿宋" w:cs="Times New Roman"/>
          <w:color w:val="000000"/>
          <w:spacing w:val="-6"/>
          <w:sz w:val="28"/>
          <w:szCs w:val="28"/>
          <w:lang w:val="en-US" w:eastAsia="zh-CN"/>
        </w:rPr>
        <w:t>深化集体林权制度改革先行区建设</w:t>
      </w:r>
      <w:r>
        <w:rPr>
          <w:rFonts w:hint="eastAsia" w:ascii="Times New Roman" w:hAnsi="Times New Roman" w:eastAsia="仿宋" w:cs="Times New Roman"/>
          <w:color w:val="000000"/>
          <w:spacing w:val="-6"/>
          <w:sz w:val="28"/>
          <w:szCs w:val="28"/>
          <w:lang w:val="en-US" w:eastAsia="zh-CN"/>
        </w:rPr>
        <w:t>为核心指引，遵循</w:t>
      </w:r>
      <w:r>
        <w:rPr>
          <w:rFonts w:ascii="Times New Roman" w:hAnsi="Times New Roman" w:eastAsia="仿宋" w:cs="Times New Roman"/>
          <w:color w:val="000000"/>
          <w:spacing w:val="-6"/>
          <w:sz w:val="28"/>
          <w:szCs w:val="28"/>
          <w:lang w:val="en-US" w:eastAsia="zh-CN"/>
        </w:rPr>
        <w:t>森林可持续经营</w:t>
      </w:r>
      <w:r>
        <w:rPr>
          <w:rFonts w:hint="eastAsia" w:ascii="Times New Roman" w:hAnsi="Times New Roman" w:eastAsia="仿宋" w:cs="Times New Roman"/>
          <w:color w:val="000000"/>
          <w:spacing w:val="-6"/>
          <w:sz w:val="28"/>
          <w:szCs w:val="28"/>
          <w:lang w:val="en-US" w:eastAsia="zh-CN"/>
        </w:rPr>
        <w:t>理念</w:t>
      </w:r>
      <w:r>
        <w:rPr>
          <w:rFonts w:ascii="Times New Roman" w:hAnsi="Times New Roman" w:eastAsia="仿宋" w:cs="Times New Roman"/>
          <w:color w:val="000000"/>
          <w:spacing w:val="-6"/>
          <w:sz w:val="28"/>
          <w:szCs w:val="28"/>
          <w:lang w:val="en-US" w:eastAsia="zh-CN"/>
        </w:rPr>
        <w:t>，</w:t>
      </w:r>
      <w:r>
        <w:rPr>
          <w:rFonts w:hint="eastAsia" w:ascii="Times New Roman" w:hAnsi="Times New Roman" w:eastAsia="仿宋" w:cs="Times New Roman"/>
          <w:color w:val="000000"/>
          <w:spacing w:val="-6"/>
          <w:sz w:val="28"/>
          <w:szCs w:val="28"/>
          <w:lang w:val="en-US" w:eastAsia="zh-CN"/>
        </w:rPr>
        <w:t>系统</w:t>
      </w:r>
      <w:r>
        <w:rPr>
          <w:rFonts w:ascii="Times New Roman" w:hAnsi="Times New Roman" w:eastAsia="仿宋" w:cs="Times New Roman"/>
          <w:color w:val="000000"/>
          <w:spacing w:val="-6"/>
          <w:sz w:val="28"/>
          <w:szCs w:val="28"/>
          <w:lang w:val="en-US" w:eastAsia="zh-CN"/>
        </w:rPr>
        <w:t>破解林业生态建设</w:t>
      </w:r>
      <w:r>
        <w:rPr>
          <w:rFonts w:hint="eastAsia" w:ascii="Times New Roman" w:hAnsi="Times New Roman" w:eastAsia="仿宋" w:cs="Times New Roman"/>
          <w:color w:val="000000"/>
          <w:spacing w:val="-6"/>
          <w:sz w:val="28"/>
          <w:szCs w:val="28"/>
          <w:lang w:val="en-US" w:eastAsia="zh-CN"/>
        </w:rPr>
        <w:t>中</w:t>
      </w:r>
      <w:r>
        <w:rPr>
          <w:rFonts w:ascii="Times New Roman" w:hAnsi="Times New Roman" w:eastAsia="仿宋" w:cs="Times New Roman"/>
          <w:color w:val="000000"/>
          <w:spacing w:val="-6"/>
          <w:sz w:val="28"/>
          <w:szCs w:val="28"/>
          <w:lang w:val="en-US" w:eastAsia="zh-CN"/>
        </w:rPr>
        <w:t>的管理体制</w:t>
      </w:r>
      <w:r>
        <w:rPr>
          <w:rFonts w:hint="eastAsia" w:ascii="Times New Roman" w:hAnsi="Times New Roman" w:eastAsia="仿宋" w:cs="Times New Roman"/>
          <w:color w:val="000000"/>
          <w:spacing w:val="-6"/>
          <w:sz w:val="28"/>
          <w:szCs w:val="28"/>
          <w:lang w:val="en-US" w:eastAsia="zh-CN"/>
        </w:rPr>
        <w:t>束缚</w:t>
      </w:r>
      <w:r>
        <w:rPr>
          <w:rFonts w:ascii="Times New Roman" w:hAnsi="Times New Roman" w:eastAsia="仿宋" w:cs="Times New Roman"/>
          <w:color w:val="000000"/>
          <w:spacing w:val="-6"/>
          <w:sz w:val="28"/>
          <w:szCs w:val="28"/>
          <w:lang w:val="en-US" w:eastAsia="zh-CN"/>
        </w:rPr>
        <w:t>和运行机制障碍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以科技创新引领全面创新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创新组织方式，强化科研、生产、销售领域的分工协作，完善政府、企业、林农利益联结机制。拓宽发展模式，培育发展新动能，推动要素驱动向创新驱动、规模扩张向质量提升、分散经营向集约高效转变。</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政府引导，市场主导。</w:t>
      </w:r>
      <w:r>
        <w:rPr>
          <w:rFonts w:ascii="Times New Roman" w:hAnsi="Times New Roman" w:eastAsia="仿宋" w:cs="Times New Roman"/>
          <w:color w:val="000000"/>
          <w:spacing w:val="-6"/>
          <w:sz w:val="28"/>
          <w:szCs w:val="28"/>
          <w:lang w:val="en-US" w:eastAsia="zh-CN"/>
        </w:rPr>
        <w:t>充分发挥市场配置资源的决定性作用，以市场需求为导向，坚持市场化运作模式，激发主体，激活要素，引导各类要素向林草产业汇聚。更好发挥政府引导、政策支持等作用，改善基础设施，强化公共服务，优化营商环境，强化监督管理，营造公平竞争、有序发展的良好市场环境。</w:t>
      </w:r>
    </w:p>
    <w:p>
      <w:pPr>
        <w:sectPr>
          <w:footerReference r:id="rId14" w:type="default"/>
          <w:footerReference r:id="rId15" w:type="even"/>
          <w:type w:val="nextPage"/>
          <w:pgSz w:w="11905" w:h="16840"/>
          <w:pgMar w:top="1440" w:right="1797" w:bottom="1440" w:left="1797" w:header="1134" w:footer="1134" w:gutter="0"/>
          <w:pgNumType w:start="1"/>
          <w:cols/>
          <w:docGrid/>
        </w:sectPr>
      </w:pPr>
    </w:p>
    <w:bookmarkStart w:id="45" w:name="bookmark15"/>
    <w:bookmarkEnd w:id="45"/>
    <w:bookmarkStart w:id="46" w:name="bookmark118"/>
    <w:bookmarkEnd w:id="46"/>
    <w:bookmarkStart w:id="47" w:name="_Toc18907"/>
    <w:bookmarkStart w:id="48" w:name="_Toc19709"/>
    <w:bookmarkStart w:id="49" w:name="_Toc21575"/>
    <w:bookmarkStart w:id="50" w:name="_Toc13602"/>
    <w:bookmarkStart w:id="51" w:name="_Toc8435"/>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规划依据</w:t>
      </w:r>
      <w:bookmarkEnd w:id="47"/>
      <w:bookmarkEnd w:id="48"/>
      <w:bookmarkEnd w:id="49"/>
      <w:bookmarkEnd w:id="50"/>
      <w:bookmarkEnd w:id="51"/>
    </w:p>
    <w:bookmarkStart w:id="52" w:name="bookmark16"/>
    <w:bookmarkEnd w:id="52"/>
    <w:bookmarkStart w:id="53" w:name="_Toc5064"/>
    <w:bookmarkStart w:id="54" w:name="_Toc5187"/>
    <w:bookmarkStart w:id="55" w:name="_Toc20282"/>
    <w:bookmarkStart w:id="56" w:name="_Toc23318"/>
    <w:bookmarkStart w:id="57" w:name="_Toc21339"/>
    <w:p>
      <w:pPr>
        <w:pStyle w:val="000007"/>
        <w:keepNext/>
        <w:keepLines/>
        <w:pageBreakBefore w:val="false"/>
        <w:widowControl w:val="false"/>
        <w:numPr>
          <w:ilvl w:val="0"/>
          <w:numId w:val="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法律法规</w:t>
      </w:r>
      <w:bookmarkEnd w:id="53"/>
      <w:bookmarkEnd w:id="54"/>
      <w:bookmarkEnd w:id="55"/>
      <w:bookmarkEnd w:id="56"/>
      <w:bookmarkEnd w:id="57"/>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《中华人民共和国森林法》（2019年）；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《中华人民共和国土地管理法》（2019年）；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《中华人民共和国</w:t>
      </w:r>
      <w:r>
        <w:rPr>
          <w:rFonts w:hint="eastAsia" w:ascii="Times New Roman" w:hAnsi="Times New Roman" w:eastAsia="仿宋" w:cs="Times New Roman"/>
          <w:color w:val="000000"/>
          <w:spacing w:val="-2"/>
          <w:sz w:val="28"/>
          <w:szCs w:val="28"/>
          <w:lang w:val="en-US" w:eastAsia="zh-CN"/>
        </w:rPr>
        <w:t>生态</w:t>
      </w:r>
      <w:r>
        <w:rPr>
          <w:rFonts w:ascii="Times New Roman" w:hAnsi="Times New Roman" w:eastAsia="仿宋" w:cs="Times New Roman"/>
          <w:color w:val="000000"/>
          <w:spacing w:val="-2"/>
          <w:sz w:val="28"/>
          <w:szCs w:val="28"/>
          <w:lang w:val="en-US" w:eastAsia="zh-CN"/>
        </w:rPr>
        <w:t>环境</w:t>
      </w:r>
      <w:r>
        <w:rPr>
          <w:rFonts w:hint="eastAsia" w:ascii="Times New Roman" w:hAnsi="Times New Roman" w:eastAsia="仿宋" w:cs="Times New Roman"/>
          <w:color w:val="000000"/>
          <w:spacing w:val="-2"/>
          <w:sz w:val="28"/>
          <w:szCs w:val="28"/>
          <w:lang w:val="en-US" w:eastAsia="zh-CN"/>
        </w:rPr>
        <w:t>法典</w:t>
      </w:r>
      <w:r>
        <w:rPr>
          <w:rFonts w:ascii="Times New Roman" w:hAnsi="Times New Roman" w:eastAsia="仿宋" w:cs="Times New Roman"/>
          <w:color w:val="000000"/>
          <w:spacing w:val="-2"/>
          <w:sz w:val="28"/>
          <w:szCs w:val="28"/>
          <w:lang w:val="en-US" w:eastAsia="zh-CN"/>
        </w:rPr>
        <w:t>》（20</w:t>
      </w:r>
      <w:r>
        <w:rPr>
          <w:rFonts w:hint="eastAsia" w:ascii="Times New Roman" w:hAnsi="Times New Roman" w:eastAsia="仿宋" w:cs="Times New Roman"/>
          <w:color w:val="000000"/>
          <w:spacing w:val="-2"/>
          <w:sz w:val="28"/>
          <w:szCs w:val="28"/>
          <w:lang w:val="en-US" w:eastAsia="zh-CN"/>
        </w:rPr>
        <w:t>26</w:t>
      </w:r>
      <w:r>
        <w:rPr>
          <w:rFonts w:ascii="Times New Roman" w:hAnsi="Times New Roman" w:eastAsia="仿宋" w:cs="Times New Roman"/>
          <w:color w:val="000000"/>
          <w:spacing w:val="-2"/>
          <w:sz w:val="28"/>
          <w:szCs w:val="28"/>
          <w:lang w:val="en-US" w:eastAsia="zh-CN"/>
        </w:rPr>
        <w:t>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《中华人民共和国水土保持法》（2010年）；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《中华人民共和国自然保护区条例》（20</w:t>
      </w:r>
      <w:r>
        <w:rPr>
          <w:rFonts w:hint="eastAsia" w:ascii="Times New Roman" w:hAnsi="Times New Roman" w:eastAsia="仿宋" w:cs="Times New Roman"/>
          <w:color w:val="000000"/>
          <w:spacing w:val="-2"/>
          <w:sz w:val="28"/>
          <w:szCs w:val="28"/>
          <w:lang w:val="en-US" w:eastAsia="zh-CN"/>
        </w:rPr>
        <w:t>26</w:t>
      </w:r>
      <w:r>
        <w:rPr>
          <w:rFonts w:ascii="Times New Roman" w:hAnsi="Times New Roman" w:eastAsia="仿宋" w:cs="Times New Roman"/>
          <w:color w:val="000000"/>
          <w:spacing w:val="-2"/>
          <w:sz w:val="28"/>
          <w:szCs w:val="28"/>
          <w:lang w:val="en-US" w:eastAsia="zh-CN"/>
        </w:rPr>
        <w:t>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国家级公益林管理办法</w:t>
      </w:r>
      <w:r>
        <w:rPr>
          <w:rFonts w:ascii="Times New Roman" w:hAnsi="Times New Roman" w:eastAsia="仿宋" w:cs="Times New Roman"/>
          <w:color w:val="000000"/>
          <w:spacing w:val="-2"/>
          <w:sz w:val="28"/>
          <w:szCs w:val="28"/>
          <w:lang w:val="en-US" w:eastAsia="zh-CN"/>
        </w:rPr>
        <w:t>》（2017年）；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《中华人民共和国森林法实施条例》（2018年）；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《天然林保护修复制度方案》（2019年）；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《国家林下经济示范基地管理办法》（2023年）；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rPr>
        <w:t>《国家储备林建设管理办法》</w:t>
      </w:r>
      <w:r>
        <w:rPr>
          <w:rFonts w:ascii="Times New Roman" w:hAnsi="Times New Roman" w:eastAsia="仿宋" w:cs="Times New Roman"/>
          <w:color w:val="000000"/>
          <w:spacing w:val="-2"/>
          <w:sz w:val="28"/>
          <w:szCs w:val="28"/>
          <w:lang w:eastAsia="zh-CN"/>
        </w:rPr>
        <w:t>（</w:t>
      </w:r>
      <w:r>
        <w:rPr>
          <w:rFonts w:ascii="Times New Roman" w:hAnsi="Times New Roman" w:eastAsia="仿宋" w:cs="Times New Roman"/>
          <w:color w:val="000000"/>
          <w:spacing w:val="-2"/>
          <w:sz w:val="28"/>
          <w:szCs w:val="28"/>
          <w:lang w:val="en-US" w:eastAsia="zh-CN"/>
        </w:rPr>
        <w:t>2025年3月</w:t>
      </w:r>
      <w:r>
        <w:rPr>
          <w:rFonts w:ascii="Times New Roman" w:hAnsi="Times New Roman" w:eastAsia="仿宋" w:cs="Times New Roman"/>
          <w:color w:val="000000"/>
          <w:spacing w:val="-2"/>
          <w:sz w:val="28"/>
          <w:szCs w:val="28"/>
          <w:lang w:eastAsia="zh-CN"/>
        </w:rPr>
        <w:t>）；</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《重庆市公益林管理办法》（2017年）；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《重庆市林地保护管理条例》（2018年）；</w:t>
      </w:r>
    </w:p>
    <w:p>
      <w:pPr>
        <w:pStyle w:val="000001"/>
        <w:keepNext w:val="false"/>
        <w:keepLines w:val="false"/>
        <w:pageBreakBefore w:val="false"/>
        <w:widowControl/>
        <w:numPr>
          <w:ilvl w:val="0"/>
          <w:numId w:val="5"/>
        </w:numPr>
        <w:tabs>
          <w:tab w:val="clear" w:pos="0"/>
        </w:tabs>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rPr>
        <w:t>《重庆市国家储备林建设管理实施细则</w:t>
      </w:r>
      <w:r>
        <w:rPr>
          <w:rFonts w:ascii="Times New Roman" w:hAnsi="Times New Roman" w:eastAsia="仿宋" w:cs="Times New Roman"/>
          <w:color w:val="000000"/>
          <w:spacing w:val="-2"/>
          <w:sz w:val="28"/>
          <w:szCs w:val="28"/>
          <w:lang w:eastAsia="zh-CN"/>
        </w:rPr>
        <w:t>》（</w:t>
      </w:r>
      <w:r>
        <w:rPr>
          <w:rFonts w:ascii="Times New Roman" w:hAnsi="Times New Roman" w:eastAsia="仿宋" w:cs="Times New Roman"/>
          <w:color w:val="000000"/>
          <w:spacing w:val="-2"/>
          <w:sz w:val="28"/>
          <w:szCs w:val="28"/>
          <w:lang w:val="en-US" w:eastAsia="zh-CN"/>
        </w:rPr>
        <w:t>2025年6月</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w:t>
      </w:r>
    </w:p>
    <w:bookmarkStart w:id="58" w:name="_Toc12600"/>
    <w:bookmarkStart w:id="59" w:name="_Toc24455"/>
    <w:bookmarkStart w:id="60" w:name="_Toc28622"/>
    <w:bookmarkStart w:id="61" w:name="_Toc26889"/>
    <w:bookmarkStart w:id="62" w:name="_Toc21174"/>
    <w:p>
      <w:pPr>
        <w:pStyle w:val="000007"/>
        <w:keepNext/>
        <w:keepLines/>
        <w:pageBreakBefore w:val="false"/>
        <w:widowControl w:val="false"/>
        <w:numPr>
          <w:ilvl w:val="0"/>
          <w:numId w:val="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相关政策</w:t>
      </w:r>
      <w:bookmarkEnd w:id="58"/>
      <w:bookmarkEnd w:id="59"/>
      <w:bookmarkEnd w:id="60"/>
      <w:bookmarkEnd w:id="61"/>
      <w:bookmarkEnd w:id="62"/>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60" w:firstLineChars="200"/>
        <w:jc w:val="both"/>
        <w:rPr>
          <w:rFonts w:ascii="Times New Roman" w:hAnsi="Times New Roman" w:eastAsia="仿宋" w:cs="Times New Roman"/>
          <w:color w:val="000000"/>
          <w:spacing w:val="-2"/>
          <w:sz w:val="28"/>
          <w:szCs w:val="28"/>
          <w:lang w:val="en-US" w:eastAsia="zh-CN"/>
        </w:rPr>
      </w:pPr>
      <w:r>
        <w:rPr>
          <w:rFonts w:hint="eastAsia" w:ascii="Times New Roman" w:hAnsi="Times New Roman" w:eastAsia="方正仿宋_GB2312" w:cs="Times New Roman"/>
          <w:color w:val="000000"/>
          <w:sz w:val="28"/>
          <w:szCs w:val="28"/>
          <w:lang w:val="en-US" w:eastAsia="zh-CN"/>
        </w:rPr>
        <w:t>《</w:t>
      </w:r>
      <w:r>
        <w:rPr>
          <w:rFonts w:ascii="Times New Roman" w:hAnsi="Times New Roman" w:eastAsia="方正仿宋_GB2312" w:cs="Times New Roman"/>
          <w:color w:val="000000"/>
          <w:sz w:val="28"/>
          <w:szCs w:val="28"/>
          <w:lang w:val="en-US" w:eastAsia="zh-CN"/>
        </w:rPr>
        <w:t>中共中央 国务院关于进一步深化农村改革扎实推进乡村全面振兴的意见</w:t>
      </w:r>
      <w:r>
        <w:rPr>
          <w:rFonts w:hint="eastAsia" w:ascii="Times New Roman" w:hAnsi="Times New Roman" w:eastAsia="方正仿宋_GB2312" w:cs="Times New Roman"/>
          <w:color w:val="000000"/>
          <w:sz w:val="28"/>
          <w:szCs w:val="28"/>
          <w:lang w:val="en-US" w:eastAsia="zh-CN"/>
        </w:rPr>
        <w:t>》</w:t>
      </w:r>
      <w:r>
        <w:rPr>
          <w:rFonts w:ascii="Times New Roman" w:hAnsi="Times New Roman" w:eastAsia="方正仿宋_GB2312" w:cs="Times New Roman"/>
          <w:color w:val="000000"/>
          <w:sz w:val="28"/>
          <w:szCs w:val="28"/>
          <w:lang w:val="en-US" w:eastAsia="zh-CN"/>
        </w:rPr>
        <w:t>（2025年1月1日）</w:t>
      </w:r>
      <w:r>
        <w:rPr>
          <w:rFonts w:hint="eastAsia" w:ascii="Times New Roman" w:hAnsi="Times New Roman" w:eastAsia="方正仿宋_GB2312" w:cs="Times New Roman"/>
          <w:color w:val="000000"/>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《中共中央关于进一步全面深化改革、推进中国式现代化的决定》（2024 年 7 月）；</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《中共中央关于制定国民经济和社会发展第十五个五年规划的建议》（2025年10月）；</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hint="eastAsia" w:ascii="Times New Roman" w:hAnsi="Times New Roman" w:eastAsia="仿宋" w:cs="Times New Roman"/>
          <w:color w:val="000000"/>
          <w:spacing w:val="-2"/>
          <w:sz w:val="28"/>
          <w:szCs w:val="28"/>
          <w:lang w:val="en-US" w:eastAsia="zh-CN"/>
        </w:rPr>
        <w:t>《中共中央 国务院</w:t>
      </w:r>
      <w:r>
        <w:rPr>
          <w:rFonts w:ascii="Times New Roman" w:hAnsi="Times New Roman" w:eastAsia="仿宋" w:cs="Times New Roman"/>
          <w:color w:val="000000"/>
          <w:spacing w:val="-2"/>
          <w:sz w:val="28"/>
          <w:szCs w:val="28"/>
          <w:lang w:val="en-US" w:eastAsia="zh-CN"/>
        </w:rPr>
        <w:t>关于全面推进美丽中国建设的意见》（2023年12月）；</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《国务院办公厅关于践行大食物观构建多元化食物供给体系的意见》（国办发〔2024〕46号）；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《国务院办公厅关于科学绿化的指导意见》（国办发〔2021〕19号）；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中共中央办公厅、国务院办公厅印发《深化集体林权制度改革方案》（2023年9月）</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中国人民银行 金融监管总局 国家林草局联合印发《关于金融支持林业高质量发展的通知》（2025年8月）</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 国家发展改革委 科技部 工业和信息化部 财政部 自然资源部 住房和城乡建设部 农业农村部 中国银保监会 中国证监会关于加快推进竹产业创新发展的意见》（林改发〔2021〕104号）</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《关于科学利用林地资源促进木本粮油和林下经济高质量发展的意见》（发改农经〔2020〕1753号）；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《国家林业和草原局、民政部、国家卫生健康委员会、国家中医药管理局关于促进森林康养产业发展的意见》（林改发〔2019〕20 号）</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《国家林业和草原局办公室 民政部办公厅 国家卫生健康委员会办公厅 国家中医药管理局办公室关于开展国家森林康养基地建设工作的通知》（办改字〔2019〕121号）；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国家林业和草原局关于印发《国家林业和草原局关于促进林下经济发展的若干措施》的通知（林改发〔2025〕56号）；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《国家林业和草原局关于支持深化集体林权制度改革先行区先行先试的若干措施》（林改发〔2025〕20号）；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国家林业和草原局关于印发《国家储备林建设管理办法》的通知（林规规〔2025〕1号）；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国家林业和草原局关于印发《国家林业产业示范园区创建认定办法》和《国家林业重点龙头企业认定办法》的通知（林改规〔2023〕5号）；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国家林业和草原局 等十部委《关于推进竹产业创新发展的意见》（林改发〔2021〕104 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《重庆市建设深化集体林权制度改革先行区行动方案》（渝委员发〔2024〕8号）；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重庆市林业局关于印发《重庆市林业产业招商工作方案》的通知</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渝林办〔2026〕3号</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hint="eastAsia" w:ascii="Times New Roman" w:hAnsi="Times New Roman" w:eastAsia="仿宋" w:cs="Times New Roman"/>
          <w:color w:val="000000"/>
          <w:spacing w:val="-2"/>
          <w:sz w:val="28"/>
          <w:szCs w:val="28"/>
          <w:lang w:val="en-US" w:eastAsia="zh-CN"/>
        </w:rPr>
        <w:t>重庆市林业局关于印发《重庆市林业标准地建设指引》（渝林改〔2025〕8号）。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《重庆市优化集体林采伐管理的若干措施》（渝林规范〔2025〕5号）；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重庆市林业局关于印发《重庆市国家储备林建设管理实施细则》的通知（渝林规范〔2025〕4号）</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重庆市林业局关于印发《重庆市集体林权流转管理办法》的通知（渝林规范〔2025〕1号）；</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《重庆市落实习近平总书记重要论述重要指示开展</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林草兴生态兴文明兴</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行动实施方案》（2025年9月）；</w:t>
      </w:r>
    </w:p>
    <w:p>
      <w:pPr>
        <w:pStyle w:val="000001"/>
        <w:keepNext w:val="false"/>
        <w:keepLines w:val="false"/>
        <w:pageBreakBefore w:val="false"/>
        <w:widowControl/>
        <w:numPr>
          <w:ilvl w:val="0"/>
          <w:numId w:val="6"/>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 xml:space="preserve"> </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关于制定石柱县国民经济和社会发展第十五个五年规划的建议</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石柱委发〔2025〕10号</w:t>
      </w:r>
      <w:r>
        <w:rPr>
          <w:rFonts w:hint="eastAsia" w:ascii="Times New Roman" w:hAnsi="Times New Roman" w:eastAsia="仿宋" w:cs="Times New Roman"/>
          <w:color w:val="000000"/>
          <w:spacing w:val="-2"/>
          <w:sz w:val="28"/>
          <w:szCs w:val="28"/>
          <w:lang w:val="en-US" w:eastAsia="zh-CN"/>
        </w:rPr>
        <w:t>）。</w:t>
      </w:r>
    </w:p>
    <w:bookmarkStart w:id="63" w:name="_Toc22696"/>
    <w:bookmarkStart w:id="64" w:name="_Toc26717"/>
    <w:bookmarkStart w:id="65" w:name="_Toc4065"/>
    <w:bookmarkStart w:id="66" w:name="_Toc15156"/>
    <w:bookmarkStart w:id="67" w:name="_Toc17409"/>
    <w:p>
      <w:pPr>
        <w:pStyle w:val="000007"/>
        <w:keepNext/>
        <w:keepLines/>
        <w:pageBreakBefore w:val="false"/>
        <w:widowControl w:val="false"/>
        <w:numPr>
          <w:ilvl w:val="0"/>
          <w:numId w:val="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技术标准、规范类</w:t>
      </w:r>
      <w:bookmarkEnd w:id="63"/>
      <w:bookmarkEnd w:id="64"/>
      <w:bookmarkEnd w:id="65"/>
      <w:bookmarkEnd w:id="66"/>
      <w:bookmarkEnd w:id="67"/>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《森林康养基地总体规划导则》（LY/T2935-2018）；</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《国家级森林康养基地标准》（T/LYCY012-2020）；</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《国家级森林康养基地认定办法》（T/LYCY014-2020）；</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《国家级森林康养基地认定实施规则》（T/LYCY013-2020）；</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《中国森林认证  自然保护地森林康养》（LY/T 3245-2020）；</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《森林康养基地建设技术规范》（LY/T 2934—2025）；</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《国家康养旅游示范基地》（LB/T 051-2016）</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《直接为林业生产经营服务工程设施用地规范》（LY/T 3426-2025）；</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《国家森林乡村评价指标》（LY/T 3312-2022）；</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《森林人家等级划分与评定》（LY/T 2086-2013）；</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《美丽乡村建设评价》（GBT37072-2018）；</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《科普资源分类与代码》（GB/T32844-2025）；</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《自然教育评估规范》（LY/T 3419-2024）；</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《自然教育指南》（LY</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T 3329-2022）；</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《全国林下经济发展指南（2021-2030年）》；</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重庆市林下空间多功能利用使用林地管理规范（试行）</w:t>
      </w:r>
      <w:r>
        <w:rPr>
          <w:rFonts w:hint="eastAsia" w:ascii="Times New Roman" w:hAnsi="Times New Roman" w:eastAsia="仿宋" w:cs="Times New Roman"/>
          <w:color w:val="000000"/>
          <w:spacing w:val="-2"/>
          <w:sz w:val="28"/>
          <w:szCs w:val="28"/>
          <w:lang w:val="en-US" w:eastAsia="zh-CN"/>
        </w:rPr>
        <w:t>》；</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《森林改培技术规程（试行）》；</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《石柱县黄连种植利用导则（试行）》；</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《退化林修复技术规程》（GB/T 4351—2024）；</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《林木采伐技术规程》（GB/T 45088-2024）；</w:t>
      </w:r>
    </w:p>
    <w:p>
      <w:pPr>
        <w:pStyle w:val="000001"/>
        <w:keepNext w:val="false"/>
        <w:keepLines w:val="false"/>
        <w:pageBreakBefore w:val="false"/>
        <w:widowControl/>
        <w:numPr>
          <w:ilvl w:val="0"/>
          <w:numId w:val="7"/>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《造林技术规程》（GB/T15776-2023）</w:t>
      </w:r>
      <w:r>
        <w:rPr>
          <w:rFonts w:hint="eastAsia" w:ascii="Times New Roman" w:hAnsi="Times New Roman" w:eastAsia="仿宋" w:cs="Times New Roman"/>
          <w:color w:val="000000"/>
          <w:spacing w:val="-2"/>
          <w:sz w:val="28"/>
          <w:szCs w:val="28"/>
          <w:lang w:val="en-US" w:eastAsia="zh-CN"/>
        </w:rPr>
        <w:t>。</w:t>
      </w:r>
    </w:p>
    <w:bookmarkStart w:id="68" w:name="_Toc1354"/>
    <w:bookmarkStart w:id="69" w:name="_Toc30944"/>
    <w:bookmarkStart w:id="70" w:name="_Toc6715"/>
    <w:bookmarkStart w:id="71" w:name="_Toc29716"/>
    <w:bookmarkStart w:id="72" w:name="_Toc19445"/>
    <w:p>
      <w:pPr>
        <w:pStyle w:val="000007"/>
        <w:keepNext/>
        <w:keepLines/>
        <w:pageBreakBefore w:val="false"/>
        <w:widowControl w:val="false"/>
        <w:numPr>
          <w:ilvl w:val="0"/>
          <w:numId w:val="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相关</w:t>
      </w:r>
      <w:bookmarkEnd w:id="68"/>
      <w:r>
        <w:rPr>
          <w:rFonts w:hint="eastAsia" w:ascii="方正楷体_GBK" w:hAnsi="方正楷体_GBK" w:eastAsia="方正楷体_GBK" w:cs="方正楷体_GBK"/>
          <w:b/>
          <w:bCs w:val="false"/>
          <w:color w:val="000000"/>
          <w:spacing w:val="-5"/>
          <w:position w:val="1"/>
          <w:sz w:val="32"/>
          <w:szCs w:val="32"/>
          <w:lang w:val="en-US" w:eastAsia="zh-CN"/>
        </w:rPr>
        <w:t>规划</w:t>
      </w:r>
      <w:bookmarkEnd w:id="69"/>
      <w:bookmarkEnd w:id="70"/>
      <w:bookmarkEnd w:id="71"/>
      <w:bookmarkEnd w:id="72"/>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《全国国土绿化规划纲要（2022-2030年）》；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《全国竹产业发展规划（2021-2030年）》；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《全国国土绿化规划纲要（2022-2030年）》；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《国家储备林建设规划（2018－2035年）》；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《全国森林经营规划》（2016－2050年）；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《成渝地区双城经济圈国土空间规划（2021-2035年）》；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《重庆市国土空间总体规划（2021—2035年）》；</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《重庆市国家储备林建设项目总体规划》；</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《石柱土家族自治县国民经济和社会发展第十四个五年规划和二〇三五年 远景目标纲要》；</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十四五</w:t>
      </w:r>
      <w:r>
        <w:rPr>
          <w:rFonts w:hint="eastAsia" w:ascii="Times New Roman" w:hAnsi="Times New Roman" w:eastAsia="仿宋" w:cs="Times New Roman"/>
          <w:color w:val="000000"/>
          <w:spacing w:val="-2"/>
          <w:sz w:val="28"/>
          <w:szCs w:val="28"/>
          <w:lang w:val="en-US" w:eastAsia="zh-CN"/>
        </w:rPr>
        <w:t>”</w:t>
      </w:r>
      <w:r>
        <w:rPr>
          <w:rFonts w:ascii="Times New Roman" w:hAnsi="Times New Roman" w:eastAsia="仿宋" w:cs="Times New Roman"/>
          <w:color w:val="000000"/>
          <w:spacing w:val="-2"/>
          <w:sz w:val="28"/>
          <w:szCs w:val="28"/>
          <w:lang w:val="en-US" w:eastAsia="zh-CN"/>
        </w:rPr>
        <w:t>林草发展规划》；</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《石柱县黄连种植林地利用空间规划》；</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石柱县自然保护地相关资料；</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石柱县2024年公益林现状成果；</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石柱县2024年国土变更调查成果；</w:t>
      </w:r>
    </w:p>
    <w:p>
      <w:pPr>
        <w:pStyle w:val="000001"/>
        <w:keepNext w:val="false"/>
        <w:keepLines w:val="false"/>
        <w:pageBreakBefore w:val="false"/>
        <w:widowControl/>
        <w:numPr>
          <w:ilvl w:val="0"/>
          <w:numId w:val="8"/>
        </w:numPr>
        <w:kinsoku/>
        <w:wordWrap/>
        <w:overflowPunct/>
        <w:topLinePunct w:val="false"/>
        <w:autoSpaceDE w:val="false"/>
        <w:autoSpaceDN w:val="false"/>
        <w:bidi w:val="false"/>
        <w:spacing w:line="560" w:lineRule="exact"/>
        <w:ind w:left="0" w:leftChars="0" w:right="0" w:firstLine="552" w:firstLineChars="200"/>
        <w:jc w:val="both"/>
        <w:rPr>
          <w:rFonts w:ascii="Times New Roman" w:hAnsi="Times New Roman" w:eastAsia="仿宋" w:cs="Times New Roman"/>
          <w:color w:val="000000"/>
          <w:spacing w:val="-2"/>
          <w:sz w:val="28"/>
          <w:szCs w:val="28"/>
          <w:lang w:val="en-US" w:eastAsia="zh-CN"/>
        </w:rPr>
      </w:pPr>
      <w:r>
        <w:rPr>
          <w:rFonts w:ascii="Times New Roman" w:hAnsi="Times New Roman" w:eastAsia="仿宋" w:cs="Times New Roman"/>
          <w:color w:val="000000"/>
          <w:spacing w:val="-2"/>
          <w:sz w:val="28"/>
          <w:szCs w:val="28"/>
          <w:lang w:val="en-US" w:eastAsia="zh-CN"/>
        </w:rPr>
        <w:t>石柱县2024年林草湿荒普查成果。</w:t>
      </w:r>
    </w:p>
    <w:bookmarkStart w:id="73" w:name="bookmark119"/>
    <w:bookmarkEnd w:id="73"/>
    <w:bookmarkStart w:id="74" w:name="bookmark20"/>
    <w:bookmarkEnd w:id="74"/>
    <w:bookmarkStart w:id="75" w:name="_Toc25292"/>
    <w:bookmarkStart w:id="76" w:name="_Toc14214"/>
    <w:bookmarkStart w:id="77" w:name="_Toc16058"/>
    <w:bookmarkStart w:id="78" w:name="_Toc5048"/>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br w:type="page"/>
      </w:r>
      <w:bookmarkStart w:id="79" w:name="_Toc16789"/>
      <w:r>
        <w:rPr>
          <w:rFonts w:hint="eastAsia" w:ascii="方正楷体_GBK" w:hAnsi="方正楷体_GBK" w:eastAsia="方正楷体_GBK" w:cs="方正楷体_GBK"/>
          <w:b/>
          <w:bCs/>
          <w:snapToGrid/>
          <w:color w:val="000000"/>
          <w:sz w:val="36"/>
          <w:szCs w:val="36"/>
          <w:lang w:val="en-US" w:eastAsia="zh-CN"/>
        </w:rPr>
        <w:t>总体定位</w:t>
      </w:r>
      <w:bookmarkEnd w:id="75"/>
      <w:bookmarkEnd w:id="76"/>
      <w:bookmarkEnd w:id="77"/>
      <w:bookmarkEnd w:id="78"/>
      <w:bookmarkEnd w:id="79"/>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0"/>
        <w:jc w:val="center"/>
        <w:rPr>
          <w:rFonts w:ascii="Times New Roman" w:hAnsi="Times New Roman" w:eastAsia="黑体" w:cs="Times New Roman"/>
          <w:color w:val="000000"/>
          <w:spacing w:val="-6"/>
          <w:sz w:val="28"/>
          <w:szCs w:val="28"/>
          <w:lang w:val="en-US" w:eastAsia="zh-CN"/>
        </w:rPr>
      </w:pPr>
      <w:r>
        <w:rPr>
          <w:rFonts w:ascii="Times New Roman" w:hAnsi="Times New Roman" w:eastAsia="黑体" w:cs="Times New Roman"/>
          <w:color w:val="000000"/>
          <w:spacing w:val="-6"/>
          <w:sz w:val="28"/>
          <w:szCs w:val="28"/>
          <w:lang w:val="en-US" w:eastAsia="zh-CN"/>
        </w:rPr>
        <w:t>长江上游森林</w:t>
      </w:r>
      <w:r>
        <w:rPr>
          <w:rFonts w:hint="eastAsia" w:ascii="Times New Roman" w:hAnsi="Times New Roman" w:eastAsia="黑体" w:cs="Times New Roman"/>
          <w:color w:val="000000"/>
          <w:spacing w:val="-6"/>
          <w:sz w:val="28"/>
          <w:szCs w:val="28"/>
          <w:lang w:val="en-US" w:eastAsia="zh-CN"/>
        </w:rPr>
        <w:t>“</w:t>
      </w:r>
      <w:r>
        <w:rPr>
          <w:rFonts w:ascii="Times New Roman" w:hAnsi="Times New Roman" w:eastAsia="黑体" w:cs="Times New Roman"/>
          <w:color w:val="000000"/>
          <w:spacing w:val="-6"/>
          <w:sz w:val="28"/>
          <w:szCs w:val="28"/>
          <w:lang w:val="en-US" w:eastAsia="zh-CN"/>
        </w:rPr>
        <w:t>四库</w:t>
      </w:r>
      <w:r>
        <w:rPr>
          <w:rFonts w:hint="eastAsia" w:ascii="Times New Roman" w:hAnsi="Times New Roman" w:eastAsia="黑体" w:cs="Times New Roman"/>
          <w:color w:val="000000"/>
          <w:spacing w:val="-6"/>
          <w:sz w:val="28"/>
          <w:szCs w:val="28"/>
          <w:lang w:val="en-US" w:eastAsia="zh-CN"/>
        </w:rPr>
        <w:t>”</w:t>
      </w:r>
      <w:r>
        <w:rPr>
          <w:rFonts w:ascii="Times New Roman" w:hAnsi="Times New Roman" w:eastAsia="黑体" w:cs="Times New Roman"/>
          <w:color w:val="000000"/>
          <w:spacing w:val="-6"/>
          <w:sz w:val="28"/>
          <w:szCs w:val="28"/>
          <w:lang w:val="en-US" w:eastAsia="zh-CN"/>
        </w:rPr>
        <w:t>融合发展示范区</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立足石柱县作为三峡库区生态屏障和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中国黄连之乡</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的战略地位，以深化集体林权制度改革为根本动力，以筑牢长江上游生态屏障为底线，以发展大康养产业为主线，推动森林</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水库、粮库、钱库、碳库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综合效能最大化，将石柱建设成为全国生态康养胜地、全国森林旅游示范县、全国林下经济高质量发展示范县、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两山</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实践创新示范区，最终实现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机制活、生态美、产业兴、百姓富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的有机统一。</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——全国生态康养胜地。</w:t>
      </w:r>
      <w:r>
        <w:rPr>
          <w:rFonts w:ascii="Times New Roman" w:hAnsi="Times New Roman" w:eastAsia="仿宋" w:cs="Times New Roman"/>
          <w:color w:val="000000"/>
          <w:spacing w:val="-6"/>
          <w:sz w:val="28"/>
          <w:szCs w:val="28"/>
          <w:lang w:val="en-US" w:eastAsia="zh-CN"/>
        </w:rPr>
        <w:t>以全域康养为引领，</w:t>
      </w:r>
      <w:r>
        <w:rPr>
          <w:rFonts w:hint="eastAsia" w:ascii="Times New Roman" w:hAnsi="Times New Roman" w:eastAsia="仿宋" w:cs="Times New Roman"/>
          <w:color w:val="000000"/>
          <w:spacing w:val="-6"/>
          <w:sz w:val="28"/>
          <w:szCs w:val="28"/>
          <w:lang w:val="en-US" w:eastAsia="zh-CN"/>
        </w:rPr>
        <w:t>充分</w:t>
      </w:r>
      <w:r>
        <w:rPr>
          <w:rFonts w:ascii="Times New Roman" w:hAnsi="Times New Roman" w:eastAsia="仿宋" w:cs="Times New Roman"/>
          <w:color w:val="000000"/>
          <w:spacing w:val="-6"/>
          <w:sz w:val="28"/>
          <w:szCs w:val="28"/>
          <w:lang w:val="en-US" w:eastAsia="zh-CN"/>
        </w:rPr>
        <w:t>依托县域良好的森林、湿地生态系统，优质的富氧、高负氧离子森林环境，以及独特的少数民族特色文化资源优势，建设一批标准化精品森林康养基地。深度融合气候康养、中医药康养、休闲度假、健康管理等业态，推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森林疗愈</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与生态产品价值实现相结合，把森林康养产业培育成全县支柱产业，打造全国生态康养胜地。</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——全国森林旅游示范县。</w:t>
      </w:r>
      <w:r>
        <w:rPr>
          <w:rFonts w:ascii="Times New Roman" w:hAnsi="Times New Roman" w:eastAsia="仿宋" w:cs="Times New Roman"/>
          <w:color w:val="000000"/>
          <w:spacing w:val="-6"/>
          <w:sz w:val="28"/>
          <w:szCs w:val="28"/>
          <w:lang w:val="en-US" w:eastAsia="zh-CN"/>
        </w:rPr>
        <w:t>以全域旅游为理念，科学利用森林生态系统、湿地生态系统、野生动植物等生态资源，进一步做美森林风景资源、做精森林旅游产品，推动森林旅游从景区观光向深度体验转型。做靓以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水库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为魂的亲水景观，做精以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粮库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为源的森林美食，做强以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钱库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为目标的旅游消费，创新以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碳库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为特色的自然教育研学旅游。通过</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资源融合，做优四季全天候旅游产品体系，打造全国森林旅游示范县。</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——全国林下经济高质量发展示范县。</w:t>
      </w:r>
      <w:r>
        <w:rPr>
          <w:rFonts w:ascii="Times New Roman" w:hAnsi="Times New Roman" w:eastAsia="仿宋" w:cs="Times New Roman"/>
          <w:color w:val="000000"/>
          <w:spacing w:val="-6"/>
          <w:sz w:val="28"/>
          <w:szCs w:val="28"/>
          <w:lang w:val="en-US" w:eastAsia="zh-CN"/>
        </w:rPr>
        <w:t>坚定不移走生态优先、绿色发展的高质量发展道路，统筹林下经济高质量发展与森林生态资源高水平保护，以全球占比约50%的黄连产业为总牵引，推广应用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林连互利共生</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新模式，构建以道地药材为主导，森林食品、森林养殖为补充的现代林下经济产业体系。坚持</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粮库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产出与</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水库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涵养、</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碳库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增汇协同推进，通过科技创新与制度创新，提升产业附加值，打造全国林下经济集约化、生态化发展标杆。</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w:t>
      </w:r>
      <w:r>
        <w:rPr>
          <w:rFonts w:hint="eastAsia" w:ascii="方正楷体_GBK" w:hAnsi="方正楷体_GBK" w:eastAsia="方正楷体_GBK" w:cs="方正楷体_GBK"/>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两山</w:t>
      </w:r>
      <w:r>
        <w:rPr>
          <w:rFonts w:hint="eastAsia" w:ascii="方正楷体_GBK" w:hAnsi="方正楷体_GBK" w:eastAsia="方正楷体_GBK" w:cs="方正楷体_GBK"/>
          <w:color w:val="000000"/>
          <w:spacing w:val="-6"/>
          <w:sz w:val="28"/>
          <w:szCs w:val="28"/>
          <w:lang w:val="en-US" w:eastAsia="zh-CN"/>
        </w:rPr>
        <w:t>”</w:t>
      </w:r>
      <w:r>
        <w:rPr>
          <w:rFonts w:ascii="方正楷体_GBK" w:hAnsi="方正楷体_GBK" w:eastAsia="方正楷体_GBK" w:cs="方正楷体_GBK"/>
          <w:color w:val="000000"/>
          <w:spacing w:val="-6"/>
          <w:sz w:val="28"/>
          <w:szCs w:val="28"/>
          <w:lang w:val="en-US" w:eastAsia="zh-CN"/>
        </w:rPr>
        <w:t>实践创新示范区。</w:t>
      </w:r>
      <w:r>
        <w:rPr>
          <w:rFonts w:ascii="Times New Roman" w:hAnsi="Times New Roman" w:eastAsia="仿宋" w:cs="Times New Roman"/>
          <w:color w:val="000000"/>
          <w:spacing w:val="-6"/>
          <w:sz w:val="28"/>
          <w:szCs w:val="28"/>
          <w:lang w:val="en-US" w:eastAsia="zh-CN"/>
        </w:rPr>
        <w:t>坚持共抓大保护、不搞大开发，严守生态保护红线，实施森林质量精准提升、湿地修复保育等工程，系统性增强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功能。坚持产业生态化、生态产业化，</w:t>
      </w:r>
      <w:r>
        <w:rPr>
          <w:rFonts w:hint="eastAsia" w:ascii="Times New Roman" w:hAnsi="Times New Roman" w:eastAsia="仿宋" w:cs="Times New Roman"/>
          <w:color w:val="000000"/>
          <w:spacing w:val="-6"/>
          <w:sz w:val="28"/>
          <w:szCs w:val="28"/>
          <w:lang w:val="en-US" w:eastAsia="zh-CN"/>
        </w:rPr>
        <w:t>深化</w:t>
      </w:r>
      <w:r>
        <w:rPr>
          <w:rFonts w:ascii="Times New Roman" w:hAnsi="Times New Roman" w:eastAsia="仿宋" w:cs="Times New Roman"/>
          <w:color w:val="000000"/>
          <w:spacing w:val="-6"/>
          <w:sz w:val="28"/>
          <w:szCs w:val="28"/>
          <w:lang w:val="en-US" w:eastAsia="zh-CN"/>
        </w:rPr>
        <w:t>森林康养业态，加快构建产业完整、业态丰富、功能齐全的现代康养产业体系，促进一二三产深度融合。积极探索林业碳汇项目开发与交易、生态品牌增值等新模式，推动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生态效益可量化、可交易、可持续。</w:t>
      </w:r>
    </w:p>
    <w:bookmarkStart w:id="80" w:name="_Toc13051"/>
    <w:bookmarkStart w:id="81" w:name="_Toc13570"/>
    <w:bookmarkStart w:id="82" w:name="_Toc19554"/>
    <w:bookmarkStart w:id="83" w:name="_Toc23028"/>
    <w:bookmarkStart w:id="84" w:name="_Toc4717"/>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发展目标</w:t>
      </w:r>
      <w:bookmarkEnd w:id="80"/>
      <w:bookmarkEnd w:id="81"/>
      <w:bookmarkEnd w:id="82"/>
      <w:bookmarkEnd w:id="83"/>
      <w:bookmarkEnd w:id="84"/>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——到2030年，产业规模进一步壮大，优质产品供给持续增强，产业结构进一步优化，质量效益显著改善，生态服务水平更加完善，</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功能协同增效的路径基本畅通，全县林草产业总产值达到</w:t>
      </w:r>
      <w:r>
        <w:rPr>
          <w:rFonts w:hint="eastAsia" w:ascii="Times New Roman" w:hAnsi="Times New Roman" w:eastAsia="仿宋" w:cs="Times New Roman"/>
          <w:color w:val="000000"/>
          <w:spacing w:val="-6"/>
          <w:sz w:val="28"/>
          <w:szCs w:val="28"/>
          <w:lang w:val="en-US" w:eastAsia="zh-CN"/>
        </w:rPr>
        <w:t>110</w:t>
      </w:r>
      <w:r>
        <w:rPr>
          <w:rFonts w:ascii="Times New Roman" w:hAnsi="Times New Roman" w:eastAsia="仿宋" w:cs="Times New Roman"/>
          <w:color w:val="000000"/>
          <w:spacing w:val="-6"/>
          <w:sz w:val="28"/>
          <w:szCs w:val="28"/>
          <w:lang w:val="en-US" w:eastAsia="zh-CN"/>
        </w:rPr>
        <w:t>亿</w:t>
      </w:r>
      <w:r>
        <w:rPr>
          <w:rFonts w:hint="eastAsia" w:ascii="Times New Roman" w:hAnsi="Times New Roman" w:eastAsia="仿宋" w:cs="Times New Roman"/>
          <w:color w:val="000000"/>
          <w:spacing w:val="-6"/>
          <w:sz w:val="28"/>
          <w:szCs w:val="28"/>
          <w:lang w:val="en-US" w:eastAsia="zh-CN"/>
        </w:rPr>
        <w:t>元</w:t>
      </w:r>
      <w:r>
        <w:rPr>
          <w:rFonts w:ascii="Times New Roman" w:hAnsi="Times New Roman" w:eastAsia="仿宋" w:cs="Times New Roman"/>
          <w:color w:val="000000"/>
          <w:spacing w:val="-6"/>
          <w:sz w:val="28"/>
          <w:szCs w:val="28"/>
          <w:lang w:val="en-US" w:eastAsia="zh-CN"/>
        </w:rPr>
        <w:t>。培育认定一批</w:t>
      </w:r>
      <w:r>
        <w:rPr>
          <w:rFonts w:hint="eastAsia" w:ascii="Times New Roman" w:hAnsi="Times New Roman" w:eastAsia="仿宋" w:cs="Times New Roman"/>
          <w:color w:val="000000"/>
          <w:spacing w:val="-6"/>
          <w:sz w:val="28"/>
          <w:szCs w:val="28"/>
          <w:lang w:val="en-US" w:eastAsia="zh-CN"/>
        </w:rPr>
        <w:t>省级以上</w:t>
      </w:r>
      <w:r>
        <w:rPr>
          <w:rFonts w:ascii="Times New Roman" w:hAnsi="Times New Roman" w:eastAsia="仿宋" w:cs="Times New Roman"/>
          <w:color w:val="000000"/>
          <w:spacing w:val="-6"/>
          <w:sz w:val="28"/>
          <w:szCs w:val="28"/>
          <w:lang w:val="en-US" w:eastAsia="zh-CN"/>
        </w:rPr>
        <w:t>林业产业龙头企业、林下经济示范基地、森林康养基地，推出一批</w:t>
      </w:r>
      <w:r>
        <w:rPr>
          <w:rFonts w:hint="eastAsia" w:ascii="Times New Roman" w:hAnsi="Times New Roman" w:eastAsia="仿宋" w:cs="Times New Roman"/>
          <w:color w:val="000000"/>
          <w:spacing w:val="-6"/>
          <w:sz w:val="28"/>
          <w:szCs w:val="28"/>
          <w:lang w:val="en-US" w:eastAsia="zh-CN"/>
        </w:rPr>
        <w:t>精品森林康养</w:t>
      </w:r>
      <w:r>
        <w:rPr>
          <w:rFonts w:ascii="Times New Roman" w:hAnsi="Times New Roman" w:eastAsia="仿宋" w:cs="Times New Roman"/>
          <w:color w:val="000000"/>
          <w:spacing w:val="-6"/>
          <w:sz w:val="28"/>
          <w:szCs w:val="28"/>
          <w:lang w:val="en-US" w:eastAsia="zh-CN"/>
        </w:rPr>
        <w:t>线路，生态旅游、康养休闲产业接待规模达</w:t>
      </w:r>
      <w:r>
        <w:rPr>
          <w:rFonts w:hint="eastAsia" w:ascii="Times New Roman" w:hAnsi="Times New Roman" w:eastAsia="仿宋" w:cs="Times New Roman"/>
          <w:color w:val="000000"/>
          <w:spacing w:val="-6"/>
          <w:sz w:val="28"/>
          <w:szCs w:val="28"/>
          <w:lang w:val="en-US" w:eastAsia="zh-CN"/>
        </w:rPr>
        <w:t>1500万</w:t>
      </w:r>
      <w:r>
        <w:rPr>
          <w:rFonts w:ascii="Times New Roman" w:hAnsi="Times New Roman" w:eastAsia="仿宋" w:cs="Times New Roman"/>
          <w:color w:val="000000"/>
          <w:spacing w:val="-6"/>
          <w:sz w:val="28"/>
          <w:szCs w:val="28"/>
          <w:lang w:val="en-US" w:eastAsia="zh-CN"/>
        </w:rPr>
        <w:t>人次/年。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——到2035年，林草资源配置水平明显提高，林草产业规模稳定发展，优质林草产品供给更加充足，产业结构更加优化，产品质量和服务水平全面提升，资源利用监管更加有效，服务国家战略能力持续增强，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功能协同增效的路径全面畅通，基本建成长江上游森林</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四库</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融合发展示范区。</w:t>
      </w:r>
    </w:p>
    <w:p>
      <w:pPr>
        <w:pStyle w:val="000001"/>
        <w:pageBreakBefore w:val="false"/>
        <w:kinsoku/>
        <w:wordWrap/>
        <w:overflowPunct/>
        <w:topLinePunct w:val="false"/>
        <w:bidi w:val="false"/>
        <w:spacing w:before="88" w:line="364" w:lineRule="exact"/>
        <w:ind/>
        <w:jc w:val="center"/>
        <w:rPr>
          <w:rFonts w:ascii="Times New Roman" w:hAnsi="Times New Roman" w:eastAsia="黑体" w:cs="Times New Roman"/>
          <w:color w:val="000000"/>
          <w:spacing w:val="7"/>
          <w:position w:val="1"/>
          <w:sz w:val="21"/>
          <w:szCs w:val="21"/>
          <w:lang w:val="en-US" w:eastAsia="zh-CN"/>
        </w:rPr>
      </w:pPr>
      <w:r>
        <w:rPr>
          <w:rFonts w:ascii="Times New Roman" w:hAnsi="Times New Roman" w:eastAsia="黑体" w:cs="Times New Roman"/>
          <w:color w:val="000000"/>
          <w:spacing w:val="7"/>
          <w:position w:val="1"/>
          <w:sz w:val="21"/>
          <w:szCs w:val="21"/>
          <w:lang w:val="en-US" w:eastAsia="zh-CN"/>
        </w:rPr>
        <w:br w:type="page"/>
      </w:r>
      <w:r>
        <w:rPr>
          <w:rFonts w:ascii="Times New Roman" w:hAnsi="Times New Roman" w:eastAsia="黑体" w:cs="Times New Roman"/>
          <w:color w:val="000000"/>
          <w:spacing w:val="7"/>
          <w:position w:val="1"/>
          <w:sz w:val="24"/>
          <w:szCs w:val="24"/>
          <w:lang w:val="en-US" w:eastAsia="zh-CN"/>
        </w:rPr>
        <w:t>表2.1 石柱县林草产业发展主要指标一览表</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4951"/>
        <w:gridCol w:w="1096"/>
        <w:gridCol w:w="1111"/>
        <w:gridCol w:w="1135"/>
      </w:tblGrid>
      <w:tr>
        <w:trPr>
          <w:wBefore/>
          <w:trHeight/>
          <w:tblHeader/>
          <w:tblCellSpacing w:w="28" w:type="dxa"/>
        </w:trPr>
        <w:tc>
          <w:tcPr>
            <w:tcW w:w="891" w:type="dxa"/>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Times New Roman" w:hAnsi="Times New Roman" w:eastAsia="黑体" w:cs="Times New Roman"/>
                <w:snapToGrid/>
                <w:color w:val="000000"/>
                <w:kern w:val="0"/>
                <w:sz w:val="21"/>
                <w:szCs w:val="21"/>
                <w:lang w:val="en-US" w:eastAsia="zh-CN" w:bidi="ar"/>
              </w:rPr>
            </w:pPr>
            <w:r>
              <w:rPr>
                <w:rFonts w:ascii="Times New Roman" w:hAnsi="Times New Roman" w:eastAsia="黑体" w:cs="Times New Roman"/>
                <w:snapToGrid/>
                <w:color w:val="000000"/>
                <w:kern w:val="0"/>
                <w:sz w:val="21"/>
                <w:szCs w:val="21"/>
                <w:lang w:val="en-US" w:eastAsia="zh-CN" w:bidi="ar"/>
              </w:rPr>
              <w:t>序号</w:t>
            </w:r>
          </w:p>
        </w:tc>
        <w:tc>
          <w:tcPr>
            <w:tcW w:w="4951" w:type="dxa"/>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Times New Roman" w:hAnsi="Times New Roman" w:eastAsia="黑体" w:cs="Times New Roman"/>
                <w:snapToGrid/>
                <w:color w:val="000000"/>
                <w:kern w:val="0"/>
                <w:sz w:val="21"/>
                <w:szCs w:val="21"/>
                <w:lang w:val="en-US" w:eastAsia="zh-CN" w:bidi="ar"/>
              </w:rPr>
            </w:pPr>
            <w:r>
              <w:rPr>
                <w:rFonts w:ascii="Times New Roman" w:hAnsi="Times New Roman" w:eastAsia="黑体" w:cs="Times New Roman"/>
                <w:snapToGrid/>
                <w:color w:val="000000"/>
                <w:kern w:val="0"/>
                <w:sz w:val="21"/>
                <w:szCs w:val="21"/>
                <w:lang w:val="en-US" w:eastAsia="zh-CN" w:bidi="ar"/>
              </w:rPr>
              <w:t>指标</w:t>
            </w:r>
          </w:p>
        </w:tc>
        <w:tc>
          <w:tcPr>
            <w:tcW w:w="1096" w:type="dxa"/>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Times New Roman" w:hAnsi="Times New Roman" w:eastAsia="黑体" w:cs="Times New Roman"/>
                <w:snapToGrid/>
                <w:color w:val="000000"/>
                <w:kern w:val="0"/>
                <w:sz w:val="21"/>
                <w:szCs w:val="21"/>
                <w:lang w:val="en-US" w:eastAsia="zh-CN" w:bidi="ar"/>
              </w:rPr>
            </w:pPr>
            <w:r>
              <w:rPr>
                <w:rFonts w:ascii="Times New Roman" w:hAnsi="Times New Roman" w:eastAsia="黑体" w:cs="Times New Roman"/>
                <w:snapToGrid/>
                <w:color w:val="000000"/>
                <w:kern w:val="0"/>
                <w:sz w:val="21"/>
                <w:szCs w:val="21"/>
                <w:lang w:val="en-US" w:eastAsia="zh-CN" w:bidi="ar"/>
              </w:rPr>
              <w:t>2025年</w:t>
            </w:r>
          </w:p>
        </w:tc>
        <w:tc>
          <w:tcPr>
            <w:tcW w:w="1111" w:type="dxa"/>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Times New Roman" w:hAnsi="Times New Roman" w:eastAsia="黑体" w:cs="Times New Roman"/>
                <w:snapToGrid/>
                <w:color w:val="000000"/>
                <w:kern w:val="0"/>
                <w:sz w:val="21"/>
                <w:szCs w:val="21"/>
                <w:lang w:val="en-US" w:eastAsia="zh-CN" w:bidi="ar"/>
              </w:rPr>
            </w:pPr>
            <w:r>
              <w:rPr>
                <w:rFonts w:ascii="Times New Roman" w:hAnsi="Times New Roman" w:eastAsia="黑体" w:cs="Times New Roman"/>
                <w:snapToGrid/>
                <w:color w:val="000000"/>
                <w:kern w:val="0"/>
                <w:sz w:val="21"/>
                <w:szCs w:val="21"/>
                <w:lang w:val="en-US" w:eastAsia="zh-CN" w:bidi="ar"/>
              </w:rPr>
              <w:t>2030年</w:t>
            </w:r>
          </w:p>
        </w:tc>
        <w:tc>
          <w:tcPr>
            <w:tcW w:w="1135" w:type="dxa"/>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Times New Roman" w:hAnsi="Times New Roman" w:eastAsia="黑体" w:cs="Times New Roman"/>
                <w:snapToGrid/>
                <w:color w:val="000000"/>
                <w:kern w:val="0"/>
                <w:sz w:val="21"/>
                <w:szCs w:val="21"/>
                <w:lang w:val="en-US" w:eastAsia="zh-CN" w:bidi="ar"/>
              </w:rPr>
            </w:pPr>
            <w:r>
              <w:rPr>
                <w:rFonts w:ascii="Times New Roman" w:hAnsi="Times New Roman" w:eastAsia="黑体" w:cs="Times New Roman"/>
                <w:snapToGrid/>
                <w:color w:val="000000"/>
                <w:kern w:val="0"/>
                <w:sz w:val="21"/>
                <w:szCs w:val="21"/>
                <w:lang w:val="en-US" w:eastAsia="zh-CN" w:bidi="ar"/>
              </w:rPr>
              <w:t>2035年</w:t>
            </w:r>
          </w:p>
        </w:tc>
      </w:tr>
      <w:tr>
        <w:trPr>
          <w:wBefore/>
          <w:trHeight w:val="378" w:hRule="atLeast"/>
          <w:tblCellSpacing w:w="28" w:type="dxa"/>
        </w:trPr>
        <w:tc>
          <w:tcPr>
            <w:tcW w:w="89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w:t>
            </w:r>
          </w:p>
        </w:tc>
        <w:tc>
          <w:tcPr>
            <w:tcW w:w="495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林草产业总产值（亿元）</w:t>
            </w:r>
          </w:p>
        </w:tc>
        <w:tc>
          <w:tcPr>
            <w:tcW w:w="1096"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84.26</w:t>
            </w:r>
          </w:p>
        </w:tc>
        <w:tc>
          <w:tcPr>
            <w:tcW w:w="111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110</w:t>
            </w:r>
          </w:p>
        </w:tc>
        <w:tc>
          <w:tcPr>
            <w:tcW w:w="1135"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142</w:t>
            </w:r>
          </w:p>
        </w:tc>
      </w:tr>
      <w:tr>
        <w:trPr>
          <w:wBefore/>
          <w:trHeight/>
          <w:tblCellSpacing w:w="28" w:type="dxa"/>
        </w:trPr>
        <w:tc>
          <w:tcPr>
            <w:tcW w:w="89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2</w:t>
            </w:r>
          </w:p>
        </w:tc>
        <w:tc>
          <w:tcPr>
            <w:tcW w:w="495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森林康养综合产值（亿元）</w:t>
            </w:r>
          </w:p>
        </w:tc>
        <w:tc>
          <w:tcPr>
            <w:tcW w:w="1096"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60.02</w:t>
            </w:r>
          </w:p>
        </w:tc>
        <w:tc>
          <w:tcPr>
            <w:tcW w:w="111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80.2</w:t>
            </w:r>
          </w:p>
        </w:tc>
        <w:tc>
          <w:tcPr>
            <w:tcW w:w="1135"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106.6</w:t>
            </w:r>
          </w:p>
        </w:tc>
      </w:tr>
      <w:tr>
        <w:trPr>
          <w:wBefore/>
          <w:trHeight/>
          <w:tblCellSpacing w:w="28" w:type="dxa"/>
        </w:trPr>
        <w:tc>
          <w:tcPr>
            <w:tcW w:w="89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3</w:t>
            </w:r>
          </w:p>
        </w:tc>
        <w:tc>
          <w:tcPr>
            <w:tcW w:w="495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林下经济总产值（亿元）</w:t>
            </w:r>
          </w:p>
        </w:tc>
        <w:tc>
          <w:tcPr>
            <w:tcW w:w="1096"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35.48</w:t>
            </w:r>
          </w:p>
        </w:tc>
        <w:tc>
          <w:tcPr>
            <w:tcW w:w="111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39.5</w:t>
            </w:r>
          </w:p>
        </w:tc>
        <w:tc>
          <w:tcPr>
            <w:tcW w:w="1135"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44</w:t>
            </w:r>
          </w:p>
        </w:tc>
      </w:tr>
      <w:bookmarkStart w:id="85" w:name="_Toc24817"/>
      <w:bookmarkStart w:id="86" w:name="_Toc9667"/>
      <w:bookmarkStart w:id="87" w:name="_Toc11696"/>
      <w:bookmarkStart w:id="88" w:name="_Toc15200"/>
      <w:tr>
        <w:trPr>
          <w:wBefore/>
          <w:trHeight/>
          <w:tblCellSpacing w:w="28" w:type="dxa"/>
        </w:trPr>
        <w:tc>
          <w:tcPr>
            <w:tcW w:w="89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4</w:t>
            </w:r>
          </w:p>
        </w:tc>
        <w:tc>
          <w:tcPr>
            <w:tcW w:w="495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木材培育与加工制造</w:t>
            </w:r>
          </w:p>
        </w:tc>
        <w:tc>
          <w:tcPr>
            <w:tcW w:w="1096"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10.49</w:t>
            </w:r>
          </w:p>
        </w:tc>
        <w:tc>
          <w:tcPr>
            <w:tcW w:w="1111"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12</w:t>
            </w:r>
          </w:p>
        </w:tc>
        <w:tc>
          <w:tcPr>
            <w:tcW w:w="1135" w:type="dxa"/>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14</w:t>
            </w:r>
          </w:p>
        </w:tc>
      </w:tr>
    </w:tbl>
    <w:bookmarkStart w:id="89" w:name="_Toc11629"/>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发展思路</w:t>
      </w:r>
      <w:bookmarkEnd w:id="85"/>
      <w:bookmarkEnd w:id="89"/>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生态优先、产业融合、富民强县”为核心导向，围绕“完善产业链、稳定供应链、提升价值链”的发展思路，补短板，强弱项，强链补链延链，做精做靓森林康养，做大做强林下经济，做深做细木材加工，做特做优特色经济林。聚焦森林康养、林下经济、木材与加工、特色经济林等四大重点产业，按“扩面、提质、延链、增效”的发展要求，以改革的措施促进产业发展。全面建成全域协同的森林康养产业体系、全国领先的林下经济全产业链体系，最终建成长江上游森林“四库”融合发展示范区。</w:t>
      </w:r>
    </w:p>
    <w:bookmarkStart w:id="90" w:name="_Toc9069"/>
    <w:bookmarkStart w:id="91" w:name="_Toc5225"/>
    <w:p>
      <w:pPr>
        <w:pStyle w:val="000006"/>
        <w:keepNext/>
        <w:keepLines/>
        <w:pageBreakBefore w:val="false"/>
        <w:widowControl w:val="false"/>
        <w:numPr>
          <w:ilvl w:val="0"/>
          <w:numId w:val="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规划期限</w:t>
      </w:r>
      <w:bookmarkEnd w:id="86"/>
      <w:bookmarkEnd w:id="87"/>
      <w:bookmarkEnd w:id="88"/>
      <w:bookmarkEnd w:id="90"/>
      <w:bookmarkEnd w:id="91"/>
    </w:p>
    <w:bookmarkStart w:id="92" w:name="bookmark21"/>
    <w:bookmarkEnd w:id="92"/>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2" w:firstLineChars="200"/>
        <w:rPr>
          <w:rFonts w:ascii="Times New Roman" w:hAnsi="Times New Roman" w:eastAsia="仿宋" w:cs="Times New Roman"/>
          <w:color w:val="000000"/>
          <w:sz w:val="28"/>
          <w:szCs w:val="28"/>
        </w:rPr>
      </w:pPr>
      <w:r>
        <w:rPr>
          <w:rFonts w:ascii="Times New Roman" w:hAnsi="Times New Roman" w:eastAsia="仿宋" w:cs="Times New Roman"/>
          <w:color w:val="000000"/>
          <w:spacing w:val="-7"/>
          <w:sz w:val="28"/>
          <w:szCs w:val="28"/>
        </w:rPr>
        <w:t>本</w:t>
      </w:r>
      <w:r>
        <w:rPr>
          <w:rFonts w:ascii="Times New Roman" w:hAnsi="Times New Roman" w:eastAsia="仿宋" w:cs="Times New Roman"/>
          <w:color w:val="000000"/>
          <w:spacing w:val="-6"/>
          <w:sz w:val="28"/>
          <w:szCs w:val="28"/>
          <w:lang w:val="en-US" w:eastAsia="zh-CN"/>
        </w:rPr>
        <w:t>规划基准年为2025年</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7"/>
          <w:sz w:val="28"/>
          <w:szCs w:val="28"/>
        </w:rPr>
        <w:t>规划期限为2026-2035年。近期为2026-2030年，共5年；远期为2031</w:t>
      </w:r>
      <w:r>
        <w:rPr>
          <w:rFonts w:ascii="Times New Roman" w:hAnsi="Times New Roman" w:eastAsia="仿宋" w:cs="Times New Roman"/>
          <w:color w:val="000000"/>
          <w:spacing w:val="4"/>
          <w:sz w:val="28"/>
          <w:szCs w:val="28"/>
        </w:rPr>
        <w:t>－</w:t>
      </w:r>
      <w:r>
        <w:rPr>
          <w:rFonts w:ascii="Times New Roman" w:hAnsi="Times New Roman" w:eastAsia="仿宋" w:cs="Times New Roman"/>
          <w:color w:val="000000"/>
          <w:spacing w:val="-7"/>
          <w:sz w:val="28"/>
          <w:szCs w:val="28"/>
        </w:rPr>
        <w:t>2035年，共5年。</w:t>
      </w:r>
    </w:p>
    <w:bookmarkStart w:id="93" w:name="bookmark22"/>
    <w:bookmarkEnd w:id="93"/>
    <w:p>
      <w:pPr>
        <w:pStyle w:val="000004"/>
        <w:keepNext/>
        <w:keepLines/>
        <w:pageBreakBefore w:val="false"/>
        <w:widowControl w:val="false"/>
        <w:numPr>
          <w:ilvl w:val="0"/>
          <w:numId w:val="1"/>
        </w:numPr>
        <w:shd w:val="clear" w:color="auto" w:fill="auto"/>
        <w:tabs>
          <w:tab w:val="clear" w:pos="0"/>
        </w:tabs>
        <w:kinsoku/>
        <w:wordWrap/>
        <w:overflowPunct/>
        <w:topLinePunct w:val="false"/>
        <w:autoSpaceDE/>
        <w:autoSpaceDN/>
        <w:bidi w:val="false"/>
        <w:spacing w:before="0" w:after="0" w:line="240" w:lineRule="auto"/>
        <w:ind w:left="0" w:leftChars="0" w:firstLine="0" w:firstLineChars="0"/>
        <w:jc w:val="center"/>
        <w:rPr>
          <w:rFonts w:ascii="Times New Roman" w:hAnsi="Times New Roman" w:eastAsia="微软雅黑" w:cs="Times New Roman"/>
          <w:color w:val="000000"/>
          <w:sz w:val="44"/>
          <w:szCs w:val="44"/>
          <w:lang w:val="en-US" w:eastAsia="zh-CN"/>
        </w:rPr>
      </w:pPr>
      <w:r>
        <w:rPr>
          <w:rFonts w:ascii="Times New Roman" w:hAnsi="Times New Roman" w:cs="Times New Roman"/>
          <w:color w:val="000000"/>
        </w:rPr>
        <w:br w:type="page"/>
      </w:r>
      <w:bookmarkStart w:id="94" w:name="_Toc24186"/>
      <w:bookmarkStart w:id="95" w:name="_Toc29007"/>
      <w:bookmarkStart w:id="96" w:name="_Toc25358"/>
      <w:bookmarkStart w:id="97" w:name="_Toc10812"/>
      <w:bookmarkStart w:id="98" w:name="_Toc21965"/>
      <w:r>
        <w:rPr>
          <w:rFonts w:ascii="Times New Roman" w:hAnsi="Times New Roman" w:eastAsia="方正小标宋_GBK" w:cs="Times New Roman"/>
          <w:bCs/>
          <w:snapToGrid/>
          <w:color w:val="000000"/>
          <w:szCs w:val="28"/>
          <w:lang w:val="en-US" w:eastAsia="zh-CN"/>
        </w:rPr>
        <w:t>发展布局</w:t>
      </w:r>
      <w:bookmarkEnd w:id="94"/>
      <w:bookmarkEnd w:id="95"/>
      <w:bookmarkEnd w:id="96"/>
      <w:bookmarkEnd w:id="97"/>
      <w:bookmarkEnd w:id="98"/>
    </w:p>
    <w:bookmarkStart w:id="99" w:name="_Toc12425"/>
    <w:bookmarkStart w:id="100" w:name="_Toc13461"/>
    <w:p>
      <w:pPr>
        <w:pStyle w:val="000006"/>
        <w:keepNext/>
        <w:keepLines/>
        <w:pageBreakBefore w:val="false"/>
        <w:widowControl w:val="false"/>
        <w:numPr>
          <w:ilvl w:val="0"/>
          <w:numId w:val="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林地利用范围</w:t>
      </w:r>
      <w:bookmarkEnd w:id="99"/>
      <w:bookmarkEnd w:id="100"/>
    </w:p>
    <w:bookmarkStart w:id="101" w:name="_Toc23101"/>
    <w:bookmarkStart w:id="102" w:name="_Toc31925"/>
    <w:bookmarkStart w:id="103" w:name="_Toc1704"/>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2" w:firstLineChars="200"/>
        <w:jc w:val="both"/>
        <w:rPr>
          <w:rFonts w:ascii="Times New Roman" w:hAnsi="Times New Roman" w:eastAsia="仿宋" w:cs="Times New Roman"/>
          <w:color w:val="000000"/>
          <w:spacing w:val="-7"/>
          <w:sz w:val="28"/>
          <w:szCs w:val="28"/>
          <w:lang w:val="en-US" w:eastAsia="zh-CN"/>
        </w:rPr>
      </w:pPr>
      <w:r>
        <w:rPr>
          <w:rFonts w:ascii="Times New Roman" w:hAnsi="Times New Roman" w:eastAsia="仿宋" w:cs="Times New Roman"/>
          <w:color w:val="000000"/>
          <w:spacing w:val="-7"/>
          <w:sz w:val="28"/>
          <w:szCs w:val="28"/>
          <w:lang w:val="en-US" w:eastAsia="zh-CN"/>
        </w:rPr>
        <w:t>根据《国家级公益林管理办法》（林资发〔2017〕34号）、</w:t>
      </w:r>
      <w:r>
        <w:rPr>
          <w:rFonts w:hint="eastAsia" w:ascii="Times New Roman" w:hAnsi="Times New Roman" w:eastAsia="仿宋" w:cs="Times New Roman"/>
          <w:color w:val="000000"/>
          <w:spacing w:val="-7"/>
          <w:sz w:val="28"/>
          <w:szCs w:val="28"/>
          <w:lang w:val="en-US" w:eastAsia="zh-CN"/>
        </w:rPr>
        <w:t>中共中央办公厅、国务院办公厅</w:t>
      </w:r>
      <w:r>
        <w:rPr>
          <w:rFonts w:ascii="Times New Roman" w:hAnsi="Times New Roman" w:eastAsia="仿宋" w:cs="Times New Roman"/>
          <w:color w:val="000000"/>
          <w:spacing w:val="-7"/>
          <w:sz w:val="28"/>
          <w:szCs w:val="28"/>
          <w:lang w:val="en-US" w:eastAsia="zh-CN"/>
        </w:rPr>
        <w:t>印发《天然林保护修复制度方案》（2019年7月）</w:t>
      </w:r>
      <w:r>
        <w:rPr>
          <w:rFonts w:hint="eastAsia" w:ascii="Times New Roman" w:hAnsi="Times New Roman" w:eastAsia="仿宋" w:cs="Times New Roman"/>
          <w:color w:val="000000"/>
          <w:spacing w:val="-7"/>
          <w:sz w:val="28"/>
          <w:szCs w:val="28"/>
          <w:lang w:val="en-US" w:eastAsia="zh-CN"/>
        </w:rPr>
        <w:t>、《</w:t>
      </w:r>
      <w:r>
        <w:rPr>
          <w:rFonts w:ascii="Times New Roman" w:hAnsi="Times New Roman" w:eastAsia="仿宋" w:cs="Times New Roman"/>
          <w:color w:val="000000"/>
          <w:spacing w:val="-7"/>
          <w:sz w:val="28"/>
          <w:szCs w:val="28"/>
          <w:lang w:val="en-US" w:eastAsia="zh-CN"/>
        </w:rPr>
        <w:t>自然资源部 生态环境部国家林业和草原局关于加强生态保护红线管理的通知</w:t>
      </w:r>
      <w:r>
        <w:rPr>
          <w:rFonts w:hint="eastAsia" w:ascii="Times New Roman" w:hAnsi="Times New Roman" w:eastAsia="仿宋" w:cs="Times New Roman"/>
          <w:color w:val="000000"/>
          <w:spacing w:val="-7"/>
          <w:sz w:val="28"/>
          <w:szCs w:val="28"/>
          <w:lang w:val="en-US" w:eastAsia="zh-CN"/>
        </w:rPr>
        <w:t>（</w:t>
      </w:r>
      <w:r>
        <w:rPr>
          <w:rFonts w:ascii="Times New Roman" w:hAnsi="Times New Roman" w:eastAsia="仿宋" w:cs="Times New Roman"/>
          <w:color w:val="000000"/>
          <w:spacing w:val="-7"/>
          <w:sz w:val="28"/>
          <w:szCs w:val="28"/>
          <w:lang w:val="en-US" w:eastAsia="zh-CN"/>
        </w:rPr>
        <w:t>试行</w:t>
      </w:r>
      <w:r>
        <w:rPr>
          <w:rFonts w:hint="eastAsia" w:ascii="Times New Roman" w:hAnsi="Times New Roman" w:eastAsia="仿宋" w:cs="Times New Roman"/>
          <w:color w:val="000000"/>
          <w:spacing w:val="-7"/>
          <w:sz w:val="28"/>
          <w:szCs w:val="28"/>
          <w:lang w:val="en-US" w:eastAsia="zh-CN"/>
        </w:rPr>
        <w:t>）》（</w:t>
      </w:r>
      <w:r>
        <w:rPr>
          <w:rFonts w:ascii="Times New Roman" w:hAnsi="Times New Roman" w:eastAsia="仿宋" w:cs="Times New Roman"/>
          <w:color w:val="000000"/>
          <w:spacing w:val="-7"/>
          <w:sz w:val="28"/>
          <w:szCs w:val="28"/>
          <w:lang w:val="en-US" w:eastAsia="zh-CN"/>
        </w:rPr>
        <w:t>自然资发〔</w:t>
      </w:r>
      <w:r>
        <w:rPr>
          <w:rFonts w:hint="eastAsia" w:ascii="Times New Roman" w:hAnsi="Times New Roman" w:eastAsia="仿宋" w:cs="Times New Roman"/>
          <w:color w:val="000000"/>
          <w:spacing w:val="-7"/>
          <w:sz w:val="28"/>
          <w:szCs w:val="28"/>
          <w:lang w:val="en-US" w:eastAsia="zh-CN"/>
        </w:rPr>
        <w:t>2022</w:t>
      </w:r>
      <w:r>
        <w:rPr>
          <w:rFonts w:ascii="Times New Roman" w:hAnsi="Times New Roman" w:eastAsia="仿宋" w:cs="Times New Roman"/>
          <w:color w:val="000000"/>
          <w:spacing w:val="-7"/>
          <w:sz w:val="28"/>
          <w:szCs w:val="28"/>
          <w:lang w:val="en-US" w:eastAsia="zh-CN"/>
        </w:rPr>
        <w:t>〕142号</w:t>
      </w:r>
      <w:r>
        <w:rPr>
          <w:rFonts w:hint="eastAsia" w:ascii="Times New Roman" w:hAnsi="Times New Roman" w:eastAsia="仿宋" w:cs="Times New Roman"/>
          <w:color w:val="000000"/>
          <w:spacing w:val="-7"/>
          <w:sz w:val="28"/>
          <w:szCs w:val="28"/>
          <w:lang w:val="en-US" w:eastAsia="zh-CN"/>
        </w:rPr>
        <w:t>）</w:t>
      </w:r>
      <w:r>
        <w:rPr>
          <w:rFonts w:ascii="Times New Roman" w:hAnsi="Times New Roman" w:eastAsia="仿宋" w:cs="Times New Roman"/>
          <w:color w:val="000000"/>
          <w:spacing w:val="-7"/>
          <w:sz w:val="28"/>
          <w:szCs w:val="28"/>
          <w:lang w:val="en-US" w:eastAsia="zh-CN"/>
        </w:rPr>
        <w:t>结合《全国森林经营规划》（2016－2050年）三类森林经营分类</w:t>
      </w:r>
      <w:r>
        <w:rPr>
          <w:rFonts w:hint="eastAsia" w:ascii="Times New Roman" w:hAnsi="Times New Roman" w:eastAsia="仿宋" w:cs="Times New Roman"/>
          <w:color w:val="000000"/>
          <w:spacing w:val="-7"/>
          <w:sz w:val="28"/>
          <w:szCs w:val="28"/>
          <w:lang w:val="en-US" w:eastAsia="zh-CN"/>
        </w:rPr>
        <w:t>、</w:t>
      </w:r>
      <w:r>
        <w:rPr>
          <w:rFonts w:ascii="Times New Roman" w:hAnsi="Times New Roman" w:eastAsia="仿宋" w:cs="Times New Roman"/>
          <w:color w:val="000000"/>
          <w:spacing w:val="-7"/>
          <w:sz w:val="28"/>
          <w:szCs w:val="28"/>
          <w:lang w:val="en-US" w:eastAsia="zh-CN"/>
        </w:rPr>
        <w:t>《全国林下经济发展指南》</w:t>
      </w:r>
      <w:r>
        <w:rPr>
          <w:rFonts w:hint="eastAsia" w:ascii="Times New Roman" w:hAnsi="Times New Roman" w:eastAsia="仿宋" w:cs="Times New Roman"/>
          <w:color w:val="000000"/>
          <w:spacing w:val="-7"/>
          <w:sz w:val="28"/>
          <w:szCs w:val="28"/>
          <w:lang w:val="en-US" w:eastAsia="zh-CN"/>
        </w:rPr>
        <w:t>及《</w:t>
      </w:r>
      <w:r>
        <w:rPr>
          <w:rFonts w:ascii="Times New Roman" w:hAnsi="Times New Roman" w:eastAsia="仿宋" w:cs="Times New Roman"/>
          <w:color w:val="000000"/>
          <w:spacing w:val="-7"/>
          <w:sz w:val="28"/>
          <w:szCs w:val="28"/>
          <w:lang w:val="en-US" w:eastAsia="zh-CN"/>
        </w:rPr>
        <w:t>重庆市林下空间多功能利用使用林地管理规范（试行）</w:t>
      </w:r>
      <w:r>
        <w:rPr>
          <w:rFonts w:hint="eastAsia" w:ascii="Times New Roman" w:hAnsi="Times New Roman" w:eastAsia="仿宋" w:cs="Times New Roman"/>
          <w:color w:val="000000"/>
          <w:spacing w:val="-7"/>
          <w:sz w:val="28"/>
          <w:szCs w:val="28"/>
          <w:lang w:val="en-US" w:eastAsia="zh-CN"/>
        </w:rPr>
        <w:t>》</w:t>
      </w:r>
      <w:r>
        <w:rPr>
          <w:rFonts w:ascii="Times New Roman" w:hAnsi="Times New Roman" w:eastAsia="仿宋" w:cs="Times New Roman"/>
          <w:color w:val="000000"/>
          <w:spacing w:val="-7"/>
          <w:sz w:val="28"/>
          <w:szCs w:val="28"/>
          <w:lang w:val="en-US" w:eastAsia="zh-CN"/>
        </w:rPr>
        <w:t>，将石柱县林地划分为优先利用</w:t>
      </w:r>
      <w:r>
        <w:rPr>
          <w:rFonts w:hint="eastAsia" w:ascii="Times New Roman" w:hAnsi="Times New Roman" w:eastAsia="仿宋" w:cs="Times New Roman"/>
          <w:color w:val="000000"/>
          <w:spacing w:val="-7"/>
          <w:sz w:val="28"/>
          <w:szCs w:val="28"/>
          <w:lang w:val="en-US" w:eastAsia="zh-CN"/>
        </w:rPr>
        <w:t>的</w:t>
      </w:r>
      <w:r>
        <w:rPr>
          <w:rFonts w:ascii="Times New Roman" w:hAnsi="Times New Roman" w:eastAsia="仿宋" w:cs="Times New Roman"/>
          <w:color w:val="000000"/>
          <w:spacing w:val="-7"/>
          <w:sz w:val="28"/>
          <w:szCs w:val="28"/>
          <w:lang w:val="en-US" w:eastAsia="zh-CN"/>
        </w:rPr>
        <w:t>林地</w:t>
      </w:r>
      <w:r>
        <w:rPr>
          <w:rFonts w:hint="eastAsia" w:ascii="Times New Roman" w:hAnsi="Times New Roman" w:eastAsia="仿宋" w:cs="Times New Roman"/>
          <w:color w:val="000000"/>
          <w:spacing w:val="-7"/>
          <w:sz w:val="28"/>
          <w:szCs w:val="28"/>
          <w:lang w:val="en-US" w:eastAsia="zh-CN"/>
        </w:rPr>
        <w:t>、限制</w:t>
      </w:r>
      <w:r>
        <w:rPr>
          <w:rFonts w:ascii="Times New Roman" w:hAnsi="Times New Roman" w:eastAsia="仿宋" w:cs="Times New Roman"/>
          <w:color w:val="000000"/>
          <w:spacing w:val="-7"/>
          <w:sz w:val="28"/>
          <w:szCs w:val="28"/>
          <w:lang w:val="en-US" w:eastAsia="zh-CN"/>
        </w:rPr>
        <w:t>利用</w:t>
      </w:r>
      <w:r>
        <w:rPr>
          <w:rFonts w:hint="eastAsia" w:ascii="Times New Roman" w:hAnsi="Times New Roman" w:eastAsia="仿宋" w:cs="Times New Roman"/>
          <w:color w:val="000000"/>
          <w:spacing w:val="-7"/>
          <w:sz w:val="28"/>
          <w:szCs w:val="28"/>
          <w:lang w:val="en-US" w:eastAsia="zh-CN"/>
        </w:rPr>
        <w:t>的</w:t>
      </w:r>
      <w:r>
        <w:rPr>
          <w:rFonts w:ascii="Times New Roman" w:hAnsi="Times New Roman" w:eastAsia="仿宋" w:cs="Times New Roman"/>
          <w:color w:val="000000"/>
          <w:spacing w:val="-7"/>
          <w:sz w:val="28"/>
          <w:szCs w:val="28"/>
          <w:lang w:val="en-US" w:eastAsia="zh-CN"/>
        </w:rPr>
        <w:t>林地、禁止利用</w:t>
      </w:r>
      <w:r>
        <w:rPr>
          <w:rFonts w:hint="eastAsia" w:ascii="Times New Roman" w:hAnsi="Times New Roman" w:eastAsia="仿宋" w:cs="Times New Roman"/>
          <w:color w:val="000000"/>
          <w:spacing w:val="-7"/>
          <w:sz w:val="28"/>
          <w:szCs w:val="28"/>
          <w:lang w:val="en-US" w:eastAsia="zh-CN"/>
        </w:rPr>
        <w:t>的</w:t>
      </w:r>
      <w:r>
        <w:rPr>
          <w:rFonts w:ascii="Times New Roman" w:hAnsi="Times New Roman" w:eastAsia="仿宋" w:cs="Times New Roman"/>
          <w:color w:val="000000"/>
          <w:spacing w:val="-7"/>
          <w:sz w:val="28"/>
          <w:szCs w:val="28"/>
          <w:lang w:val="en-US" w:eastAsia="zh-CN"/>
        </w:rPr>
        <w:t>林地等3类，实现生态保护与资源利用的平衡。</w:t>
      </w:r>
    </w:p>
    <w:bookmarkStart w:id="104" w:name="_Toc23855"/>
    <w:p>
      <w:pPr>
        <w:pStyle w:val="000007"/>
        <w:keepNext/>
        <w:keepLines/>
        <w:pageBreakBefore w:val="false"/>
        <w:widowControl w:val="false"/>
        <w:numPr>
          <w:ilvl w:val="0"/>
          <w:numId w:val="1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优先利用的林地</w:t>
      </w:r>
      <w:bookmarkEnd w:id="104"/>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林地范围：</w:t>
      </w:r>
      <w:r>
        <w:rPr>
          <w:rFonts w:ascii="Times New Roman" w:hAnsi="Times New Roman" w:eastAsia="仿宋" w:cs="Times New Roman"/>
          <w:color w:val="000000"/>
          <w:spacing w:val="-6"/>
          <w:sz w:val="28"/>
          <w:szCs w:val="28"/>
          <w:lang w:val="en-US" w:eastAsia="zh-CN"/>
        </w:rPr>
        <w:t>优先</w:t>
      </w:r>
      <w:r>
        <w:rPr>
          <w:rFonts w:hint="eastAsia" w:ascii="Times New Roman" w:hAnsi="Times New Roman" w:eastAsia="仿宋" w:cs="Times New Roman"/>
          <w:color w:val="000000"/>
          <w:spacing w:val="-6"/>
          <w:sz w:val="28"/>
          <w:szCs w:val="28"/>
          <w:lang w:val="en-US" w:eastAsia="zh-CN"/>
        </w:rPr>
        <w:t>利用的林地</w:t>
      </w:r>
      <w:r>
        <w:rPr>
          <w:rFonts w:ascii="Times New Roman" w:hAnsi="Times New Roman" w:eastAsia="仿宋" w:cs="Times New Roman"/>
          <w:color w:val="000000"/>
          <w:spacing w:val="-6"/>
          <w:sz w:val="28"/>
          <w:szCs w:val="28"/>
          <w:lang w:val="en-US" w:eastAsia="zh-CN"/>
        </w:rPr>
        <w:t>面积约</w:t>
      </w:r>
      <w:r>
        <w:rPr>
          <w:rFonts w:hint="eastAsia" w:ascii="Times New Roman" w:hAnsi="Times New Roman" w:eastAsia="仿宋" w:cs="Times New Roman"/>
          <w:color w:val="000000"/>
          <w:spacing w:val="-6"/>
          <w:sz w:val="28"/>
          <w:szCs w:val="28"/>
          <w:lang w:val="en-US" w:eastAsia="zh-CN"/>
        </w:rPr>
        <w:t>54.3235</w:t>
      </w:r>
      <w:r>
        <w:rPr>
          <w:rFonts w:ascii="Times New Roman" w:hAnsi="Times New Roman" w:eastAsia="仿宋" w:cs="Times New Roman"/>
          <w:color w:val="000000"/>
          <w:spacing w:val="-6"/>
          <w:sz w:val="28"/>
          <w:szCs w:val="28"/>
          <w:lang w:val="en-US" w:eastAsia="zh-CN"/>
        </w:rPr>
        <w:t>万亩，包括经济林、人工用材林、人工能源林</w:t>
      </w:r>
      <w:r>
        <w:rPr>
          <w:rFonts w:hint="eastAsia" w:ascii="Times New Roman" w:hAnsi="Times New Roman" w:eastAsia="仿宋" w:cs="Times New Roman"/>
          <w:color w:val="000000"/>
          <w:spacing w:val="-6"/>
          <w:sz w:val="28"/>
          <w:szCs w:val="28"/>
          <w:lang w:val="en-US" w:eastAsia="zh-CN"/>
        </w:rPr>
        <w:t>等</w:t>
      </w:r>
      <w:r>
        <w:rPr>
          <w:rFonts w:ascii="Times New Roman" w:hAnsi="Times New Roman" w:eastAsia="仿宋" w:cs="Times New Roman"/>
          <w:color w:val="000000"/>
          <w:spacing w:val="-6"/>
          <w:sz w:val="28"/>
          <w:szCs w:val="28"/>
          <w:lang w:val="en-US" w:eastAsia="zh-CN"/>
        </w:rPr>
        <w:t>人工商品林</w:t>
      </w:r>
      <w:r>
        <w:rPr>
          <w:rFonts w:hint="eastAsia" w:ascii="Times New Roman" w:hAnsi="Times New Roman" w:eastAsia="仿宋" w:cs="Times New Roman"/>
          <w:color w:val="000000"/>
          <w:spacing w:val="-6"/>
          <w:sz w:val="28"/>
          <w:szCs w:val="28"/>
          <w:lang w:val="en-US" w:eastAsia="zh-CN"/>
        </w:rPr>
        <w:t>地。</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方正仿宋_GBK" w:hAnsi="方正仿宋_GBK" w:eastAsia="方正仿宋_GBK" w:cs="方正仿宋_GBK"/>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管控要求：</w:t>
      </w:r>
      <w:r>
        <w:rPr>
          <w:rFonts w:hint="eastAsia" w:ascii="方正仿宋_GBK" w:hAnsi="方正仿宋_GBK" w:eastAsia="方正仿宋_GBK" w:cs="方正仿宋_GBK"/>
          <w:color w:val="000000"/>
          <w:spacing w:val="-6"/>
          <w:sz w:val="28"/>
          <w:szCs w:val="28"/>
          <w:lang w:val="en-US" w:eastAsia="zh-CN"/>
        </w:rPr>
        <w:t>生态保护红线内自然保护地核心保护区外，禁止开发性、生产性建设活动，在符合法律法规的前提下，仅允许以下对生态功能不造成破坏的有限人为活动。原住居民和其他合法权益主体，允许在不扩大现有建设用地、耕地、水产养殖规模和放牧强度（符合草畜平衡管理规定）的前提下，开展种植、放牧、捕捞、养殖（不包括投礁型海洋牧场、围海养殖）等活动，修筑生产生活设施。不破坏生态功能的适度参观旅游、科普宣教及符合相关规划的配套性服务设施和相关的必要公共设施建设及维护；经济林可采取提质增效方式继续发展特色经济林；生态保护红线除外的人工商品林可采取中幼林抚育、现有林改培等措施重点培育国家储备林；在维持森林生态系统健康稳定的前提下，可适度规模化、集约化开展林下经济活动；应科学合理设置必要措施，防止加剧或造成新的水土流失；在国有林地范围开展林下经济活动，应当符合已有的森林经营方案；能源林原则上经营者自主经营。</w:t>
      </w:r>
    </w:p>
    <w:bookmarkEnd w:id="101"/>
    <w:bookmarkEnd w:id="102"/>
    <w:bookmarkEnd w:id="103"/>
    <w:bookmarkStart w:id="105" w:name="_Toc24722"/>
    <w:p>
      <w:pPr>
        <w:pStyle w:val="000007"/>
        <w:keepNext/>
        <w:keepLines/>
        <w:pageBreakBefore w:val="false"/>
        <w:widowControl w:val="false"/>
        <w:numPr>
          <w:ilvl w:val="0"/>
          <w:numId w:val="1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限制利用的林地</w:t>
      </w:r>
      <w:bookmarkEnd w:id="105"/>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林地范围</w:t>
      </w:r>
      <w:r>
        <w:rPr>
          <w:rFonts w:hint="eastAsia" w:ascii="Times New Roman" w:hAnsi="Times New Roman" w:eastAsia="仿宋" w:cs="Times New Roman"/>
          <w:color w:val="000000"/>
          <w:spacing w:val="-6"/>
          <w:sz w:val="28"/>
          <w:szCs w:val="28"/>
          <w:lang w:val="en-US" w:eastAsia="zh-CN"/>
        </w:rPr>
        <w:t>：限制利用的林地面积约252.9894万亩，包括</w:t>
      </w:r>
      <w:r>
        <w:rPr>
          <w:rFonts w:ascii="Times New Roman" w:hAnsi="Times New Roman" w:eastAsia="仿宋" w:cs="Times New Roman"/>
          <w:color w:val="000000"/>
          <w:spacing w:val="-6"/>
          <w:sz w:val="28"/>
          <w:szCs w:val="28"/>
          <w:lang w:val="en-US" w:eastAsia="zh-CN"/>
        </w:rPr>
        <w:t>国家二级公益林、地方公益林、天然商品林，自然保护区一般控制区</w:t>
      </w:r>
      <w:r>
        <w:rPr>
          <w:rFonts w:hint="eastAsia" w:ascii="Times New Roman" w:hAnsi="Times New Roman" w:eastAsia="仿宋" w:cs="Times New Roman"/>
          <w:color w:val="000000"/>
          <w:spacing w:val="-6"/>
          <w:sz w:val="28"/>
          <w:szCs w:val="28"/>
          <w:lang w:val="en-US" w:eastAsia="zh-CN"/>
        </w:rPr>
        <w:t>内的林地，</w:t>
      </w:r>
      <w:r>
        <w:rPr>
          <w:rFonts w:ascii="Times New Roman" w:hAnsi="Times New Roman" w:eastAsia="仿宋" w:cs="Times New Roman"/>
          <w:color w:val="000000"/>
          <w:spacing w:val="-6"/>
          <w:sz w:val="28"/>
          <w:szCs w:val="28"/>
          <w:lang w:val="en-US" w:eastAsia="zh-CN"/>
        </w:rPr>
        <w:t>地质公园、湿地公园、风景名胜区等自然公园内的林地</w:t>
      </w:r>
      <w:r>
        <w:rPr>
          <w:rFonts w:hint="eastAsia" w:ascii="Times New Roman" w:hAnsi="Times New Roman" w:eastAsia="仿宋" w:cs="Times New Roman"/>
          <w:color w:val="000000"/>
          <w:spacing w:val="-6"/>
          <w:sz w:val="28"/>
          <w:szCs w:val="28"/>
          <w:lang w:val="en-US" w:eastAsia="zh-CN"/>
        </w:rPr>
        <w:t>及</w:t>
      </w:r>
      <w:r>
        <w:rPr>
          <w:rFonts w:ascii="Times New Roman" w:hAnsi="Times New Roman" w:eastAsia="仿宋" w:cs="Times New Roman"/>
          <w:color w:val="000000"/>
          <w:spacing w:val="-6"/>
          <w:sz w:val="28"/>
          <w:szCs w:val="28"/>
          <w:lang w:val="en-US" w:eastAsia="zh-CN"/>
        </w:rPr>
        <w:t>饮用水水源准保护区范围内的林地。</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管控要求</w:t>
      </w:r>
      <w:r>
        <w:rPr>
          <w:rFonts w:hint="eastAsia" w:ascii="Times New Roman" w:hAnsi="Times New Roman" w:eastAsia="仿宋" w:cs="Times New Roman"/>
          <w:color w:val="000000"/>
          <w:spacing w:val="-6"/>
          <w:sz w:val="28"/>
          <w:szCs w:val="28"/>
          <w:lang w:val="en-US" w:eastAsia="zh-CN"/>
        </w:rPr>
        <w:t>：禁止天然林商业性采伐，在不影响整体森林生态系统功能发挥的前提下开展抚育和更新性质的采伐；在不破坏森林植被的前提下，可以合理利用林地资源，适度开展林下种植养殖和森林游憩等非木质资源开发与利用，科学发展林下经济；需要开展抚育和更新采伐或者非木质资源培育利用的，还应当符合森林经营方案的规划，并编制采伐或非木质资源培育利用作业设计，并经县级以上林业主管部门依法批准后实施。</w:t>
      </w:r>
    </w:p>
    <w:bookmarkStart w:id="106" w:name="_Toc8581"/>
    <w:p>
      <w:pPr>
        <w:pStyle w:val="000007"/>
        <w:keepNext/>
        <w:keepLines/>
        <w:pageBreakBefore w:val="false"/>
        <w:widowControl w:val="false"/>
        <w:numPr>
          <w:ilvl w:val="0"/>
          <w:numId w:val="1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禁止利用的林地</w:t>
      </w:r>
      <w:bookmarkEnd w:id="106"/>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林地范围：</w:t>
      </w:r>
      <w:r>
        <w:rPr>
          <w:rFonts w:hint="eastAsia" w:ascii="Times New Roman" w:hAnsi="Times New Roman" w:eastAsia="仿宋" w:cs="Times New Roman"/>
          <w:color w:val="000000"/>
          <w:spacing w:val="-6"/>
          <w:sz w:val="28"/>
          <w:szCs w:val="28"/>
          <w:lang w:val="en-US" w:eastAsia="zh-CN"/>
        </w:rPr>
        <w:t>禁止利用的林地面积20.3835万亩，包括自然保护区核心保护区内的林地，国家一级公益林，林地保护等级为Ⅰ级的林地，划定的天然林重点保护区域内的林地，饮用水水源一级、二级保护区范围内的林地，珍稀濒危野生动植物重要栖息地（生境）及生物廊道内的林地及法律法规和国家、省级其他有关规定禁止开展经营利用的林地</w:t>
      </w:r>
      <w:r>
        <w:rPr>
          <w:rFonts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管控要求：</w:t>
      </w:r>
      <w:r>
        <w:rPr>
          <w:rFonts w:hint="eastAsia" w:ascii="Times New Roman" w:hAnsi="Times New Roman" w:eastAsia="仿宋" w:cs="Times New Roman"/>
          <w:color w:val="000000"/>
          <w:spacing w:val="-6"/>
          <w:sz w:val="28"/>
          <w:szCs w:val="28"/>
          <w:lang w:val="en-US" w:eastAsia="zh-CN"/>
        </w:rPr>
        <w:t>采取封禁管理，原则上不得开展任何形式的生产经营活动。因教学科研等确需采伐林木，或者发生较为严重森林火灾、病虫害及其他自然灾害等特殊情况确需对受害林木进行清理的，应当组织森林经理学、森林保护学、生态学等领域林业专家进行生态影响评价，经县级以上林业主管部门依法审批后实施。</w:t>
      </w:r>
    </w:p>
    <w:p>
      <w:pPr>
        <w:pStyle w:val="000001"/>
        <w:pageBreakBefore w:val="false"/>
        <w:kinsoku/>
        <w:wordWrap/>
        <w:overflowPunct/>
        <w:topLinePunct w:val="false"/>
        <w:bidi w:val="false"/>
        <w:spacing w:before="88" w:line="364" w:lineRule="exact"/>
        <w:ind/>
        <w:jc w:val="center"/>
        <w:rPr>
          <w:rFonts w:ascii="Times New Roman" w:hAnsi="Times New Roman" w:eastAsia="黑体" w:cs="Times New Roman"/>
          <w:color w:val="000000"/>
          <w:spacing w:val="7"/>
          <w:position w:val="1"/>
          <w:sz w:val="24"/>
          <w:szCs w:val="24"/>
          <w:lang w:val="en-US" w:eastAsia="zh-CN"/>
        </w:rPr>
      </w:pPr>
      <w:r>
        <w:rPr>
          <w:rFonts w:ascii="Times New Roman" w:hAnsi="Times New Roman" w:eastAsia="黑体" w:cs="Times New Roman"/>
          <w:color w:val="000000"/>
          <w:spacing w:val="7"/>
          <w:position w:val="1"/>
          <w:sz w:val="24"/>
          <w:szCs w:val="24"/>
          <w:lang w:val="en-US" w:eastAsia="zh-CN"/>
        </w:rPr>
        <w:t>表4.1 石柱县</w:t>
      </w:r>
      <w:r>
        <w:rPr>
          <w:rFonts w:hint="eastAsia" w:ascii="Times New Roman" w:hAnsi="Times New Roman" w:eastAsia="黑体" w:cs="Times New Roman"/>
          <w:color w:val="000000"/>
          <w:spacing w:val="7"/>
          <w:position w:val="1"/>
          <w:sz w:val="24"/>
          <w:szCs w:val="24"/>
          <w:lang w:val="en-US" w:eastAsia="zh-CN"/>
        </w:rPr>
        <w:t>林地利用</w:t>
      </w:r>
      <w:r>
        <w:rPr>
          <w:rFonts w:ascii="Times New Roman" w:hAnsi="Times New Roman" w:eastAsia="黑体" w:cs="Times New Roman"/>
          <w:color w:val="000000"/>
          <w:spacing w:val="7"/>
          <w:position w:val="1"/>
          <w:sz w:val="24"/>
          <w:szCs w:val="24"/>
          <w:lang w:val="en-US" w:eastAsia="zh-CN"/>
        </w:rPr>
        <w:t>空间分析及管控要求一览表</w:t>
      </w:r>
    </w:p>
    <w:tbl>
      <w:tblPr>
        <w:tblW w:w="0" w:type="auto"/>
        <w:tblCellSpacing w:w="28" w:type="dxa"/>
        <w:tblInd w:w="-349" w:type="dxa"/>
        <w:tblLayout w:type="fixed"/>
        <w:tblCellMar>
          <w:top w:w="0" w:type="dxa"/>
          <w:left w:w="283" w:type="dxa"/>
          <w:bottom w:w="0" w:type="dxa"/>
          <w:right w:w="283" w:type="dxa"/>
        </w:tblCellMar>
      </w:tblPr>
      <w:tblGrid>
        <w:gridCol w:w="1357"/>
        <w:gridCol w:w="3978"/>
        <w:gridCol w:w="3674"/>
      </w:tblGrid>
      <w:tr>
        <w:trPr>
          <w:wBefore/>
          <w:trHeight w:val="397" w:hRule="exact"/>
          <w:tblHeader/>
          <w:tblCellSpacing w:w="28" w:type="dxa"/>
        </w:trPr>
        <w:tc>
          <w:tcPr>
            <w:tcW w:w="5335" w:type="dxa"/>
            <w:gridSpan w:val="2"/>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黑体" w:hAnsi="黑体" w:eastAsia="黑体" w:cs="黑体"/>
                <w:snapToGrid/>
                <w:color w:val="000000"/>
                <w:kern w:val="0"/>
                <w:sz w:val="21"/>
                <w:szCs w:val="21"/>
                <w:lang w:val="en-US" w:eastAsia="zh-CN" w:bidi="ar"/>
              </w:rPr>
            </w:pPr>
            <w:r>
              <w:rPr>
                <w:rFonts w:hint="eastAsia" w:ascii="黑体" w:hAnsi="黑体" w:eastAsia="黑体" w:cs="黑体"/>
                <w:snapToGrid/>
                <w:color w:val="000000"/>
                <w:kern w:val="0"/>
                <w:sz w:val="21"/>
                <w:szCs w:val="21"/>
                <w:lang w:val="en-US" w:eastAsia="zh-CN" w:bidi="ar"/>
              </w:rPr>
              <w:t>产业用地空间划分</w:t>
            </w:r>
          </w:p>
        </w:tc>
        <w:tc>
          <w:tcPr>
            <w:tcW w:w="3674" w:type="dxa"/>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黑体" w:hAnsi="黑体" w:eastAsia="黑体" w:cs="黑体"/>
                <w:snapToGrid/>
                <w:color w:val="000000"/>
                <w:kern w:val="0"/>
                <w:sz w:val="21"/>
                <w:szCs w:val="21"/>
                <w:lang w:val="en-US" w:eastAsia="zh-CN" w:bidi="ar"/>
              </w:rPr>
            </w:pPr>
            <w:r>
              <w:rPr>
                <w:rFonts w:hint="eastAsia" w:ascii="黑体" w:hAnsi="黑体" w:eastAsia="黑体" w:cs="黑体"/>
                <w:snapToGrid/>
                <w:color w:val="000000"/>
                <w:kern w:val="0"/>
                <w:sz w:val="21"/>
                <w:szCs w:val="21"/>
                <w:lang w:val="en-US" w:eastAsia="zh-CN" w:bidi="ar"/>
              </w:rPr>
              <w:t>管控要求</w:t>
            </w:r>
          </w:p>
        </w:tc>
      </w:tr>
      <w:tr>
        <w:trPr>
          <w:wBefore/>
          <w:cantSplit/>
          <w:trHeight w:val="1241" w:hRule="atLeast"/>
          <w:tblCellSpacing w:w="28" w:type="dxa"/>
        </w:trPr>
        <w:tc>
          <w:tcPr>
            <w:tcW w:w="135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优先利用的林地</w:t>
            </w:r>
          </w:p>
        </w:tc>
        <w:tc>
          <w:tcPr>
            <w:tcW w:w="3978" w:type="dxa"/>
            <w:tcBorders>
              <w:top w:val="single" w:color="000000" w:sz="4" w:space="0"/>
              <w:left w:val="single" w:color="000000" w:sz="4" w:space="0"/>
              <w:bottom w:val="single" w:color="000000" w:sz="4" w:space="0"/>
              <w:right w:val="single" w:color="000000" w:sz="4" w:space="0"/>
            </w:tcBorders>
            <w:noWrap/>
            <w:tcMar>
              <w:top w:w="0" w:type="dxa"/>
              <w:left w:w="283" w:type="dxa"/>
              <w:bottom w:w="0" w:type="dxa"/>
              <w:right w:w="283" w:type="dxa"/>
            </w:tcMar>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人工商品林</w:t>
            </w:r>
          </w:p>
        </w:tc>
        <w:tc>
          <w:tcPr>
            <w:tcW w:w="3674" w:type="dxa"/>
            <w:tcBorders>
              <w:top w:val="single" w:color="000000" w:sz="4" w:space="0"/>
              <w:left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both"/>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能源林原则上经营者可自主经营；生态保护红线除外的用材林可采取中幼林抚育、现有林改培等措施重点培育国家储备林，生态保护红线内自然保护地核心保护区外，禁止开发性、生产性建设活动，在符合法律法规的前提下，仅允许以下对生态功能不造成破坏的有限人为活动；经济林采取提质增效继续发展特色经济林；</w:t>
            </w:r>
          </w:p>
        </w:tc>
      </w:tr>
      <w:tr>
        <w:trPr>
          <w:wBefore/>
          <w:trHeight w:val="90" w:hRule="atLeast"/>
          <w:tblCellSpacing w:w="28" w:type="dxa"/>
        </w:trPr>
        <w:tc>
          <w:tcPr>
            <w:tcW w:w="135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限制利用的林地</w:t>
            </w:r>
          </w:p>
        </w:tc>
        <w:tc>
          <w:tcPr>
            <w:tcW w:w="3978"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1.人工国家二级公益林；</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2.地方公益林；</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3.天然商品林；</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4.自然保护区一般控制区；</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5.地质公园、湿地公园、风景名胜区等自然公园内的林地。</w:t>
            </w:r>
          </w:p>
        </w:tc>
        <w:tc>
          <w:tcPr>
            <w:tcW w:w="367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both"/>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禁止天然林商业性采伐；在不影响整体森林生态系统功能发挥的前提下开展抚育和更新性质的采伐；在不破坏森林植被的前提下，可以合理利用林地资源，适度开展林下种植养殖和森林游憩等非木质资源开发与利用，科学发展林下经济。</w:t>
            </w:r>
          </w:p>
        </w:tc>
      </w:tr>
      <w:tr>
        <w:trPr>
          <w:wBefore/>
          <w:trHeight w:val="90" w:hRule="atLeast"/>
          <w:tblCellSpacing w:w="28" w:type="dxa"/>
        </w:trPr>
        <w:tc>
          <w:tcPr>
            <w:tcW w:w="1357"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禁止利用的林地</w:t>
            </w:r>
          </w:p>
        </w:tc>
        <w:tc>
          <w:tcPr>
            <w:tcW w:w="3978"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1.自然保护区核心保护区的林地；</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2.饮用水水源一级、二级保护区范围内的林地；</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3.珍稀濒危野生动植物重要栖息地（生境）及生物廊道内的林地；</w:t>
            </w:r>
          </w:p>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4.天然国家二级公益林；</w:t>
            </w:r>
          </w:p>
        </w:tc>
        <w:tc>
          <w:tcPr>
            <w:tcW w:w="367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both"/>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原则上不得开展任何形式的生产经营活动，采取封禁管理；</w:t>
            </w:r>
          </w:p>
        </w:tc>
      </w:tr>
    </w:tbl>
    <w:bookmarkStart w:id="107" w:name="_Toc5946"/>
    <w:bookmarkStart w:id="108" w:name="_Toc15915"/>
    <w:bookmarkStart w:id="109" w:name="_Toc3696"/>
    <w:bookmarkStart w:id="110" w:name="_Toc16165"/>
    <w:bookmarkStart w:id="111" w:name="_Toc32202"/>
    <w:p>
      <w:pPr>
        <w:pStyle w:val="000006"/>
        <w:keepNext/>
        <w:keepLines/>
        <w:pageBreakBefore w:val="false"/>
        <w:widowControl w:val="false"/>
        <w:numPr>
          <w:ilvl w:val="0"/>
          <w:numId w:val="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林草产业发展正负面清单</w:t>
      </w:r>
      <w:bookmarkEnd w:id="107"/>
      <w:bookmarkEnd w:id="108"/>
      <w:bookmarkEnd w:id="109"/>
      <w:bookmarkEnd w:id="110"/>
      <w:bookmarkEnd w:id="111"/>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根据《全国林下经济发展指南》《国家储备林建设管理办法》《重庆市国家储备林建设管理实施细则》等编制林草产业发展正负面清单，详见表4.2.</w:t>
      </w:r>
    </w:p>
    <w:p>
      <w:pPr>
        <w:pStyle w:val="000001"/>
        <w:pageBreakBefore w:val="false"/>
        <w:kinsoku/>
        <w:wordWrap/>
        <w:overflowPunct/>
        <w:topLinePunct w:val="false"/>
        <w:bidi w:val="false"/>
        <w:spacing w:before="88" w:line="364" w:lineRule="exact"/>
        <w:ind/>
        <w:jc w:val="center"/>
        <w:rPr>
          <w:rFonts w:ascii="Times New Roman" w:hAnsi="Times New Roman" w:eastAsia="黑体" w:cs="Times New Roman"/>
          <w:color w:val="000000"/>
          <w:spacing w:val="7"/>
          <w:position w:val="1"/>
          <w:sz w:val="24"/>
          <w:szCs w:val="24"/>
          <w:lang w:val="en-US" w:eastAsia="zh-CN"/>
        </w:rPr>
      </w:pPr>
      <w:r>
        <w:rPr>
          <w:rFonts w:ascii="Times New Roman" w:hAnsi="Times New Roman" w:eastAsia="黑体" w:cs="Times New Roman"/>
          <w:color w:val="000000"/>
          <w:spacing w:val="7"/>
          <w:position w:val="1"/>
          <w:sz w:val="24"/>
          <w:szCs w:val="24"/>
          <w:lang w:val="en-US" w:eastAsia="zh-CN"/>
        </w:rPr>
        <w:t>表4.2 林草产业发展正负面清单</w:t>
      </w:r>
    </w:p>
    <w:tbl>
      <w:tblPr>
        <w:tblW w:w="0" w:type="auto"/>
        <w:tblCellSpacing w:w="28" w:type="dxa"/>
        <w:tblInd w:w="-174" w:type="dxa"/>
        <w:tblLayout w:type="fixed"/>
        <w:tblCellMar>
          <w:top w:w="0" w:type="dxa"/>
          <w:left w:w="108" w:type="dxa"/>
          <w:bottom w:w="0" w:type="dxa"/>
          <w:right w:w="108" w:type="dxa"/>
        </w:tblCellMar>
      </w:tblPr>
      <w:tblGrid>
        <w:gridCol w:w="859"/>
        <w:gridCol w:w="837"/>
        <w:gridCol w:w="3389"/>
        <w:gridCol w:w="3571"/>
      </w:tblGrid>
      <w:tr>
        <w:trPr>
          <w:wBefore/>
          <w:trHeight w:val="268" w:hRule="atLeast"/>
          <w:tblHeader/>
          <w:tblCellSpacing w:w="28" w:type="dxa"/>
        </w:trPr>
        <w:tc>
          <w:tcPr>
            <w:tcW w:w="1696" w:type="dxa"/>
            <w:gridSpan w:val="2"/>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黑体" w:hAnsi="黑体" w:eastAsia="黑体" w:cs="黑体"/>
                <w:snapToGrid/>
                <w:color w:val="000000"/>
                <w:kern w:val="0"/>
                <w:sz w:val="21"/>
                <w:szCs w:val="21"/>
                <w:lang w:val="en-US" w:eastAsia="zh-CN" w:bidi="ar"/>
              </w:rPr>
            </w:pPr>
            <w:r>
              <w:rPr>
                <w:rFonts w:hint="eastAsia" w:ascii="黑体" w:hAnsi="黑体" w:eastAsia="黑体" w:cs="黑体"/>
                <w:snapToGrid/>
                <w:color w:val="000000"/>
                <w:kern w:val="0"/>
                <w:sz w:val="21"/>
                <w:szCs w:val="21"/>
                <w:lang w:val="en-US" w:eastAsia="zh-CN" w:bidi="ar"/>
              </w:rPr>
              <w:t>发展产业</w:t>
            </w:r>
          </w:p>
        </w:tc>
        <w:tc>
          <w:tcPr>
            <w:tcW w:w="3389" w:type="dxa"/>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黑体" w:hAnsi="黑体" w:eastAsia="黑体" w:cs="黑体"/>
                <w:snapToGrid/>
                <w:color w:val="000000"/>
                <w:kern w:val="0"/>
                <w:sz w:val="21"/>
                <w:szCs w:val="21"/>
                <w:lang w:val="en-US" w:eastAsia="zh-CN" w:bidi="ar"/>
              </w:rPr>
            </w:pPr>
            <w:r>
              <w:rPr>
                <w:rFonts w:hint="eastAsia" w:ascii="黑体" w:hAnsi="黑体" w:eastAsia="黑体" w:cs="黑体"/>
                <w:snapToGrid/>
                <w:color w:val="000000"/>
                <w:kern w:val="0"/>
                <w:sz w:val="21"/>
                <w:szCs w:val="21"/>
                <w:lang w:val="en-US" w:eastAsia="zh-CN" w:bidi="ar"/>
              </w:rPr>
              <w:t>正面清单</w:t>
            </w:r>
          </w:p>
        </w:tc>
        <w:tc>
          <w:tcPr>
            <w:tcW w:w="3571" w:type="dxa"/>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黑体" w:hAnsi="黑体" w:eastAsia="黑体" w:cs="黑体"/>
                <w:snapToGrid/>
                <w:color w:val="000000"/>
                <w:kern w:val="0"/>
                <w:sz w:val="21"/>
                <w:szCs w:val="21"/>
                <w:lang w:val="en-US" w:eastAsia="zh-CN" w:bidi="ar"/>
              </w:rPr>
            </w:pPr>
            <w:r>
              <w:rPr>
                <w:rFonts w:hint="eastAsia" w:ascii="黑体" w:hAnsi="黑体" w:eastAsia="黑体" w:cs="黑体"/>
                <w:snapToGrid/>
                <w:color w:val="000000"/>
                <w:kern w:val="0"/>
                <w:sz w:val="21"/>
                <w:szCs w:val="21"/>
                <w:lang w:val="en-US" w:eastAsia="zh-CN" w:bidi="ar"/>
              </w:rPr>
              <w:t>负面清单</w:t>
            </w:r>
          </w:p>
        </w:tc>
      </w:tr>
      <w:tr>
        <w:trPr>
          <w:wBefore/>
          <w:trHeight w:val="90" w:hRule="atLeast"/>
          <w:tblCellSpacing w:w="28" w:type="dxa"/>
        </w:trPr>
        <w:tc>
          <w:tcPr>
            <w:tcW w:w="169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国家储备林</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优先利用的林地中的生态保护红线外的人工商品林</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各类自然保护地、草地、重要湿地、野生动物栖息地、野生植物保护点、耕地、公益林、天然林、生态保护红线内的人工商品林</w:t>
            </w:r>
          </w:p>
        </w:tc>
      </w:tr>
      <w:tr>
        <w:trPr>
          <w:wBefore/>
          <w:trHeight w:val="270" w:hRule="atLeast"/>
          <w:tblCellSpacing w:w="28" w:type="dxa"/>
        </w:trPr>
        <w:tc>
          <w:tcPr>
            <w:tcW w:w="169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经济林</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限制利用的林地和优先利用的林地范围中的人工能源林和人工经济林、四旁空间</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禁止利用的林地、限制利用的林地中的天然林和人工用材林、优先利用的林地中的天然林和人工用材林</w:t>
            </w:r>
          </w:p>
        </w:tc>
      </w:tr>
      <w:tr>
        <w:trPr>
          <w:wBefore/>
          <w:trHeight w:val="740" w:hRule="atLeast"/>
          <w:tblCellSpacing w:w="28" w:type="dxa"/>
        </w:trPr>
        <w:tc>
          <w:tcPr>
            <w:tcW w:w="169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森林康养</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在不破坏生态功能的前提下，开展各类森林景观利用及符合相关规划的配套性服务设施和相关的必要公共设施建设及维护</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限制利用的林地内，不得开展酒店、别墅、大型娱乐设施等不符合相关规划和生态管控要求的设施建设</w:t>
            </w:r>
          </w:p>
        </w:tc>
      </w:tr>
      <w:tr>
        <w:trPr>
          <w:wBefore/>
          <w:trHeight w:val="1236" w:hRule="atLeast"/>
          <w:tblCellSpacing w:w="28" w:type="dxa"/>
        </w:trPr>
        <w:tc>
          <w:tcPr>
            <w:tcW w:w="169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林下经济利用林地范围</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人工商品林、自然保护地一般控制区、除国家一级公益林外的其他公益林、除划定为天然林重点保护区域外的其他天然林、饮用水水源准保护区等范围内的林地</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自然保护地核心保护区、国家一级公益林、I 级保护林地、天然林重点保护区域、饮用水水源保护区、珍稀濒危野生动植物重要栖息地（生境）及生物廊道内等范围内的林地</w:t>
            </w:r>
          </w:p>
        </w:tc>
      </w:tr>
      <w:tr>
        <w:trPr>
          <w:wBefore/>
          <w:trHeight w:val="1236" w:hRule="atLeast"/>
          <w:tblCellSpacing w:w="28" w:type="dxa"/>
        </w:trPr>
        <w:tc>
          <w:tcPr>
            <w:tcW w:w="859"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林下经济发展模式</w:t>
            </w:r>
          </w:p>
        </w:tc>
        <w:tc>
          <w:tcPr>
            <w:tcW w:w="83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林下</w:t>
            </w:r>
            <w:r>
              <w:rPr>
                <w:rFonts w:hint="eastAsia" w:ascii="仿宋" w:hAnsi="仿宋" w:eastAsia="仿宋" w:cs="仿宋"/>
                <w:snapToGrid/>
                <w:color w:val="000000"/>
                <w:kern w:val="0"/>
                <w:sz w:val="21"/>
                <w:szCs w:val="21"/>
                <w:lang w:val="en-US" w:eastAsia="zh-CN" w:bidi="ar"/>
              </w:rPr>
              <w:br w:type="textWrapping" w:clear="all"/>
            </w:r>
            <w:r>
              <w:rPr>
                <w:rFonts w:hint="eastAsia" w:ascii="仿宋" w:hAnsi="仿宋" w:eastAsia="仿宋" w:cs="仿宋"/>
                <w:snapToGrid/>
                <w:color w:val="000000"/>
                <w:kern w:val="0"/>
                <w:sz w:val="21"/>
                <w:szCs w:val="21"/>
                <w:lang w:val="en-US" w:eastAsia="zh-CN" w:bidi="ar"/>
              </w:rPr>
              <w:br w:type="textWrapping" w:clear="all"/>
            </w:r>
            <w:r>
              <w:rPr>
                <w:rFonts w:hint="eastAsia" w:ascii="仿宋" w:hAnsi="仿宋" w:eastAsia="仿宋" w:cs="仿宋"/>
                <w:snapToGrid/>
                <w:color w:val="000000"/>
                <w:kern w:val="0"/>
                <w:sz w:val="21"/>
                <w:szCs w:val="21"/>
                <w:lang w:val="en-US" w:eastAsia="zh-CN" w:bidi="ar"/>
              </w:rPr>
              <w:t>种植</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优先利用的林地内，开展适度规模化、集约化林下经营；限制利用林地范围内，开展林下仿野生栽培</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限制利用的林地内，不得开展全面林地清理和整地，不得全面采伐（割除）林下幼苗幼树、灌木和草本植物，间伐后林分郁闭度不低于0.6；不得施用化学肥料和化学农药</w:t>
            </w:r>
          </w:p>
        </w:tc>
      </w:tr>
      <w:tr>
        <w:trPr>
          <w:wBefore/>
          <w:trHeight w:val="720" w:hRule="atLeast"/>
          <w:tblCellSpacing w:w="28" w:type="dxa"/>
        </w:trPr>
        <w:tc>
          <w:tcPr>
            <w:tcW w:w="859"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林下</w:t>
            </w:r>
            <w:r>
              <w:rPr>
                <w:rFonts w:hint="eastAsia" w:ascii="仿宋" w:hAnsi="仿宋" w:eastAsia="仿宋" w:cs="仿宋"/>
                <w:snapToGrid/>
                <w:color w:val="000000"/>
                <w:kern w:val="0"/>
                <w:sz w:val="21"/>
                <w:szCs w:val="21"/>
                <w:lang w:val="en-US" w:eastAsia="zh-CN" w:bidi="ar"/>
              </w:rPr>
              <w:br w:type="textWrapping" w:clear="all"/>
            </w:r>
            <w:r>
              <w:rPr>
                <w:rFonts w:hint="eastAsia" w:ascii="仿宋" w:hAnsi="仿宋" w:eastAsia="仿宋" w:cs="仿宋"/>
                <w:snapToGrid/>
                <w:color w:val="000000"/>
                <w:kern w:val="0"/>
                <w:sz w:val="21"/>
                <w:szCs w:val="21"/>
                <w:lang w:val="en-US" w:eastAsia="zh-CN" w:bidi="ar"/>
              </w:rPr>
              <w:br w:type="textWrapping" w:clear="all"/>
            </w:r>
            <w:r>
              <w:rPr>
                <w:rFonts w:hint="eastAsia" w:ascii="仿宋" w:hAnsi="仿宋" w:eastAsia="仿宋" w:cs="仿宋"/>
                <w:snapToGrid/>
                <w:color w:val="000000"/>
                <w:kern w:val="0"/>
                <w:sz w:val="21"/>
                <w:szCs w:val="21"/>
                <w:lang w:val="en-US" w:eastAsia="zh-CN" w:bidi="ar"/>
              </w:rPr>
              <w:t>养殖</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优先利用的林地内，开展林蜂、林禽、林畜等林下养殖；限制利用林地范围内，开展林下蜜蜂养殖等；建设必要的生产辅助设施</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限制利用的林地内，不得开展林禽、林畜等林下养殖</w:t>
            </w:r>
          </w:p>
        </w:tc>
      </w:tr>
      <w:tr>
        <w:trPr>
          <w:wBefore/>
          <w:trHeight w:val="648" w:hRule="atLeast"/>
          <w:tblCellSpacing w:w="28" w:type="dxa"/>
        </w:trPr>
        <w:tc>
          <w:tcPr>
            <w:tcW w:w="859"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center"/>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林下</w:t>
            </w:r>
            <w:r>
              <w:rPr>
                <w:rFonts w:hint="eastAsia" w:ascii="仿宋" w:hAnsi="仿宋" w:eastAsia="仿宋" w:cs="仿宋"/>
                <w:snapToGrid/>
                <w:color w:val="000000"/>
                <w:kern w:val="0"/>
                <w:sz w:val="21"/>
                <w:szCs w:val="21"/>
                <w:lang w:val="en-US" w:eastAsia="zh-CN" w:bidi="ar"/>
              </w:rPr>
              <w:br w:type="textWrapping" w:clear="all"/>
            </w:r>
            <w:r>
              <w:rPr>
                <w:rFonts w:hint="eastAsia" w:ascii="仿宋" w:hAnsi="仿宋" w:eastAsia="仿宋" w:cs="仿宋"/>
                <w:snapToGrid/>
                <w:color w:val="000000"/>
                <w:kern w:val="0"/>
                <w:sz w:val="21"/>
                <w:szCs w:val="21"/>
                <w:lang w:val="en-US" w:eastAsia="zh-CN" w:bidi="ar"/>
              </w:rPr>
              <w:br w:type="textWrapping" w:clear="all"/>
            </w:r>
            <w:r>
              <w:rPr>
                <w:rFonts w:hint="eastAsia" w:ascii="仿宋" w:hAnsi="仿宋" w:eastAsia="仿宋" w:cs="仿宋"/>
                <w:snapToGrid/>
                <w:color w:val="000000"/>
                <w:kern w:val="0"/>
                <w:sz w:val="21"/>
                <w:szCs w:val="21"/>
                <w:lang w:val="en-US" w:eastAsia="zh-CN" w:bidi="ar"/>
              </w:rPr>
              <w:t>采集</w:t>
            </w:r>
          </w:p>
        </w:tc>
        <w:tc>
          <w:tcPr>
            <w:tcW w:w="3389"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适度开展林下野生菌、野山笋、山野菜等采集，开展保育促繁，实现林下资源永续利用</w:t>
            </w:r>
          </w:p>
        </w:tc>
        <w:tc>
          <w:tcPr>
            <w:tcW w:w="3571"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pageBreakBefore w:val="false"/>
              <w:widowControl/>
              <w:kinsoku/>
              <w:wordWrap/>
              <w:overflowPunct/>
              <w:topLinePunct w:val="false"/>
              <w:autoSpaceDE/>
              <w:autoSpaceDN/>
              <w:bidi w:val="false"/>
              <w:spacing w:line="0" w:lineRule="atLeast"/>
              <w:ind w:firstLine="0" w:firstLineChars="0"/>
              <w:jc w:val="left"/>
              <w:rPr>
                <w:rFonts w:hint="eastAsia" w:ascii="仿宋" w:hAnsi="仿宋" w:eastAsia="仿宋" w:cs="仿宋"/>
                <w:snapToGrid/>
                <w:color w:val="000000"/>
                <w:kern w:val="0"/>
                <w:sz w:val="21"/>
                <w:szCs w:val="21"/>
                <w:lang w:val="en-US" w:eastAsia="zh-CN" w:bidi="ar"/>
              </w:rPr>
            </w:pPr>
            <w:r>
              <w:rPr>
                <w:rFonts w:hint="eastAsia" w:ascii="仿宋" w:hAnsi="仿宋" w:eastAsia="仿宋" w:cs="仿宋"/>
                <w:snapToGrid/>
                <w:color w:val="000000"/>
                <w:kern w:val="0"/>
                <w:sz w:val="21"/>
                <w:szCs w:val="21"/>
                <w:lang w:val="en-US" w:eastAsia="zh-CN" w:bidi="ar"/>
              </w:rPr>
              <w:t>不得开展保护及濒危植物采集</w:t>
            </w:r>
          </w:p>
        </w:tc>
      </w:tr>
    </w:tbl>
    <w:p>
      <w:pPr>
        <w:sectPr>
          <w:type w:val="nextPage"/>
          <w:pgSz w:w="11905" w:h="16840"/>
          <w:pgMar w:top="1440" w:right="1797" w:bottom="1440" w:left="1797" w:header="1134" w:footer="1191" w:gutter="0"/>
          <w:pgNumType w:start="1"/>
          <w:cols/>
          <w:docGrid/>
        </w:sectPr>
      </w:pPr>
    </w:p>
    <w:p>
      <w:pPr>
        <w:pStyle w:val="000001"/>
        <w:pageBreakBefore w:val="false"/>
        <w:kinsoku/>
        <w:wordWrap/>
        <w:overflowPunct/>
        <w:topLinePunct w:val="false"/>
        <w:bidi w:val="false"/>
        <w:spacing w:before="88" w:line="364" w:lineRule="exact"/>
        <w:ind/>
        <w:jc w:val="center"/>
        <w:rPr>
          <w:rFonts w:hint="eastAsia" w:ascii="黑体" w:hAnsi="黑体" w:eastAsia="黑体" w:cs="黑体"/>
          <w:color w:val="000000"/>
          <w:spacing w:val="7"/>
          <w:position w:val="1"/>
          <w:sz w:val="24"/>
          <w:szCs w:val="24"/>
          <w:lang w:val="en-US" w:eastAsia="zh-CN"/>
        </w:rPr>
      </w:pPr>
      <w:r>
        <w:rPr>
          <w:rFonts w:hint="eastAsia" w:ascii="黑体" w:hAnsi="黑体" w:eastAsia="黑体" w:cs="黑体"/>
          <w:color w:val="000000"/>
          <w:spacing w:val="7"/>
          <w:position w:val="1"/>
          <w:sz w:val="24"/>
          <w:szCs w:val="24"/>
          <w:lang w:val="en-US" w:eastAsia="zh-CN"/>
        </w:rPr>
        <w:t>表4.3 石柱县各产业用地空间指引表</w:t>
      </w:r>
    </w:p>
    <w:tbl>
      <w:tblPr>
        <w:tblW w:w="0" w:type="auto"/>
        <w:tblCellSpacing w:w="28" w:type="dxa"/>
        <w:tblInd w:w="-66" w:type="dxa"/>
        <w:tblLayout w:type="fixed"/>
        <w:tblCellMar>
          <w:top w:w="0" w:type="dxa"/>
          <w:left w:w="0" w:type="dxa"/>
          <w:bottom w:w="0" w:type="dxa"/>
          <w:right w:w="0" w:type="dxa"/>
        </w:tblCellMar>
      </w:tblPr>
      <w:tblGrid>
        <w:gridCol w:w="511"/>
        <w:gridCol w:w="353"/>
        <w:gridCol w:w="721"/>
        <w:gridCol w:w="2204"/>
        <w:gridCol w:w="1983"/>
        <w:gridCol w:w="1646"/>
        <w:gridCol w:w="1131"/>
        <w:gridCol w:w="720"/>
        <w:gridCol w:w="960"/>
        <w:gridCol w:w="3144"/>
      </w:tblGrid>
      <w:tr>
        <w:trPr>
          <w:wBefore/>
          <w:trHeight w:val="312" w:hRule="exact"/>
          <w:tblHeader/>
          <w:tblCellSpacing w:w="28" w:type="dxa"/>
        </w:trPr>
        <w:tc>
          <w:tcPr>
            <w:tcW w:w="511" w:type="dxa"/>
            <w:vMerge w:val="restart"/>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序号</w:t>
            </w:r>
          </w:p>
        </w:tc>
        <w:tc>
          <w:tcPr>
            <w:tcW w:w="3278" w:type="dxa"/>
            <w:gridSpan w:val="3"/>
            <w:vMerge w:val="restart"/>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发展模式</w:t>
            </w:r>
          </w:p>
        </w:tc>
        <w:tc>
          <w:tcPr>
            <w:tcW w:w="1983" w:type="dxa"/>
            <w:vMerge w:val="restart"/>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产品推荐</w:t>
            </w:r>
          </w:p>
        </w:tc>
        <w:tc>
          <w:tcPr>
            <w:tcW w:w="7601" w:type="dxa"/>
            <w:gridSpan w:val="5"/>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林地利用条件</w:t>
            </w:r>
          </w:p>
        </w:tc>
      </w:tr>
      <w:tr>
        <w:trPr>
          <w:wBefore/>
          <w:trHeight w:val="312" w:hRule="exact"/>
          <w:tblHeader/>
          <w:tblCellSpacing w:w="28" w:type="dxa"/>
        </w:trPr>
        <w:tc>
          <w:tcPr>
            <w:tcW w:w="511" w:type="dxa"/>
            <w:vMerge w:val="continue"/>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p>
        </w:tc>
        <w:tc>
          <w:tcPr>
            <w:tcW w:w="3278" w:type="dxa"/>
            <w:gridSpan w:val="3"/>
            <w:vMerge w:val="continue"/>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p>
        </w:tc>
        <w:tc>
          <w:tcPr>
            <w:tcW w:w="1983" w:type="dxa"/>
            <w:vMerge w:val="continue"/>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p>
        </w:tc>
        <w:tc>
          <w:tcPr>
            <w:tcW w:w="1646" w:type="dxa"/>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地类</w:t>
            </w:r>
          </w:p>
        </w:tc>
        <w:tc>
          <w:tcPr>
            <w:tcW w:w="1131" w:type="dxa"/>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海拔</w:t>
            </w:r>
          </w:p>
        </w:tc>
        <w:tc>
          <w:tcPr>
            <w:tcW w:w="720" w:type="dxa"/>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坡度</w:t>
            </w:r>
          </w:p>
        </w:tc>
        <w:tc>
          <w:tcPr>
            <w:tcW w:w="960" w:type="dxa"/>
            <w:tcBorders>
              <w:top w:val="single" w:color="000000" w:sz="4" w:space="0"/>
              <w:left w:val="single" w:color="000000" w:sz="4" w:space="0"/>
              <w:bottom w:val="single" w:color="000000" w:sz="4" w:space="0"/>
              <w:right w:val="single" w:color="000000" w:sz="4" w:space="0"/>
            </w:tcBorders>
            <w:shd w:val="clear" w:color="auto" w:fill="d7d7d7"/>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郁闭度</w:t>
            </w:r>
          </w:p>
        </w:tc>
        <w:tc>
          <w:tcPr>
            <w:tcW w:w="3144" w:type="dxa"/>
            <w:tcBorders>
              <w:top w:val="single" w:color="000000" w:sz="4" w:space="0"/>
              <w:left w:val="single" w:color="000000" w:sz="4" w:space="0"/>
              <w:bottom w:val="single" w:color="000000" w:sz="4" w:space="0"/>
              <w:right w:val="single" w:color="000000" w:sz="4" w:space="0"/>
            </w:tcBorders>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i w:val="false"/>
                <w:iCs w:val="false"/>
                <w:caps w:val="false"/>
                <w:color w:val="000000"/>
                <w:spacing w:val="0"/>
                <w:kern w:val="0"/>
                <w:sz w:val="21"/>
                <w:szCs w:val="21"/>
                <w:lang w:val="en-US" w:eastAsia="zh-CN" w:bidi="ar"/>
              </w:rPr>
            </w:pPr>
            <w:r>
              <w:rPr>
                <w:rFonts w:hint="eastAsia" w:ascii="黑体" w:hAnsi="黑体" w:eastAsia="黑体" w:cs="黑体"/>
                <w:b w:val="false"/>
                <w:i w:val="false"/>
                <w:iCs w:val="false"/>
                <w:caps w:val="false"/>
                <w:color w:val="000000"/>
                <w:spacing w:val="0"/>
                <w:kern w:val="0"/>
                <w:sz w:val="21"/>
                <w:szCs w:val="21"/>
                <w:lang w:val="en-US" w:eastAsia="zh-CN" w:bidi="ar"/>
              </w:rPr>
              <w:t>其他</w:t>
            </w:r>
          </w:p>
        </w:tc>
      </w:tr>
      <w:tr>
        <w:trPr>
          <w:wBefore/>
          <w:trHeight w:val="726" w:hRule="exact"/>
          <w:tblCellSpacing w:w="28" w:type="dxa"/>
        </w:trPr>
        <w:tc>
          <w:tcPr>
            <w:tcW w:w="511" w:type="dxa"/>
            <w:vMerge w:val="restart"/>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1</w:t>
            </w:r>
          </w:p>
        </w:tc>
        <w:tc>
          <w:tcPr>
            <w:tcW w:w="353"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林下种植</w:t>
            </w:r>
          </w:p>
        </w:tc>
        <w:tc>
          <w:tcPr>
            <w:tcW w:w="721"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林药模式</w:t>
            </w: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通用模式</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黄连、天麻、黄精、淫羊藿、铁皮石斛等</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500m以上</w:t>
            </w: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144" w:type="dxa"/>
            <w:vMerge w:val="restart"/>
            <w:tcBorders>
              <w:top w:val="single" w:color="000000" w:sz="4" w:space="0"/>
              <w:left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优先选择优先利用范围中交通便利、近水源且排水良好的有林地；</w:t>
            </w:r>
          </w:p>
        </w:tc>
      </w:tr>
      <w:tr>
        <w:trPr>
          <w:wBefore/>
          <w:trHeight w:val="422" w:hRule="exact"/>
          <w:tblCellSpacing w:w="28" w:type="dxa"/>
        </w:trPr>
        <w:tc>
          <w:tcPr>
            <w:tcW w:w="511"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5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1"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林连互利共生模式</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黄连</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1200m以上</w:t>
            </w: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144" w:type="dxa"/>
            <w:vMerge w:val="continue"/>
            <w:tcBorders>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r>
      <w:tr>
        <w:trPr>
          <w:wBefore/>
          <w:trHeight w:val="312" w:hRule="exact"/>
          <w:tblCellSpacing w:w="28" w:type="dxa"/>
        </w:trPr>
        <w:tc>
          <w:tcPr>
            <w:tcW w:w="511"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5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1"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林菌模式</w:t>
            </w: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林下地表种植模式</w:t>
            </w:r>
          </w:p>
        </w:tc>
        <w:tc>
          <w:tcPr>
            <w:tcW w:w="1983"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羊肚菌、赤松茸、竹荪等食用菌</w:t>
            </w:r>
          </w:p>
        </w:tc>
        <w:tc>
          <w:tcPr>
            <w:tcW w:w="1646" w:type="dxa"/>
            <w:vMerge w:val="restart"/>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乔木林地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0.2~0.5</w:t>
            </w:r>
          </w:p>
        </w:tc>
        <w:tc>
          <w:tcPr>
            <w:tcW w:w="3144" w:type="dxa"/>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优先选择优先利用范围中3公里内无污染、通风好、连片、近水源，且土壤适种的林地；</w:t>
            </w:r>
          </w:p>
        </w:tc>
      </w:tr>
      <w:tr>
        <w:trPr>
          <w:wBefore/>
          <w:trHeight w:val="312" w:hRule="exact"/>
          <w:tblCellSpacing w:w="28" w:type="dxa"/>
        </w:trPr>
        <w:tc>
          <w:tcPr>
            <w:tcW w:w="511"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5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1"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林下覆土种植模式</w:t>
            </w:r>
          </w:p>
        </w:tc>
        <w:tc>
          <w:tcPr>
            <w:tcW w:w="198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1646"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≥0.7</w:t>
            </w:r>
          </w:p>
        </w:tc>
        <w:tc>
          <w:tcPr>
            <w:tcW w:w="3144"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r>
      <w:tr>
        <w:trPr>
          <w:wBefore/>
          <w:trHeight w:val="341" w:hRule="exact"/>
          <w:tblCellSpacing w:w="28" w:type="dxa"/>
        </w:trPr>
        <w:tc>
          <w:tcPr>
            <w:tcW w:w="511"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5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1"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林下播种种植模式</w:t>
            </w:r>
          </w:p>
        </w:tc>
        <w:tc>
          <w:tcPr>
            <w:tcW w:w="1983"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1646"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0.5~0.8</w:t>
            </w:r>
          </w:p>
        </w:tc>
        <w:tc>
          <w:tcPr>
            <w:tcW w:w="3144" w:type="dxa"/>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r>
      <w:tr>
        <w:trPr>
          <w:wBefore/>
          <w:trHeight w:val="1251" w:hRule="exact"/>
          <w:tblCellSpacing w:w="28" w:type="dxa"/>
        </w:trPr>
        <w:tc>
          <w:tcPr>
            <w:tcW w:w="511" w:type="dxa"/>
            <w:vMerge w:val="restart"/>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2</w:t>
            </w:r>
          </w:p>
        </w:tc>
        <w:tc>
          <w:tcPr>
            <w:tcW w:w="1074" w:type="dxa"/>
            <w:gridSpan w:val="2"/>
            <w:vMerge w:val="restart"/>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林下养殖</w:t>
            </w: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林禽模式</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鸡、鹅等</w:t>
            </w:r>
          </w:p>
        </w:tc>
        <w:tc>
          <w:tcPr>
            <w:tcW w:w="164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乔木林地、竹林地、灌木林地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≤35 °</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≤0.5</w:t>
            </w:r>
          </w:p>
        </w:tc>
        <w:tc>
          <w:tcPr>
            <w:tcW w:w="314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优先选择位于山坡中下部，地势高燥，向阳避风，水源充足且土壤透气保水能力优秀的优先利用的林地</w:t>
            </w:r>
          </w:p>
        </w:tc>
      </w:tr>
      <w:tr>
        <w:trPr>
          <w:wBefore/>
          <w:trHeight w:val="1685" w:hRule="exact"/>
          <w:tblCellSpacing w:w="28" w:type="dxa"/>
        </w:trPr>
        <w:tc>
          <w:tcPr>
            <w:tcW w:w="511" w:type="dxa"/>
            <w:vMerge w:val="continue"/>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220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林蜂模式</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中华蜂蜜等</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≤0.5</w:t>
            </w:r>
          </w:p>
        </w:tc>
        <w:tc>
          <w:tcPr>
            <w:tcW w:w="314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优先选择优先利用范围中林中、林缘放养，背风向阳，中下坡位林地，3 km范围内蜜粉源植物1年中应有2个以上的主要蜜源和辅助蜜粉源且无毒。</w:t>
            </w:r>
          </w:p>
        </w:tc>
      </w:tr>
      <w:tr>
        <w:trPr>
          <w:wBefore/>
          <w:trHeight w:val="978" w:hRule="exact"/>
          <w:tblCellSpacing w:w="28" w:type="dxa"/>
        </w:trPr>
        <w:tc>
          <w:tcPr>
            <w:tcW w:w="51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3</w:t>
            </w:r>
          </w:p>
        </w:tc>
        <w:tc>
          <w:tcPr>
            <w:tcW w:w="327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林下采集</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野生菌、野生中药材、野菜、野果</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14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优先选择优先利用范围中立地条件好，交通便利，林木生长健康的林地</w:t>
            </w:r>
          </w:p>
        </w:tc>
      </w:tr>
      <w:tr>
        <w:trPr>
          <w:wBefore/>
          <w:trHeight w:val="90" w:hRule="exact"/>
          <w:tblCellSpacing w:w="28" w:type="dxa"/>
        </w:trPr>
        <w:tc>
          <w:tcPr>
            <w:tcW w:w="51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4</w:t>
            </w:r>
          </w:p>
        </w:tc>
        <w:tc>
          <w:tcPr>
            <w:tcW w:w="327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森林康养</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基地、康养林、康养人家、步道等</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有林地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1000m以上</w:t>
            </w: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14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保护优先，不影响自然资源和生态环境安全</w:t>
            </w:r>
          </w:p>
        </w:tc>
      </w:tr>
      <w:tr>
        <w:trPr>
          <w:wBefore/>
          <w:trHeight w:val="716" w:hRule="exact"/>
          <w:tblCellSpacing w:w="28" w:type="dxa"/>
        </w:trPr>
        <w:tc>
          <w:tcPr>
            <w:tcW w:w="51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5</w:t>
            </w:r>
          </w:p>
        </w:tc>
        <w:tc>
          <w:tcPr>
            <w:tcW w:w="327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用材林</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鹅掌楸、水杉、檫木、桢楠等</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有林地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14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优先利用范围中生态保护红线除外的可培育国家储备林</w:t>
            </w:r>
          </w:p>
        </w:tc>
      </w:tr>
      <w:tr>
        <w:trPr>
          <w:wBefore/>
          <w:trHeight w:val="781" w:hRule="exact"/>
          <w:tblCellSpacing w:w="28" w:type="dxa"/>
        </w:trPr>
        <w:tc>
          <w:tcPr>
            <w:tcW w:w="51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6</w:t>
            </w:r>
          </w:p>
        </w:tc>
        <w:tc>
          <w:tcPr>
            <w:tcW w:w="3278" w:type="dxa"/>
            <w:gridSpan w:val="3"/>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经济林</w:t>
            </w:r>
          </w:p>
        </w:tc>
        <w:tc>
          <w:tcPr>
            <w:tcW w:w="1983"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脆红李、柑橘、方竹笋等</w:t>
            </w:r>
          </w:p>
        </w:tc>
        <w:tc>
          <w:tcPr>
            <w:tcW w:w="164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林地</w:t>
            </w:r>
          </w:p>
        </w:tc>
        <w:tc>
          <w:tcPr>
            <w:tcW w:w="113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p>
        </w:tc>
        <w:tc>
          <w:tcPr>
            <w:tcW w:w="3144"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仿宋" w:hAnsi="仿宋" w:eastAsia="仿宋" w:cs="仿宋"/>
                <w:b w:val="false"/>
                <w:i w:val="false"/>
                <w:iCs w:val="false"/>
                <w:caps w:val="false"/>
                <w:color w:val="000000"/>
                <w:spacing w:val="0"/>
                <w:kern w:val="0"/>
                <w:sz w:val="21"/>
                <w:szCs w:val="21"/>
                <w:lang w:val="en-US" w:eastAsia="zh-CN" w:bidi="ar"/>
              </w:rPr>
            </w:pPr>
            <w:r>
              <w:rPr>
                <w:rFonts w:hint="eastAsia" w:ascii="仿宋" w:hAnsi="仿宋" w:eastAsia="仿宋" w:cs="仿宋"/>
                <w:b w:val="false"/>
                <w:i w:val="false"/>
                <w:iCs w:val="false"/>
                <w:caps w:val="false"/>
                <w:color w:val="000000"/>
                <w:spacing w:val="0"/>
                <w:kern w:val="0"/>
                <w:sz w:val="21"/>
                <w:szCs w:val="21"/>
                <w:lang w:val="en-US" w:eastAsia="zh-CN" w:bidi="ar"/>
              </w:rPr>
              <w:t>人工能源林或人工经济林</w:t>
            </w:r>
          </w:p>
        </w:tc>
      </w:tr>
    </w:tbl>
    <w:p>
      <w:pPr>
        <w:sectPr>
          <w:footerReference r:id="rId17" w:type="default"/>
          <w:footerReference r:id="rId16" w:type="even"/>
          <w:type w:val="nextPage"/>
          <w:pgSz w:w="16840" w:h="11905" w:orient="landscape"/>
          <w:pgMar w:top="1440" w:right="1797" w:bottom="1440" w:left="1797" w:header="1134" w:footer="1191" w:gutter="0"/>
          <w:pgNumType w:start="1"/>
          <w:cols/>
          <w:docGrid/>
        </w:sectPr>
      </w:pPr>
    </w:p>
    <w:bookmarkStart w:id="112" w:name="_Toc9148"/>
    <w:bookmarkStart w:id="113" w:name="_Toc19120"/>
    <w:bookmarkStart w:id="114" w:name="_Toc5057"/>
    <w:bookmarkStart w:id="115" w:name="_Toc15654"/>
    <w:bookmarkStart w:id="116" w:name="_Toc3863"/>
    <w:p>
      <w:pPr>
        <w:pStyle w:val="000006"/>
        <w:keepNext/>
        <w:keepLines/>
        <w:pageBreakBefore w:val="false"/>
        <w:widowControl w:val="false"/>
        <w:numPr>
          <w:ilvl w:val="0"/>
          <w:numId w:val="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区域布局</w:t>
      </w:r>
      <w:bookmarkEnd w:id="112"/>
      <w:bookmarkEnd w:id="113"/>
      <w:bookmarkEnd w:id="114"/>
      <w:bookmarkEnd w:id="115"/>
      <w:bookmarkEnd w:id="116"/>
      <w:r>
        <w:rPr>
          <w:rFonts w:hint="eastAsia" w:ascii="方正楷体_GBK" w:hAnsi="方正楷体_GBK" w:eastAsia="方正楷体_GBK" w:cs="方正楷体_GBK"/>
          <w:b/>
          <w:bCs/>
          <w:snapToGrid/>
          <w:color w:val="000000"/>
          <w:sz w:val="36"/>
          <w:szCs w:val="36"/>
          <w:lang w:val="en-US" w:eastAsia="zh-CN"/>
        </w:rPr>
        <w:t xml:space="preserve"> </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立足石柱县不同区域自然地理条件、林草资源禀赋、林草经济发展水平和生产传统，结合石柱县</w:t>
      </w:r>
      <w:r>
        <w:rPr>
          <w:rFonts w:ascii="Times New Roman" w:hAnsi="Times New Roman" w:eastAsia="仿宋" w:cs="Times New Roman"/>
          <w:color w:val="000000"/>
          <w:spacing w:val="-6"/>
          <w:sz w:val="28"/>
          <w:szCs w:val="28"/>
          <w:lang w:val="en-US" w:eastAsia="zh-CN"/>
        </w:rPr>
        <w:t>国土空间功能分区，将全县规划为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两屏四区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发展总体空间布局</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构建与国土空间格局相协调、生态保护与产业发展</w:t>
      </w:r>
      <w:r>
        <w:rPr>
          <w:rFonts w:hint="eastAsia" w:ascii="Times New Roman" w:hAnsi="Times New Roman" w:eastAsia="仿宋" w:cs="Times New Roman"/>
          <w:color w:val="000000"/>
          <w:spacing w:val="-6"/>
          <w:sz w:val="28"/>
          <w:szCs w:val="28"/>
          <w:lang w:val="en-US" w:eastAsia="zh-CN"/>
        </w:rPr>
        <w:t>相互</w:t>
      </w:r>
      <w:r>
        <w:rPr>
          <w:rFonts w:ascii="Times New Roman" w:hAnsi="Times New Roman" w:eastAsia="仿宋" w:cs="Times New Roman"/>
          <w:color w:val="000000"/>
          <w:spacing w:val="-6"/>
          <w:sz w:val="28"/>
          <w:szCs w:val="28"/>
          <w:lang w:val="en-US" w:eastAsia="zh-CN"/>
        </w:rPr>
        <w:t>促进的林草产业高质量发展新格局。</w:t>
      </w:r>
      <w:r>
        <w:rPr>
          <w:rFonts w:hint="eastAsia" w:ascii="Times New Roman" w:hAnsi="Times New Roman" w:eastAsia="仿宋" w:cs="Times New Roman"/>
          <w:color w:val="000000"/>
          <w:spacing w:val="-6"/>
          <w:sz w:val="28"/>
          <w:szCs w:val="28"/>
          <w:lang w:val="en-US" w:eastAsia="zh-CN"/>
        </w:rPr>
        <w:t>“两屏”即以七曜山、方斗山为主体构成的生态屏障，将其作为县域产业发展的生态安全底线和生态景观资源本底。“四区”即城周地区、大黄水地区、方斗山西部沿江地区、七曜山东部地区，推进形成四个特色鲜明、功能互补的林草产业发展功能区。</w:t>
      </w:r>
    </w:p>
    <w:bookmarkStart w:id="117" w:name="_Toc23555"/>
    <w:p>
      <w:pPr>
        <w:pStyle w:val="000007"/>
        <w:keepNext/>
        <w:keepLines/>
        <w:pageBreakBefore w:val="false"/>
        <w:widowControl w:val="false"/>
        <w:numPr>
          <w:ilvl w:val="0"/>
          <w:numId w:val="1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ascii="方正楷体_GBK" w:hAnsi="方正楷体_GBK" w:eastAsia="方正楷体_GBK" w:cs="方正楷体_GBK"/>
          <w:b/>
          <w:bCs w:val="false"/>
          <w:color w:val="000000"/>
          <w:spacing w:val="-5"/>
          <w:position w:val="1"/>
          <w:sz w:val="32"/>
          <w:szCs w:val="32"/>
          <w:lang w:val="en-US" w:eastAsia="zh-CN"/>
        </w:rPr>
      </w:pPr>
      <w:r>
        <w:rPr>
          <w:rFonts w:ascii="方正楷体_GBK" w:hAnsi="方正楷体_GBK" w:eastAsia="方正楷体_GBK" w:cs="方正楷体_GBK"/>
          <w:b/>
          <w:bCs w:val="false"/>
          <w:color w:val="000000"/>
          <w:spacing w:val="-5"/>
          <w:position w:val="1"/>
          <w:sz w:val="32"/>
          <w:szCs w:val="32"/>
          <w:lang w:val="en-US" w:eastAsia="zh-CN"/>
        </w:rPr>
        <w:t>七曜山生态屏障</w:t>
      </w:r>
      <w:bookmarkEnd w:id="117"/>
    </w:p>
    <w:p>
      <w:pPr>
        <w:pStyle w:val="000001"/>
        <w:keepNext w:val="false"/>
        <w:keepLines w:val="false"/>
        <w:pageBreakBefore w:val="false"/>
        <w:widowControl/>
        <w:numPr>
          <w:ilvl w:val="0"/>
          <w:numId w:val="12"/>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区域范围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是以七曜山为主体的集中连片中山区域，空间范围涵盖冷水镇、六塘乡、龙潭乡、三星乡、沙子镇等5个乡镇。</w:t>
      </w:r>
    </w:p>
    <w:p>
      <w:pPr>
        <w:pStyle w:val="000001"/>
        <w:keepNext w:val="false"/>
        <w:keepLines w:val="false"/>
        <w:pageBreakBefore w:val="false"/>
        <w:widowControl/>
        <w:numPr>
          <w:ilvl w:val="0"/>
          <w:numId w:val="12"/>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区域特点</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该区域横亘石柱县西南部，属七曜山脉主体段，地貌</w:t>
      </w:r>
      <w:r>
        <w:rPr>
          <w:rFonts w:hint="eastAsia" w:ascii="Times New Roman" w:hAnsi="Times New Roman" w:eastAsia="仿宋" w:cs="Times New Roman"/>
          <w:color w:val="000000"/>
          <w:spacing w:val="-6"/>
          <w:sz w:val="28"/>
          <w:szCs w:val="28"/>
          <w:lang w:val="en-US" w:eastAsia="zh-CN"/>
        </w:rPr>
        <w:t>绝大部分为中山，占比达98%。</w:t>
      </w:r>
      <w:r>
        <w:rPr>
          <w:rFonts w:ascii="Times New Roman" w:hAnsi="Times New Roman" w:eastAsia="仿宋" w:cs="Times New Roman"/>
          <w:color w:val="000000"/>
          <w:spacing w:val="-6"/>
          <w:sz w:val="28"/>
          <w:szCs w:val="28"/>
          <w:lang w:val="en-US" w:eastAsia="zh-CN"/>
        </w:rPr>
        <w:t>地形复杂高差大，海拔介于690～1860米之间，平均海拔1320米，是长江上游重要生态屏障的核心组成部分，承担着水源涵养、水土保持和碳汇固碳的关键功能。多年平均降雨量1325毫米，多年平均气温16.0℃，多年平均日照1215小时。土壤分布受三叠纪石灰岩喀斯特地貌与海拔垂直变化影响显著，呈现明显的垂直地带性与区域特色，土壤类型以黄壤和黄棕壤为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区域内林地面积</w:t>
      </w:r>
      <w:r>
        <w:rPr>
          <w:rFonts w:hint="eastAsia" w:ascii="Times New Roman" w:hAnsi="Times New Roman" w:eastAsia="仿宋" w:cs="Times New Roman"/>
          <w:color w:val="000000"/>
          <w:spacing w:val="-6"/>
          <w:sz w:val="28"/>
          <w:szCs w:val="28"/>
          <w:lang w:val="en-US" w:eastAsia="zh-CN"/>
        </w:rPr>
        <w:t>74.3352万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其中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禁止利用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1.9423万</w:t>
      </w:r>
      <w:r>
        <w:rPr>
          <w:rFonts w:ascii="Times New Roman" w:hAnsi="Times New Roman" w:eastAsia="仿宋" w:cs="Times New Roman"/>
          <w:color w:val="000000"/>
          <w:spacing w:val="-6"/>
          <w:sz w:val="28"/>
          <w:szCs w:val="28"/>
          <w:lang w:val="en-US" w:eastAsia="zh-CN"/>
        </w:rPr>
        <w:t>亩，</w:t>
        <w:tab/>
      </w:r>
      <w:r>
        <w:rPr>
          <w:rFonts w:hint="eastAsia" w:ascii="Times New Roman" w:hAnsi="Times New Roman" w:eastAsia="仿宋" w:cs="Times New Roman"/>
          <w:color w:val="000000"/>
          <w:spacing w:val="-6"/>
          <w:sz w:val="28"/>
          <w:szCs w:val="28"/>
          <w:lang w:val="en-US" w:eastAsia="zh-CN"/>
        </w:rPr>
        <w:t>限制利用的</w:t>
      </w:r>
      <w:r>
        <w:rPr>
          <w:rFonts w:ascii="Times New Roman" w:hAnsi="Times New Roman" w:eastAsia="仿宋" w:cs="Times New Roman"/>
          <w:color w:val="000000"/>
          <w:spacing w:val="-6"/>
          <w:sz w:val="28"/>
          <w:szCs w:val="28"/>
          <w:lang w:val="en-US" w:eastAsia="zh-CN"/>
        </w:rPr>
        <w:t>林地</w:t>
        <w:tab/>
        <w:t>面积</w:t>
      </w:r>
      <w:r>
        <w:rPr>
          <w:rFonts w:hint="eastAsia" w:ascii="Times New Roman" w:hAnsi="Times New Roman" w:eastAsia="仿宋" w:cs="Times New Roman"/>
          <w:color w:val="000000"/>
          <w:spacing w:val="-6"/>
          <w:sz w:val="28"/>
          <w:szCs w:val="28"/>
          <w:lang w:val="en-US" w:eastAsia="zh-CN"/>
        </w:rPr>
        <w:t>47.2377万</w:t>
      </w:r>
      <w:r>
        <w:rPr>
          <w:rFonts w:ascii="Times New Roman" w:hAnsi="Times New Roman" w:eastAsia="仿宋" w:cs="Times New Roman"/>
          <w:color w:val="000000"/>
          <w:spacing w:val="-6"/>
          <w:sz w:val="28"/>
          <w:szCs w:val="28"/>
          <w:lang w:val="en-US" w:eastAsia="zh-CN"/>
        </w:rPr>
        <w:t>亩，优先利用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25.1552万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森林面积</w:t>
      </w:r>
      <w:r>
        <w:rPr>
          <w:rFonts w:hint="eastAsia" w:ascii="Times New Roman" w:hAnsi="Times New Roman" w:eastAsia="仿宋" w:cs="Times New Roman"/>
          <w:color w:val="000000"/>
          <w:spacing w:val="-6"/>
          <w:sz w:val="28"/>
          <w:szCs w:val="28"/>
          <w:lang w:val="en-US" w:eastAsia="zh-CN"/>
        </w:rPr>
        <w:t>68.0208万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，森林覆盖率76.3%；植被覆盖类型以阔叶林（包括针阔混）为主，占比达58.6%；林分起源以人工为主，占比68.1%；森林类别以公益林为主，占比63.3%。</w:t>
      </w:r>
      <w:r>
        <w:rPr>
          <w:rFonts w:ascii="Times New Roman" w:hAnsi="Times New Roman" w:eastAsia="仿宋" w:cs="Times New Roman"/>
          <w:color w:val="000000"/>
          <w:spacing w:val="-6"/>
          <w:sz w:val="28"/>
          <w:szCs w:val="28"/>
          <w:lang w:val="en-US" w:eastAsia="zh-CN"/>
        </w:rPr>
        <w:t>区域内有七曜山国家地质公园、刀背梁等地质景观，风电群等地文景观，千年楠木颂等生物景观。区域依托七曜山山地资源与垂直气候带优势，现已形成了具有不同梯度海拔、多类型产业融合的发展格局，基本构建起以林下黄连种植为核心、林下种植其他中药材为支撑、林下养殖中蜂等为补充、生态旅游为延伸的产业发展体系。</w:t>
      </w:r>
    </w:p>
    <w:p>
      <w:pPr>
        <w:pStyle w:val="000001"/>
        <w:keepNext w:val="false"/>
        <w:keepLines w:val="false"/>
        <w:pageBreakBefore w:val="false"/>
        <w:widowControl/>
        <w:numPr>
          <w:ilvl w:val="0"/>
          <w:numId w:val="12"/>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hint="eastAsia" w:ascii="Times New Roman" w:hAnsi="Times New Roman" w:eastAsia="仿宋" w:cs="Times New Roman"/>
          <w:b/>
          <w:bCs/>
          <w:color w:val="000000"/>
          <w:spacing w:val="-5"/>
          <w:position w:val="1"/>
          <w:sz w:val="28"/>
          <w:szCs w:val="28"/>
          <w:lang w:val="en-US" w:eastAsia="zh-CN"/>
        </w:rPr>
        <w:t>发展方向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该区域山脉主体海拔较高、森林覆盖率高、生态敏感性强，是维护区域生态安全的骨架。产业发展着重推行“保育式经营”模式，产业开发必须严格避让生态保护红线与核心保护区，可适度发展生态产业、林下经济、林木培育等产业。</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生态产业：适度开展森林康养、生态观光、山地徒步、自然教育。</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林下经济：在适宜林地，严格遵循“一申报、两审批、两监管”机制，规范发展林下黄连、黄精等中药材种植。</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林木培育：重点培育水杉等本土珍稀树种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大径材和珍贵</w:t>
      </w:r>
      <w:r>
        <w:rPr>
          <w:rFonts w:hint="eastAsia" w:ascii="Times New Roman" w:hAnsi="Times New Roman" w:eastAsia="仿宋" w:cs="Times New Roman"/>
          <w:color w:val="000000"/>
          <w:spacing w:val="-6"/>
          <w:sz w:val="28"/>
          <w:szCs w:val="28"/>
          <w:lang w:val="en-US" w:eastAsia="zh-CN"/>
        </w:rPr>
        <w:t>阔叶</w:t>
      </w:r>
      <w:r>
        <w:rPr>
          <w:rFonts w:ascii="Times New Roman" w:hAnsi="Times New Roman" w:eastAsia="仿宋" w:cs="Times New Roman"/>
          <w:color w:val="000000"/>
          <w:spacing w:val="-6"/>
          <w:sz w:val="28"/>
          <w:szCs w:val="28"/>
          <w:lang w:val="en-US" w:eastAsia="zh-CN"/>
        </w:rPr>
        <w:t>树种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探索开发森林碳汇项目。</w:t>
      </w:r>
    </w:p>
    <w:bookmarkStart w:id="118" w:name="_Toc29021"/>
    <w:p>
      <w:pPr>
        <w:pStyle w:val="000007"/>
        <w:keepNext/>
        <w:keepLines/>
        <w:pageBreakBefore w:val="false"/>
        <w:widowControl w:val="false"/>
        <w:numPr>
          <w:ilvl w:val="0"/>
          <w:numId w:val="1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方斗山生态屏障</w:t>
      </w:r>
      <w:bookmarkEnd w:id="118"/>
    </w:p>
    <w:p>
      <w:pPr>
        <w:pStyle w:val="000001"/>
        <w:keepNext w:val="false"/>
        <w:keepLines w:val="false"/>
        <w:pageBreakBefore w:val="false"/>
        <w:widowControl/>
        <w:numPr>
          <w:ilvl w:val="0"/>
          <w:numId w:val="13"/>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区域范围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是以方斗山为主体的集中连片中山区域，空间范围涵盖大歇镇、河嘴乡、临溪镇、龙沙镇、王家乡、鱼池镇、万朝镇、王场镇、西沱镇、沿溪镇等10个乡镇。</w:t>
      </w:r>
    </w:p>
    <w:p>
      <w:pPr>
        <w:pStyle w:val="000001"/>
        <w:keepNext w:val="false"/>
        <w:keepLines w:val="false"/>
        <w:pageBreakBefore w:val="false"/>
        <w:widowControl/>
        <w:numPr>
          <w:ilvl w:val="0"/>
          <w:numId w:val="13"/>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区域特点</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该区域石柱县呈北东</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南西走向，属川东平行岭谷与巫山大娄山区，地貌以中低山为主，海拔梯度明显，海拔介于550～1700米之间，平均海拔950米，是长江上游重要的水源涵养地和</w:t>
      </w:r>
      <w:r>
        <w:rPr>
          <w:rFonts w:hint="eastAsia" w:ascii="Times New Roman" w:hAnsi="Times New Roman" w:eastAsia="仿宋" w:cs="Times New Roman"/>
          <w:color w:val="000000"/>
          <w:spacing w:val="-6"/>
          <w:sz w:val="28"/>
          <w:szCs w:val="28"/>
          <w:lang w:val="en-US" w:eastAsia="zh-CN"/>
        </w:rPr>
        <w:t>生物多样性保护</w:t>
      </w:r>
      <w:r>
        <w:rPr>
          <w:rFonts w:ascii="Times New Roman" w:hAnsi="Times New Roman" w:eastAsia="仿宋" w:cs="Times New Roman"/>
          <w:color w:val="000000"/>
          <w:spacing w:val="-6"/>
          <w:sz w:val="28"/>
          <w:szCs w:val="28"/>
          <w:lang w:val="en-US" w:eastAsia="zh-CN"/>
        </w:rPr>
        <w:t>区。多年平均降雨量1163毫米，多年平均气温15.8℃，多年平均日照1293小时。土壤类型受石灰岩母质和海拔影响显著，形成了以黄壤、黄棕壤、紫色土、石灰土为主要类型的土壤分布格局，且具有明显的垂直地带性分布特征和区域差异性。</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区域内林地面积</w:t>
      </w:r>
      <w:r>
        <w:rPr>
          <w:rFonts w:hint="eastAsia" w:ascii="Times New Roman" w:hAnsi="Times New Roman" w:eastAsia="仿宋" w:cs="Times New Roman"/>
          <w:color w:val="000000"/>
          <w:spacing w:val="-6"/>
          <w:sz w:val="28"/>
          <w:szCs w:val="28"/>
          <w:lang w:val="en-US" w:eastAsia="zh-CN"/>
        </w:rPr>
        <w:t>24.8385万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其中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禁止利用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6.2644万</w:t>
      </w:r>
      <w:r>
        <w:rPr>
          <w:rFonts w:ascii="Times New Roman" w:hAnsi="Times New Roman" w:eastAsia="仿宋" w:cs="Times New Roman"/>
          <w:color w:val="000000"/>
          <w:spacing w:val="-6"/>
          <w:sz w:val="28"/>
          <w:szCs w:val="28"/>
          <w:lang w:val="en-US" w:eastAsia="zh-CN"/>
        </w:rPr>
        <w:t>亩，</w:t>
        <w:tab/>
      </w:r>
      <w:r>
        <w:rPr>
          <w:rFonts w:hint="eastAsia" w:ascii="Times New Roman" w:hAnsi="Times New Roman" w:eastAsia="仿宋" w:cs="Times New Roman"/>
          <w:color w:val="000000"/>
          <w:spacing w:val="-6"/>
          <w:sz w:val="28"/>
          <w:szCs w:val="28"/>
          <w:lang w:val="en-US" w:eastAsia="zh-CN"/>
        </w:rPr>
        <w:t>限制利用的</w:t>
      </w:r>
      <w:r>
        <w:rPr>
          <w:rFonts w:ascii="Times New Roman" w:hAnsi="Times New Roman" w:eastAsia="仿宋" w:cs="Times New Roman"/>
          <w:color w:val="000000"/>
          <w:spacing w:val="-6"/>
          <w:sz w:val="28"/>
          <w:szCs w:val="28"/>
          <w:lang w:val="en-US" w:eastAsia="zh-CN"/>
        </w:rPr>
        <w:t>林地</w:t>
        <w:tab/>
        <w:t>面积</w:t>
      </w:r>
      <w:r>
        <w:rPr>
          <w:rFonts w:hint="eastAsia" w:ascii="Times New Roman" w:hAnsi="Times New Roman" w:eastAsia="仿宋" w:cs="Times New Roman"/>
          <w:color w:val="000000"/>
          <w:spacing w:val="-6"/>
          <w:sz w:val="28"/>
          <w:szCs w:val="28"/>
          <w:lang w:val="en-US" w:eastAsia="zh-CN"/>
        </w:rPr>
        <w:t>15.4066万</w:t>
      </w:r>
      <w:r>
        <w:rPr>
          <w:rFonts w:ascii="Times New Roman" w:hAnsi="Times New Roman" w:eastAsia="仿宋" w:cs="Times New Roman"/>
          <w:color w:val="000000"/>
          <w:spacing w:val="-6"/>
          <w:sz w:val="28"/>
          <w:szCs w:val="28"/>
          <w:lang w:val="en-US" w:eastAsia="zh-CN"/>
        </w:rPr>
        <w:t>亩，优先利用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3.1695万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森林面积</w:t>
      </w:r>
      <w:r>
        <w:rPr>
          <w:rFonts w:hint="eastAsia" w:ascii="Times New Roman" w:hAnsi="Times New Roman" w:eastAsia="仿宋" w:cs="Times New Roman"/>
          <w:color w:val="000000"/>
          <w:spacing w:val="-6"/>
          <w:sz w:val="28"/>
          <w:szCs w:val="28"/>
          <w:lang w:val="en-US" w:eastAsia="zh-CN"/>
        </w:rPr>
        <w:t>21.5999万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，森林覆盖率71.7%；植被覆盖类型以针叶林为主，占比达56.9%；林分起源以天然林为主，占比80.2%；森林类别以商品林为主，占比51.3%。</w:t>
      </w:r>
      <w:r>
        <w:rPr>
          <w:rFonts w:ascii="Times New Roman" w:hAnsi="Times New Roman" w:eastAsia="仿宋" w:cs="Times New Roman"/>
          <w:color w:val="000000"/>
          <w:spacing w:val="-6"/>
          <w:sz w:val="28"/>
          <w:szCs w:val="28"/>
          <w:lang w:val="en-US" w:eastAsia="zh-CN"/>
        </w:rPr>
        <w:t>区域内有千野草场森林康养基地，鱼池生态露营小镇、悦崃土司古韵小镇等康养小镇，大歇镇流水村国家森林乡村，有古城坝土司遗址等历史遗迹，渝东南珍稀林草种质资源库及水杉母树林。区域</w:t>
      </w:r>
      <w:r>
        <w:rPr>
          <w:rFonts w:hint="eastAsia" w:ascii="Times New Roman" w:hAnsi="Times New Roman" w:eastAsia="仿宋" w:cs="Times New Roman"/>
          <w:color w:val="000000"/>
          <w:spacing w:val="-6"/>
          <w:sz w:val="28"/>
          <w:szCs w:val="28"/>
          <w:lang w:val="en-US" w:eastAsia="zh-CN"/>
        </w:rPr>
        <w:t>内“</w:t>
      </w:r>
      <w:r>
        <w:rPr>
          <w:rFonts w:ascii="Times New Roman" w:hAnsi="Times New Roman" w:eastAsia="仿宋" w:cs="Times New Roman"/>
          <w:color w:val="000000"/>
          <w:spacing w:val="-6"/>
          <w:sz w:val="28"/>
          <w:szCs w:val="28"/>
          <w:lang w:val="en-US" w:eastAsia="zh-CN"/>
        </w:rPr>
        <w:t>国社联营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模式成熟，</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林木间伐+林下避暑游</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模式已见成效，森林旅游与康养资源条件优越。</w:t>
      </w:r>
    </w:p>
    <w:p>
      <w:pPr>
        <w:pStyle w:val="000001"/>
        <w:keepNext w:val="false"/>
        <w:keepLines w:val="false"/>
        <w:pageBreakBefore w:val="false"/>
        <w:widowControl/>
        <w:numPr>
          <w:ilvl w:val="0"/>
          <w:numId w:val="13"/>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hint="eastAsia" w:ascii="Times New Roman" w:hAnsi="Times New Roman" w:eastAsia="仿宋" w:cs="Times New Roman"/>
          <w:b/>
          <w:bCs/>
          <w:color w:val="000000"/>
          <w:spacing w:val="-5"/>
          <w:position w:val="1"/>
          <w:sz w:val="28"/>
          <w:szCs w:val="28"/>
          <w:lang w:val="en-US" w:eastAsia="zh-CN"/>
        </w:rPr>
        <w:t>发展方向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该区域山脉主体海拔较高、森林覆盖率高、生态敏感性强，是维护区域生态安全的骨架。产业发展应着重推行“保育式经营”模式，产业开发必须严格避让生态保护红线与核心保护区，可适度发展生态产业、林下经济、林木培育等产业。</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生态产业：适度开展森林康养、生态观光、山地徒步、自然教育。</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林下经济：在适宜林地，严格遵循“一申报、两审批、两监管”机制，规范发展林菌、林药、林蜂。</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林木培育：重点培育水杉等本土珍稀树种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大径材和珍贵</w:t>
      </w:r>
      <w:r>
        <w:rPr>
          <w:rFonts w:hint="eastAsia" w:ascii="Times New Roman" w:hAnsi="Times New Roman" w:eastAsia="仿宋" w:cs="Times New Roman"/>
          <w:color w:val="000000"/>
          <w:spacing w:val="-6"/>
          <w:sz w:val="28"/>
          <w:szCs w:val="28"/>
          <w:lang w:val="en-US" w:eastAsia="zh-CN"/>
        </w:rPr>
        <w:t>阔叶</w:t>
      </w:r>
      <w:r>
        <w:rPr>
          <w:rFonts w:ascii="Times New Roman" w:hAnsi="Times New Roman" w:eastAsia="仿宋" w:cs="Times New Roman"/>
          <w:color w:val="000000"/>
          <w:spacing w:val="-6"/>
          <w:sz w:val="28"/>
          <w:szCs w:val="28"/>
          <w:lang w:val="en-US" w:eastAsia="zh-CN"/>
        </w:rPr>
        <w:t>树种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探索开发森林碳汇项目。</w:t>
      </w:r>
    </w:p>
    <w:bookmarkStart w:id="119" w:name="_Toc17071"/>
    <w:p>
      <w:pPr>
        <w:pStyle w:val="000007"/>
        <w:keepNext/>
        <w:keepLines/>
        <w:pageBreakBefore w:val="false"/>
        <w:widowControl w:val="false"/>
        <w:numPr>
          <w:ilvl w:val="0"/>
          <w:numId w:val="1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城周地区</w:t>
      </w:r>
      <w:bookmarkEnd w:id="119"/>
    </w:p>
    <w:p>
      <w:pPr>
        <w:pStyle w:val="000001"/>
        <w:keepNext w:val="false"/>
        <w:keepLines w:val="false"/>
        <w:pageBreakBefore w:val="false"/>
        <w:widowControl/>
        <w:numPr>
          <w:ilvl w:val="0"/>
          <w:numId w:val="14"/>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区域范围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是以石柱县城为主体周边低山丘陵地区，空间范围涵盖大歇镇、龙沙镇、南宾街道、桥头镇、三河镇、三星乡、万安街道、下路街道等8个乡镇。</w:t>
      </w:r>
    </w:p>
    <w:p>
      <w:pPr>
        <w:pStyle w:val="000001"/>
        <w:keepNext w:val="false"/>
        <w:keepLines w:val="false"/>
        <w:pageBreakBefore w:val="false"/>
        <w:widowControl/>
        <w:numPr>
          <w:ilvl w:val="0"/>
          <w:numId w:val="14"/>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区域特点</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位于石柱县西南部，地貌全部为低山，地势相对平缓，海拔介于430～1100米之间，平均海拔720米。多年平均降雨量1254毫米，多年平均气温16.3℃，多年平均日照1024小时。土壤以黄壤和紫色土为主，土层厚度30～60厘米，有机质含量1.5%～2.5%。</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区域内林地面积</w:t>
      </w:r>
      <w:r>
        <w:rPr>
          <w:rFonts w:hint="eastAsia" w:ascii="Times New Roman" w:hAnsi="Times New Roman" w:eastAsia="仿宋" w:cs="Times New Roman"/>
          <w:color w:val="000000"/>
          <w:spacing w:val="-6"/>
          <w:sz w:val="28"/>
          <w:szCs w:val="28"/>
          <w:lang w:val="en-US" w:eastAsia="zh-CN"/>
        </w:rPr>
        <w:t>51.3661万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其中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禁止利用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1.8840万</w:t>
      </w:r>
      <w:r>
        <w:rPr>
          <w:rFonts w:ascii="Times New Roman" w:hAnsi="Times New Roman" w:eastAsia="仿宋" w:cs="Times New Roman"/>
          <w:color w:val="000000"/>
          <w:spacing w:val="-6"/>
          <w:sz w:val="28"/>
          <w:szCs w:val="28"/>
          <w:lang w:val="en-US" w:eastAsia="zh-CN"/>
        </w:rPr>
        <w:t>亩，</w:t>
        <w:tab/>
      </w:r>
      <w:r>
        <w:rPr>
          <w:rFonts w:hint="eastAsia" w:ascii="Times New Roman" w:hAnsi="Times New Roman" w:eastAsia="仿宋" w:cs="Times New Roman"/>
          <w:color w:val="000000"/>
          <w:spacing w:val="-6"/>
          <w:sz w:val="28"/>
          <w:szCs w:val="28"/>
          <w:lang w:val="en-US" w:eastAsia="zh-CN"/>
        </w:rPr>
        <w:t>限制利用的</w:t>
      </w:r>
      <w:r>
        <w:rPr>
          <w:rFonts w:ascii="Times New Roman" w:hAnsi="Times New Roman" w:eastAsia="仿宋" w:cs="Times New Roman"/>
          <w:color w:val="000000"/>
          <w:spacing w:val="-6"/>
          <w:sz w:val="28"/>
          <w:szCs w:val="28"/>
          <w:lang w:val="en-US" w:eastAsia="zh-CN"/>
        </w:rPr>
        <w:t>林地</w:t>
        <w:tab/>
        <w:t>面积</w:t>
      </w:r>
      <w:r>
        <w:rPr>
          <w:rFonts w:hint="eastAsia" w:ascii="Times New Roman" w:hAnsi="Times New Roman" w:eastAsia="仿宋" w:cs="Times New Roman"/>
          <w:color w:val="000000"/>
          <w:spacing w:val="-6"/>
          <w:sz w:val="28"/>
          <w:szCs w:val="28"/>
          <w:lang w:val="en-US" w:eastAsia="zh-CN"/>
        </w:rPr>
        <w:t>44.0423万</w:t>
      </w:r>
      <w:r>
        <w:rPr>
          <w:rFonts w:ascii="Times New Roman" w:hAnsi="Times New Roman" w:eastAsia="仿宋" w:cs="Times New Roman"/>
          <w:color w:val="000000"/>
          <w:spacing w:val="-6"/>
          <w:sz w:val="28"/>
          <w:szCs w:val="28"/>
          <w:lang w:val="en-US" w:eastAsia="zh-CN"/>
        </w:rPr>
        <w:t>亩，优先利用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5.4398万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森林面积</w:t>
      </w:r>
      <w:r>
        <w:rPr>
          <w:rFonts w:hint="eastAsia" w:ascii="Times New Roman" w:hAnsi="Times New Roman" w:eastAsia="仿宋" w:cs="Times New Roman"/>
          <w:color w:val="000000"/>
          <w:spacing w:val="-6"/>
          <w:sz w:val="28"/>
          <w:szCs w:val="28"/>
          <w:lang w:val="en-US" w:eastAsia="zh-CN"/>
        </w:rPr>
        <w:t>45.4696万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，森林覆盖率50.4%；植被覆盖类型以针叶林为主，占比达58.8%；林分起源以天然林为主，占比75.7%；森林类别以商品林为主，占比51.4%。</w:t>
      </w:r>
      <w:r>
        <w:rPr>
          <w:rFonts w:ascii="Times New Roman" w:hAnsi="Times New Roman" w:eastAsia="仿宋" w:cs="Times New Roman"/>
          <w:color w:val="000000"/>
          <w:spacing w:val="-6"/>
          <w:sz w:val="28"/>
          <w:szCs w:val="28"/>
          <w:lang w:val="en-US" w:eastAsia="zh-CN"/>
        </w:rPr>
        <w:t>区域内有龙河等重要湿地，万寿山森林康养基地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万寿寨村、黄鹤村等国家森林乡村，秦良玉陵园、太保祠古井等历史遗迹，观音岩等地文景观，白岭山乡村旅游观光园等</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四季采摘园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，红井、红星等经果林产业基地，森林休闲旅游基础好。现有中小型木材加工企业32家，2024年产值8.6亿元，但精深加工产品占比不足20%，产业链条短、附加值低问题突出。</w:t>
      </w:r>
    </w:p>
    <w:p>
      <w:pPr>
        <w:pStyle w:val="000001"/>
        <w:keepNext w:val="false"/>
        <w:keepLines w:val="false"/>
        <w:pageBreakBefore w:val="false"/>
        <w:widowControl/>
        <w:numPr>
          <w:ilvl w:val="0"/>
          <w:numId w:val="14"/>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hint="eastAsia" w:ascii="Times New Roman" w:hAnsi="Times New Roman" w:eastAsia="仿宋" w:cs="Times New Roman"/>
          <w:b/>
          <w:bCs/>
          <w:color w:val="000000"/>
          <w:spacing w:val="-5"/>
          <w:position w:val="1"/>
          <w:sz w:val="28"/>
          <w:szCs w:val="28"/>
          <w:lang w:val="en-US" w:eastAsia="zh-CN"/>
        </w:rPr>
        <w:t>发展方向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应充分依托临近石柱县城，人口集中、交通便利、市场近等优势，推行“城郊融合型”集约经营模式，重点发展休闲观光林业、综合服务、林产品精深加工、生态景观林等产业。</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休闲观光林业：精品果园、花卉苗木、四季采摘园。</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综合服务：重点</w:t>
      </w:r>
      <w:r>
        <w:rPr>
          <w:rFonts w:ascii="Times New Roman" w:hAnsi="Times New Roman" w:eastAsia="仿宋" w:cs="Times New Roman"/>
          <w:color w:val="000000"/>
          <w:spacing w:val="-6"/>
          <w:sz w:val="28"/>
          <w:szCs w:val="28"/>
          <w:lang w:val="en-US" w:eastAsia="zh-CN"/>
        </w:rPr>
        <w:t>承担</w:t>
      </w:r>
      <w:r>
        <w:rPr>
          <w:rFonts w:hint="eastAsia" w:ascii="Times New Roman" w:hAnsi="Times New Roman" w:eastAsia="仿宋" w:cs="Times New Roman"/>
          <w:color w:val="000000"/>
          <w:spacing w:val="-6"/>
          <w:sz w:val="28"/>
          <w:szCs w:val="28"/>
          <w:lang w:val="en-US" w:eastAsia="zh-CN"/>
        </w:rPr>
        <w:t>技术推广、市场交易、品牌展示、游客集散、冷链物流等综合服务。</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林产品加工</w:t>
      </w:r>
      <w:r>
        <w:rPr>
          <w:rFonts w:hint="eastAsia" w:ascii="Times New Roman" w:hAnsi="Times New Roman" w:eastAsia="仿宋" w:cs="Times New Roman"/>
          <w:color w:val="000000"/>
          <w:spacing w:val="-6"/>
          <w:sz w:val="28"/>
          <w:szCs w:val="28"/>
          <w:lang w:val="en-US" w:eastAsia="zh-CN"/>
        </w:rPr>
        <w:t>：木竹、中药材精深加工以及森林食品加工。</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生态景观林：城市森林、景观苗木。</w:t>
      </w:r>
    </w:p>
    <w:bookmarkStart w:id="120" w:name="_Toc9480"/>
    <w:p>
      <w:pPr>
        <w:pStyle w:val="000007"/>
        <w:keepNext/>
        <w:keepLines/>
        <w:pageBreakBefore w:val="false"/>
        <w:widowControl w:val="false"/>
        <w:numPr>
          <w:ilvl w:val="0"/>
          <w:numId w:val="1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大黄水地区</w:t>
      </w:r>
      <w:bookmarkEnd w:id="120"/>
    </w:p>
    <w:p>
      <w:pPr>
        <w:pStyle w:val="000001"/>
        <w:keepNext w:val="false"/>
        <w:keepLines w:val="false"/>
        <w:pageBreakBefore w:val="false"/>
        <w:widowControl/>
        <w:numPr>
          <w:ilvl w:val="0"/>
          <w:numId w:val="15"/>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区域范围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是以黄水镇为主体的集中连片中山地区，空间范围涵盖枫木镇、河嘴乡、黄水镇、冷水镇、临溪镇、三益乡、石家乡、王家乡、鱼池镇、悦崃镇、中益乡等11个乡镇。</w:t>
      </w:r>
    </w:p>
    <w:p>
      <w:pPr>
        <w:pStyle w:val="000001"/>
        <w:keepNext w:val="false"/>
        <w:keepLines w:val="false"/>
        <w:pageBreakBefore w:val="false"/>
        <w:widowControl/>
        <w:numPr>
          <w:ilvl w:val="0"/>
          <w:numId w:val="15"/>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区域特点</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位于石柱县东北部，属武陵山脉延伸段，地貌以中低山为主，海拔介于650～1934米之间，平均海拔1350米左右，最高海拔为黄水镇大风堡顶（1934米）。属亚热带季风性湿润气候，多年平均降雨量1350毫米，多年平均气温13.4℃，多年平均日照909小时。土壤类型以黄壤、黄棕壤、紫色土等为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区域内林地面积</w:t>
      </w:r>
      <w:r>
        <w:rPr>
          <w:rFonts w:hint="eastAsia" w:ascii="Times New Roman" w:hAnsi="Times New Roman" w:eastAsia="仿宋" w:cs="Times New Roman"/>
          <w:color w:val="000000"/>
          <w:spacing w:val="-6"/>
          <w:sz w:val="28"/>
          <w:szCs w:val="28"/>
          <w:lang w:val="en-US" w:eastAsia="zh-CN"/>
        </w:rPr>
        <w:t>111.7704万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其中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禁止利用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0.1236万</w:t>
      </w:r>
      <w:r>
        <w:rPr>
          <w:rFonts w:ascii="Times New Roman" w:hAnsi="Times New Roman" w:eastAsia="仿宋" w:cs="Times New Roman"/>
          <w:color w:val="000000"/>
          <w:spacing w:val="-6"/>
          <w:sz w:val="28"/>
          <w:szCs w:val="28"/>
          <w:lang w:val="en-US" w:eastAsia="zh-CN"/>
        </w:rPr>
        <w:t>亩，</w:t>
        <w:tab/>
      </w:r>
      <w:r>
        <w:rPr>
          <w:rFonts w:hint="eastAsia" w:ascii="Times New Roman" w:hAnsi="Times New Roman" w:eastAsia="仿宋" w:cs="Times New Roman"/>
          <w:color w:val="000000"/>
          <w:spacing w:val="-6"/>
          <w:sz w:val="28"/>
          <w:szCs w:val="28"/>
          <w:lang w:val="en-US" w:eastAsia="zh-CN"/>
        </w:rPr>
        <w:t>限制利用的</w:t>
      </w:r>
      <w:r>
        <w:rPr>
          <w:rFonts w:ascii="Times New Roman" w:hAnsi="Times New Roman" w:eastAsia="仿宋" w:cs="Times New Roman"/>
          <w:color w:val="000000"/>
          <w:spacing w:val="-6"/>
          <w:sz w:val="28"/>
          <w:szCs w:val="28"/>
          <w:lang w:val="en-US" w:eastAsia="zh-CN"/>
        </w:rPr>
        <w:t>林地</w:t>
        <w:tab/>
        <w:t>面积</w:t>
      </w:r>
      <w:r>
        <w:rPr>
          <w:rFonts w:hint="eastAsia" w:ascii="Times New Roman" w:hAnsi="Times New Roman" w:eastAsia="仿宋" w:cs="Times New Roman"/>
          <w:color w:val="000000"/>
          <w:spacing w:val="-6"/>
          <w:sz w:val="28"/>
          <w:szCs w:val="28"/>
          <w:lang w:val="en-US" w:eastAsia="zh-CN"/>
        </w:rPr>
        <w:t>99.0736万</w:t>
      </w:r>
      <w:r>
        <w:rPr>
          <w:rFonts w:ascii="Times New Roman" w:hAnsi="Times New Roman" w:eastAsia="仿宋" w:cs="Times New Roman"/>
          <w:color w:val="000000"/>
          <w:spacing w:val="-6"/>
          <w:sz w:val="28"/>
          <w:szCs w:val="28"/>
          <w:lang w:val="en-US" w:eastAsia="zh-CN"/>
        </w:rPr>
        <w:t>亩，优先利用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12.5732万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森林面积</w:t>
      </w:r>
      <w:r>
        <w:rPr>
          <w:rFonts w:hint="eastAsia" w:ascii="Times New Roman" w:hAnsi="Times New Roman" w:eastAsia="仿宋" w:cs="Times New Roman"/>
          <w:color w:val="000000"/>
          <w:spacing w:val="-6"/>
          <w:sz w:val="28"/>
          <w:szCs w:val="28"/>
          <w:lang w:val="en-US" w:eastAsia="zh-CN"/>
        </w:rPr>
        <w:t>108.3273万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，森林覆盖率74.0%；植被覆盖类型以阔叶林（包含针阔混）为主，占比达64.2%；林分起源以天然林为主，占比71.4%；森林类别以公益林为主，占比74.4%。</w:t>
      </w:r>
      <w:r>
        <w:rPr>
          <w:rFonts w:ascii="Times New Roman" w:hAnsi="Times New Roman" w:eastAsia="仿宋" w:cs="Times New Roman"/>
          <w:color w:val="000000"/>
          <w:spacing w:val="-6"/>
          <w:sz w:val="28"/>
          <w:szCs w:val="28"/>
          <w:lang w:val="en-US" w:eastAsia="zh-CN"/>
        </w:rPr>
        <w:t>现有康养旅游资源富集，包含黄水国家森林公园（AAAA级）、大风堡原始森林景区、太阳湖生态湿地等核心景点，目前已建成市级森林康养基地4个，国家森林乡村6个，市级以上乡村旅游重点村6个，各类自然教育宣教中心</w:t>
      </w:r>
      <w:r>
        <w:rPr>
          <w:rFonts w:hint="eastAsia" w:ascii="Times New Roman" w:hAnsi="Times New Roman" w:eastAsia="仿宋" w:cs="Times New Roman"/>
          <w:color w:val="000000"/>
          <w:spacing w:val="-6"/>
          <w:sz w:val="28"/>
          <w:szCs w:val="28"/>
          <w:lang w:val="en-US" w:eastAsia="zh-CN"/>
        </w:rPr>
        <w:t>3</w:t>
      </w:r>
      <w:r>
        <w:rPr>
          <w:rFonts w:ascii="Times New Roman" w:hAnsi="Times New Roman" w:eastAsia="仿宋" w:cs="Times New Roman"/>
          <w:color w:val="000000"/>
          <w:spacing w:val="-6"/>
          <w:sz w:val="28"/>
          <w:szCs w:val="28"/>
          <w:lang w:val="en-US" w:eastAsia="zh-CN"/>
        </w:rPr>
        <w:t>个，森林步道120公里、露营基地5处、森林康养人家38家，是渝东南知名的夏季避暑目的地。区域交通以S516国</w:t>
      </w:r>
      <w:r>
        <w:rPr>
          <w:rFonts w:hint="eastAsia" w:ascii="Times New Roman" w:hAnsi="Times New Roman" w:eastAsia="仿宋" w:cs="Times New Roman"/>
          <w:color w:val="000000"/>
          <w:spacing w:val="-6"/>
          <w:sz w:val="28"/>
          <w:szCs w:val="28"/>
          <w:lang w:val="en-US" w:eastAsia="zh-CN"/>
        </w:rPr>
        <w:t>道</w:t>
      </w:r>
      <w:r>
        <w:rPr>
          <w:rFonts w:ascii="Times New Roman" w:hAnsi="Times New Roman" w:eastAsia="仿宋" w:cs="Times New Roman"/>
          <w:color w:val="000000"/>
          <w:spacing w:val="-6"/>
          <w:sz w:val="28"/>
          <w:szCs w:val="28"/>
          <w:lang w:val="en-US" w:eastAsia="zh-CN"/>
        </w:rPr>
        <w:t>为主骨架，距石柱县城65公里（车程1.5小时），距重庆主城280公里（车程4小时），随着渝宜高速铁路的规划建设，未来将实现0.5小时达重庆主城。</w:t>
      </w:r>
    </w:p>
    <w:p>
      <w:pPr>
        <w:pStyle w:val="000001"/>
        <w:keepNext w:val="false"/>
        <w:keepLines w:val="false"/>
        <w:pageBreakBefore w:val="false"/>
        <w:widowControl/>
        <w:numPr>
          <w:ilvl w:val="0"/>
          <w:numId w:val="15"/>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hint="eastAsia" w:ascii="Times New Roman" w:hAnsi="Times New Roman" w:eastAsia="仿宋" w:cs="Times New Roman"/>
          <w:b/>
          <w:bCs/>
          <w:color w:val="000000"/>
          <w:spacing w:val="-5"/>
          <w:position w:val="1"/>
          <w:sz w:val="28"/>
          <w:szCs w:val="28"/>
          <w:lang w:val="en-US" w:eastAsia="zh-CN"/>
        </w:rPr>
        <w:t>发展方向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该区域依托海拔较高、夏季凉爽、森林康养资源丰富、旅游基础好等突出优势，推行“康旅融合型”复合经营模式，重点发展高品质、高附加值的生态型森林康养产业，重点打造国家级森林康养度假目的地。</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森林康养：高端民宿集群、度假综合体。</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特色林下经济：高山黄连、</w:t>
      </w:r>
      <w:r>
        <w:rPr>
          <w:rFonts w:ascii="Times New Roman" w:hAnsi="Times New Roman" w:eastAsia="仿宋" w:cs="Times New Roman"/>
          <w:color w:val="000000"/>
          <w:spacing w:val="-6"/>
          <w:sz w:val="28"/>
          <w:szCs w:val="28"/>
          <w:lang w:val="en-US" w:eastAsia="zh-CN"/>
        </w:rPr>
        <w:t>黄精、天麻</w:t>
      </w:r>
      <w:r>
        <w:rPr>
          <w:rFonts w:hint="eastAsia" w:ascii="Times New Roman" w:hAnsi="Times New Roman" w:eastAsia="仿宋" w:cs="Times New Roman"/>
          <w:color w:val="000000"/>
          <w:spacing w:val="-6"/>
          <w:sz w:val="28"/>
          <w:szCs w:val="28"/>
          <w:lang w:val="en-US" w:eastAsia="zh-CN"/>
        </w:rPr>
        <w:t>、林蜂、羊肚菌等。</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生态游乐：森林乐园、研学基地。</w:t>
      </w:r>
    </w:p>
    <w:bookmarkStart w:id="121" w:name="_Toc7101"/>
    <w:p>
      <w:pPr>
        <w:pStyle w:val="000007"/>
        <w:keepNext/>
        <w:keepLines/>
        <w:pageBreakBefore w:val="false"/>
        <w:widowControl w:val="false"/>
        <w:numPr>
          <w:ilvl w:val="0"/>
          <w:numId w:val="1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方斗山西部沿江地区</w:t>
      </w:r>
      <w:bookmarkEnd w:id="121"/>
    </w:p>
    <w:p>
      <w:pPr>
        <w:pStyle w:val="000001"/>
        <w:keepNext w:val="false"/>
        <w:keepLines w:val="false"/>
        <w:pageBreakBefore w:val="false"/>
        <w:widowControl/>
        <w:numPr>
          <w:ilvl w:val="0"/>
          <w:numId w:val="16"/>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区域范围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是以西沱镇为主体的沿江丘陵地区，空间范围涵盖黎场乡、万朝镇、王场镇、西沱镇、沿溪镇等5个乡镇。</w:t>
      </w:r>
    </w:p>
    <w:p>
      <w:pPr>
        <w:pStyle w:val="000001"/>
        <w:keepNext w:val="false"/>
        <w:keepLines w:val="false"/>
        <w:pageBreakBefore w:val="false"/>
        <w:widowControl/>
        <w:numPr>
          <w:ilvl w:val="0"/>
          <w:numId w:val="16"/>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区域特点</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位于石柱县西北地区，地处长江以南、方斗山以西的丘陵地带，海拔介于68～1020米之间，平均海拔370米。多年平均降雨量1435毫米，多年平均气温18.9℃，多年平均日照1218小时。受长江冲积与方斗山喀斯特地貌双重影响，形成了多样化的土壤分布格局，以石灰土、紫色土、潮土、黄壤为主要类型，并呈现出显著的海拔垂直分异与母质控制规律。</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区域内林地面积</w:t>
      </w:r>
      <w:r>
        <w:rPr>
          <w:rFonts w:hint="eastAsia" w:ascii="Times New Roman" w:hAnsi="Times New Roman" w:eastAsia="仿宋" w:cs="Times New Roman"/>
          <w:color w:val="000000"/>
          <w:spacing w:val="-6"/>
          <w:sz w:val="28"/>
          <w:szCs w:val="28"/>
          <w:lang w:val="en-US" w:eastAsia="zh-CN"/>
        </w:rPr>
        <w:t>19.2958万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其中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禁止利用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3.7293万</w:t>
      </w:r>
      <w:r>
        <w:rPr>
          <w:rFonts w:ascii="Times New Roman" w:hAnsi="Times New Roman" w:eastAsia="仿宋" w:cs="Times New Roman"/>
          <w:color w:val="000000"/>
          <w:spacing w:val="-6"/>
          <w:sz w:val="28"/>
          <w:szCs w:val="28"/>
          <w:lang w:val="en-US" w:eastAsia="zh-CN"/>
        </w:rPr>
        <w:t>亩，</w:t>
        <w:tab/>
      </w:r>
      <w:r>
        <w:rPr>
          <w:rFonts w:hint="eastAsia" w:ascii="Times New Roman" w:hAnsi="Times New Roman" w:eastAsia="仿宋" w:cs="Times New Roman"/>
          <w:color w:val="000000"/>
          <w:spacing w:val="-6"/>
          <w:sz w:val="28"/>
          <w:szCs w:val="28"/>
          <w:lang w:val="en-US" w:eastAsia="zh-CN"/>
        </w:rPr>
        <w:t>限制利用的</w:t>
      </w:r>
      <w:r>
        <w:rPr>
          <w:rFonts w:ascii="Times New Roman" w:hAnsi="Times New Roman" w:eastAsia="仿宋" w:cs="Times New Roman"/>
          <w:color w:val="000000"/>
          <w:spacing w:val="-6"/>
          <w:sz w:val="28"/>
          <w:szCs w:val="28"/>
          <w:lang w:val="en-US" w:eastAsia="zh-CN"/>
        </w:rPr>
        <w:t>林地</w:t>
        <w:tab/>
        <w:t>面积</w:t>
      </w:r>
      <w:r>
        <w:rPr>
          <w:rFonts w:hint="eastAsia" w:ascii="Times New Roman" w:hAnsi="Times New Roman" w:eastAsia="仿宋" w:cs="Times New Roman"/>
          <w:color w:val="000000"/>
          <w:spacing w:val="-6"/>
          <w:sz w:val="28"/>
          <w:szCs w:val="28"/>
          <w:lang w:val="en-US" w:eastAsia="zh-CN"/>
        </w:rPr>
        <w:t>14.1763万</w:t>
      </w:r>
      <w:r>
        <w:rPr>
          <w:rFonts w:ascii="Times New Roman" w:hAnsi="Times New Roman" w:eastAsia="仿宋" w:cs="Times New Roman"/>
          <w:color w:val="000000"/>
          <w:spacing w:val="-6"/>
          <w:sz w:val="28"/>
          <w:szCs w:val="28"/>
          <w:lang w:val="en-US" w:eastAsia="zh-CN"/>
        </w:rPr>
        <w:t>亩，优先利用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1.3902万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森林面积</w:t>
      </w:r>
      <w:r>
        <w:rPr>
          <w:rFonts w:hint="eastAsia" w:ascii="Times New Roman" w:hAnsi="Times New Roman" w:eastAsia="仿宋" w:cs="Times New Roman"/>
          <w:color w:val="000000"/>
          <w:spacing w:val="-6"/>
          <w:sz w:val="28"/>
          <w:szCs w:val="28"/>
          <w:lang w:val="en-US" w:eastAsia="zh-CN"/>
        </w:rPr>
        <w:t>16.2871万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，森林覆盖率40.8%；植被覆盖类型以针叶林为主，占比达62.9%；林分起源以天然林为主，占比87.0%；森林类别以商品林为主，占比51.9%。</w:t>
      </w:r>
      <w:r>
        <w:rPr>
          <w:rFonts w:ascii="Times New Roman" w:hAnsi="Times New Roman" w:eastAsia="仿宋" w:cs="Times New Roman"/>
          <w:color w:val="000000"/>
          <w:spacing w:val="-6"/>
          <w:sz w:val="28"/>
          <w:szCs w:val="28"/>
          <w:lang w:val="en-US" w:eastAsia="zh-CN"/>
        </w:rPr>
        <w:t>区域内有柑橘、佛手龙眼、荔枝等特色经果林。王场镇已建成渝东南最大的晚熟柑橘基地，沿溪镇已形成佛手GAP种植示范区，黎场乡重点培育龙眼产业带。区域内现有初加工企业12家，年处理鲜果能力3万吨。趋于成熟的产业发展模式，为深入打造完整产业链、品牌影响力等提供重要保障。</w:t>
      </w:r>
    </w:p>
    <w:p>
      <w:pPr>
        <w:pStyle w:val="000001"/>
        <w:keepNext w:val="false"/>
        <w:keepLines w:val="false"/>
        <w:pageBreakBefore w:val="false"/>
        <w:widowControl/>
        <w:numPr>
          <w:ilvl w:val="0"/>
          <w:numId w:val="16"/>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hint="eastAsia" w:ascii="Times New Roman" w:hAnsi="Times New Roman" w:eastAsia="仿宋" w:cs="Times New Roman"/>
          <w:b/>
          <w:bCs/>
          <w:color w:val="000000"/>
          <w:spacing w:val="-5"/>
          <w:position w:val="1"/>
          <w:sz w:val="28"/>
          <w:szCs w:val="28"/>
          <w:lang w:val="en-US" w:eastAsia="zh-CN"/>
        </w:rPr>
        <w:t>发展方向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应充分依托海拔较低、毗邻长江、热量充足、交通区位较好等优势，推行“特色经果型”高效经营模式，重点发展</w:t>
      </w:r>
      <w:r>
        <w:rPr>
          <w:rFonts w:ascii="Times New Roman" w:hAnsi="Times New Roman" w:eastAsia="仿宋" w:cs="Times New Roman"/>
          <w:color w:val="000000"/>
          <w:spacing w:val="-6"/>
          <w:sz w:val="28"/>
          <w:szCs w:val="28"/>
          <w:lang w:val="en-US" w:eastAsia="zh-CN"/>
        </w:rPr>
        <w:t>特色经果林</w:t>
      </w:r>
      <w:r>
        <w:rPr>
          <w:rFonts w:hint="eastAsia" w:ascii="Times New Roman" w:hAnsi="Times New Roman" w:eastAsia="仿宋" w:cs="Times New Roman"/>
          <w:color w:val="000000"/>
          <w:spacing w:val="-6"/>
          <w:sz w:val="28"/>
          <w:szCs w:val="28"/>
          <w:lang w:val="en-US" w:eastAsia="zh-CN"/>
        </w:rPr>
        <w:t>、林农复合以及生态修复产业。</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特色经济林：柑橘、笋用竹、佛手、花椒等耐旱经济林木。</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林农复合：林下种植或养殖（如跑山鸡）。</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生态修复产业：库岸生态防护林、经果林结合的水土保持林。</w:t>
      </w:r>
    </w:p>
    <w:bookmarkStart w:id="122" w:name="_Toc15441"/>
    <w:p>
      <w:pPr>
        <w:pStyle w:val="000007"/>
        <w:keepNext/>
        <w:keepLines/>
        <w:pageBreakBefore w:val="false"/>
        <w:widowControl w:val="false"/>
        <w:numPr>
          <w:ilvl w:val="0"/>
          <w:numId w:val="1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七曜山东部区域</w:t>
      </w:r>
      <w:bookmarkEnd w:id="122"/>
    </w:p>
    <w:p>
      <w:pPr>
        <w:pStyle w:val="000001"/>
        <w:keepNext w:val="false"/>
        <w:keepLines w:val="false"/>
        <w:pageBreakBefore w:val="false"/>
        <w:widowControl/>
        <w:numPr>
          <w:ilvl w:val="0"/>
          <w:numId w:val="17"/>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区域范围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为七曜山东部的集中连片中低山地区，空间范围涵盖黄鹤镇、金铃镇、马武镇、新乐镇等4个乡镇。</w:t>
      </w:r>
    </w:p>
    <w:p>
      <w:pPr>
        <w:pStyle w:val="000001"/>
        <w:keepNext w:val="false"/>
        <w:keepLines w:val="false"/>
        <w:pageBreakBefore w:val="false"/>
        <w:widowControl/>
        <w:numPr>
          <w:ilvl w:val="0"/>
          <w:numId w:val="17"/>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ascii="Times New Roman" w:hAnsi="Times New Roman" w:eastAsia="仿宋" w:cs="Times New Roman"/>
          <w:b/>
          <w:bCs/>
          <w:color w:val="000000"/>
          <w:spacing w:val="-5"/>
          <w:position w:val="1"/>
          <w:sz w:val="28"/>
          <w:szCs w:val="28"/>
          <w:lang w:val="en-US" w:eastAsia="zh-CN"/>
        </w:rPr>
        <w:t>区域特点</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位于石柱县东南部，地处七曜山背斜以东，地貌以中山、丘陵为主，深沟、峡谷次之，海拔介于470～1860米之间，平均海拔1210米左右。多年平均降雨量1168毫米，年平均气温14.7℃。多年平均日照1316小时。随海拔升高，土壤类型呈显著的分布规律，槽谷盆地以水稻土、紫色土为主，丘陵以黄壤、紫色土为主，山地以黄壤、黄棕壤为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区域内林地面积</w:t>
      </w:r>
      <w:r>
        <w:rPr>
          <w:rFonts w:hint="eastAsia" w:ascii="Times New Roman" w:hAnsi="Times New Roman" w:eastAsia="仿宋" w:cs="Times New Roman"/>
          <w:color w:val="000000"/>
          <w:spacing w:val="-6"/>
          <w:sz w:val="28"/>
          <w:szCs w:val="28"/>
          <w:lang w:val="en-US" w:eastAsia="zh-CN"/>
        </w:rPr>
        <w:t>46.0904万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其中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禁止利用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6.4399万</w:t>
      </w:r>
      <w:r>
        <w:rPr>
          <w:rFonts w:ascii="Times New Roman" w:hAnsi="Times New Roman" w:eastAsia="仿宋" w:cs="Times New Roman"/>
          <w:color w:val="000000"/>
          <w:spacing w:val="-6"/>
          <w:sz w:val="28"/>
          <w:szCs w:val="28"/>
          <w:lang w:val="en-US" w:eastAsia="zh-CN"/>
        </w:rPr>
        <w:t>亩，</w:t>
        <w:tab/>
      </w:r>
      <w:r>
        <w:rPr>
          <w:rFonts w:hint="eastAsia" w:ascii="Times New Roman" w:hAnsi="Times New Roman" w:eastAsia="仿宋" w:cs="Times New Roman"/>
          <w:color w:val="000000"/>
          <w:spacing w:val="-6"/>
          <w:sz w:val="28"/>
          <w:szCs w:val="28"/>
          <w:lang w:val="en-US" w:eastAsia="zh-CN"/>
        </w:rPr>
        <w:t>限制利用的</w:t>
      </w:r>
      <w:r>
        <w:rPr>
          <w:rFonts w:ascii="Times New Roman" w:hAnsi="Times New Roman" w:eastAsia="仿宋" w:cs="Times New Roman"/>
          <w:color w:val="000000"/>
          <w:spacing w:val="-6"/>
          <w:sz w:val="28"/>
          <w:szCs w:val="28"/>
          <w:lang w:val="en-US" w:eastAsia="zh-CN"/>
        </w:rPr>
        <w:t>林地</w:t>
        <w:tab/>
        <w:t>面积</w:t>
      </w:r>
      <w:r>
        <w:rPr>
          <w:rFonts w:hint="eastAsia" w:ascii="Times New Roman" w:hAnsi="Times New Roman" w:eastAsia="仿宋" w:cs="Times New Roman"/>
          <w:color w:val="000000"/>
          <w:spacing w:val="-6"/>
          <w:sz w:val="28"/>
          <w:szCs w:val="28"/>
          <w:lang w:val="en-US" w:eastAsia="zh-CN"/>
        </w:rPr>
        <w:t>33.0549万</w:t>
      </w:r>
      <w:r>
        <w:rPr>
          <w:rFonts w:ascii="Times New Roman" w:hAnsi="Times New Roman" w:eastAsia="仿宋" w:cs="Times New Roman"/>
          <w:color w:val="000000"/>
          <w:spacing w:val="-6"/>
          <w:sz w:val="28"/>
          <w:szCs w:val="28"/>
          <w:lang w:val="en-US" w:eastAsia="zh-CN"/>
        </w:rPr>
        <w:t>亩，优先利用</w:t>
      </w:r>
      <w:r>
        <w:rPr>
          <w:rFonts w:hint="eastAsia" w:ascii="Times New Roman" w:hAnsi="Times New Roman" w:eastAsia="仿宋" w:cs="Times New Roman"/>
          <w:color w:val="000000"/>
          <w:spacing w:val="-6"/>
          <w:sz w:val="28"/>
          <w:szCs w:val="28"/>
          <w:lang w:val="en-US" w:eastAsia="zh-CN"/>
        </w:rPr>
        <w:t>的</w:t>
      </w:r>
      <w:r>
        <w:rPr>
          <w:rFonts w:ascii="Times New Roman" w:hAnsi="Times New Roman" w:eastAsia="仿宋" w:cs="Times New Roman"/>
          <w:color w:val="000000"/>
          <w:spacing w:val="-6"/>
          <w:sz w:val="28"/>
          <w:szCs w:val="28"/>
          <w:lang w:val="en-US" w:eastAsia="zh-CN"/>
        </w:rPr>
        <w:t>林地面积</w:t>
      </w:r>
      <w:r>
        <w:rPr>
          <w:rFonts w:hint="eastAsia" w:ascii="Times New Roman" w:hAnsi="Times New Roman" w:eastAsia="仿宋" w:cs="Times New Roman"/>
          <w:color w:val="000000"/>
          <w:spacing w:val="-6"/>
          <w:sz w:val="28"/>
          <w:szCs w:val="28"/>
          <w:lang w:val="en-US" w:eastAsia="zh-CN"/>
        </w:rPr>
        <w:t>6.5956万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森林面积</w:t>
      </w:r>
      <w:r>
        <w:rPr>
          <w:rFonts w:hint="eastAsia" w:ascii="Times New Roman" w:hAnsi="Times New Roman" w:eastAsia="仿宋" w:cs="Times New Roman"/>
          <w:color w:val="000000"/>
          <w:spacing w:val="-6"/>
          <w:sz w:val="28"/>
          <w:szCs w:val="28"/>
          <w:lang w:val="en-US" w:eastAsia="zh-CN"/>
        </w:rPr>
        <w:t>43.1388万</w:t>
      </w:r>
      <w:r>
        <w:rPr>
          <w:rFonts w:ascii="Times New Roman" w:hAnsi="Times New Roman" w:eastAsia="仿宋" w:cs="Times New Roman"/>
          <w:color w:val="000000"/>
          <w:spacing w:val="-6"/>
          <w:sz w:val="28"/>
          <w:szCs w:val="28"/>
          <w:lang w:val="en-US" w:eastAsia="zh-CN"/>
        </w:rPr>
        <w:t>亩</w:t>
      </w:r>
      <w:r>
        <w:rPr>
          <w:rFonts w:hint="eastAsia" w:ascii="Times New Roman" w:hAnsi="Times New Roman" w:eastAsia="仿宋" w:cs="Times New Roman"/>
          <w:color w:val="000000"/>
          <w:spacing w:val="-6"/>
          <w:sz w:val="28"/>
          <w:szCs w:val="28"/>
          <w:lang w:val="en-US" w:eastAsia="zh-CN"/>
        </w:rPr>
        <w:t>，森林覆盖率76.7%；植被覆盖类型以阔叶林（含针阔混）为主，占比达56.7%；林分起源以人工为主，占比54.7%；森林类别以公益林为主，占比63.7%。</w:t>
      </w:r>
      <w:r>
        <w:rPr>
          <w:rFonts w:ascii="Times New Roman" w:hAnsi="Times New Roman" w:eastAsia="仿宋" w:cs="Times New Roman"/>
          <w:color w:val="000000"/>
          <w:spacing w:val="-6"/>
          <w:sz w:val="28"/>
          <w:szCs w:val="28"/>
          <w:lang w:val="en-US" w:eastAsia="zh-CN"/>
        </w:rPr>
        <w:t>区域喀斯特地貌广泛发育，面积占区域总面积的42%，形成溶洞、峰丛、洼地等独特景观，具有极高的科研与旅游价值。拥有七曜山国家级地质公园，包含七曜山、金铃、马盘溪三大景区，地质遗迹涵盖褶皱构造与岩溶地貌复合景观。目前，林下经济以散户种植为主，主要种植黄精、白芨等中药材及食用菌，品种单一、标准化程度低、市场对接不畅等问题。</w:t>
      </w:r>
    </w:p>
    <w:p>
      <w:pPr>
        <w:pStyle w:val="000001"/>
        <w:keepNext w:val="false"/>
        <w:keepLines w:val="false"/>
        <w:pageBreakBefore w:val="false"/>
        <w:widowControl/>
        <w:numPr>
          <w:ilvl w:val="0"/>
          <w:numId w:val="17"/>
        </w:numPr>
        <w:tabs>
          <w:tab w:val="left" w:leader="none" w:pos="420"/>
        </w:tabs>
        <w:kinsoku/>
        <w:wordWrap/>
        <w:overflowPunct/>
        <w:topLinePunct w:val="false"/>
        <w:autoSpaceDE w:val="false"/>
        <w:autoSpaceDN w:val="false"/>
        <w:bidi w:val="false"/>
        <w:spacing w:before="97" w:line="396" w:lineRule="exact"/>
        <w:ind w:left="0" w:leftChars="0" w:right="0" w:firstLine="420" w:firstLineChars="0"/>
        <w:outlineLvl w:val="4"/>
        <w:rPr>
          <w:rFonts w:ascii="Times New Roman" w:hAnsi="Times New Roman" w:eastAsia="仿宋" w:cs="Times New Roman"/>
          <w:b/>
          <w:bCs/>
          <w:color w:val="000000"/>
          <w:spacing w:val="-5"/>
          <w:position w:val="1"/>
          <w:sz w:val="28"/>
          <w:szCs w:val="28"/>
          <w:lang w:val="en-US" w:eastAsia="zh-CN"/>
        </w:rPr>
      </w:pPr>
      <w:r>
        <w:rPr>
          <w:rFonts w:hint="eastAsia" w:ascii="Times New Roman" w:hAnsi="Times New Roman" w:eastAsia="仿宋" w:cs="Times New Roman"/>
          <w:b/>
          <w:bCs/>
          <w:color w:val="000000"/>
          <w:spacing w:val="-5"/>
          <w:position w:val="1"/>
          <w:sz w:val="28"/>
          <w:szCs w:val="28"/>
          <w:lang w:val="en-US" w:eastAsia="zh-CN"/>
        </w:rPr>
        <w:t>发展方向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该区域</w:t>
      </w:r>
      <w:r>
        <w:rPr>
          <w:rFonts w:hint="eastAsia" w:ascii="Times New Roman" w:hAnsi="Times New Roman" w:eastAsia="仿宋" w:cs="Times New Roman"/>
          <w:color w:val="000000"/>
          <w:spacing w:val="-6"/>
          <w:sz w:val="28"/>
          <w:szCs w:val="28"/>
          <w:lang w:val="en-US" w:eastAsia="zh-CN"/>
        </w:rPr>
        <w:t>应充分依托中高海拔、林地广阔且集中，是传统黄连主产区、林下种植经验丰富等优势，推行“林药共生型”可持续经营模式，重点发展林下中药材种植、生态旅游等产业，深入开展森林质量精准提升以及林地循环利用。</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林下中药材：</w:t>
      </w:r>
      <w:r>
        <w:rPr>
          <w:rFonts w:hint="eastAsia" w:ascii="Times New Roman" w:hAnsi="Times New Roman" w:eastAsia="仿宋" w:cs="Times New Roman"/>
          <w:color w:val="000000"/>
          <w:spacing w:val="-6"/>
          <w:sz w:val="28"/>
          <w:szCs w:val="28"/>
          <w:lang w:val="en-US" w:eastAsia="zh-CN"/>
        </w:rPr>
        <w:t>以</w:t>
      </w:r>
      <w:r>
        <w:rPr>
          <w:rFonts w:ascii="Times New Roman" w:hAnsi="Times New Roman" w:eastAsia="仿宋" w:cs="Times New Roman"/>
          <w:color w:val="000000"/>
          <w:spacing w:val="-6"/>
          <w:sz w:val="28"/>
          <w:szCs w:val="28"/>
          <w:lang w:val="en-US" w:eastAsia="zh-CN"/>
        </w:rPr>
        <w:t>黄连</w:t>
      </w:r>
      <w:r>
        <w:rPr>
          <w:rFonts w:hint="eastAsia" w:ascii="Times New Roman" w:hAnsi="Times New Roman" w:eastAsia="仿宋" w:cs="Times New Roman"/>
          <w:color w:val="000000"/>
          <w:spacing w:val="-6"/>
          <w:sz w:val="28"/>
          <w:szCs w:val="28"/>
          <w:lang w:val="en-US" w:eastAsia="zh-CN"/>
        </w:rPr>
        <w:t>为</w:t>
      </w:r>
      <w:r>
        <w:rPr>
          <w:rFonts w:ascii="Times New Roman" w:hAnsi="Times New Roman" w:eastAsia="仿宋" w:cs="Times New Roman"/>
          <w:color w:val="000000"/>
          <w:spacing w:val="-6"/>
          <w:sz w:val="28"/>
          <w:szCs w:val="28"/>
          <w:lang w:val="en-US" w:eastAsia="zh-CN"/>
        </w:rPr>
        <w:t>核心、科学规划发展林菌、林药（黄精、天麻）、林笋、林蜂等复合经营</w:t>
      </w:r>
      <w:r>
        <w:rPr>
          <w:rFonts w:hint="eastAsia"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生态旅游：</w:t>
      </w:r>
      <w:r>
        <w:rPr>
          <w:rFonts w:ascii="Times New Roman" w:hAnsi="Times New Roman" w:eastAsia="仿宋" w:cs="Times New Roman"/>
          <w:color w:val="000000"/>
          <w:spacing w:val="-6"/>
          <w:sz w:val="28"/>
          <w:szCs w:val="28"/>
          <w:lang w:val="en-US" w:eastAsia="zh-CN"/>
        </w:rPr>
        <w:t>以七曜山地质公园金铃景</w:t>
      </w:r>
      <w:r>
        <w:rPr>
          <w:rFonts w:hint="eastAsia" w:ascii="Times New Roman" w:hAnsi="Times New Roman" w:eastAsia="仿宋" w:cs="Times New Roman"/>
          <w:color w:val="000000"/>
          <w:spacing w:val="-6"/>
          <w:sz w:val="28"/>
          <w:szCs w:val="28"/>
          <w:lang w:val="en-US" w:eastAsia="zh-CN"/>
        </w:rPr>
        <w:t>区为</w:t>
      </w:r>
      <w:r>
        <w:rPr>
          <w:rFonts w:ascii="Times New Roman" w:hAnsi="Times New Roman" w:eastAsia="仿宋" w:cs="Times New Roman"/>
          <w:color w:val="000000"/>
          <w:spacing w:val="-6"/>
          <w:sz w:val="28"/>
          <w:szCs w:val="28"/>
          <w:lang w:val="en-US" w:eastAsia="zh-CN"/>
        </w:rPr>
        <w:t>核心，重点发展地质科普、生态观光</w:t>
      </w:r>
      <w:r>
        <w:rPr>
          <w:rFonts w:hint="eastAsia" w:ascii="Times New Roman" w:hAnsi="Times New Roman" w:eastAsia="仿宋" w:cs="Times New Roman"/>
          <w:color w:val="000000"/>
          <w:spacing w:val="-6"/>
          <w:sz w:val="28"/>
          <w:szCs w:val="28"/>
          <w:lang w:val="en-US" w:eastAsia="zh-CN"/>
        </w:rPr>
        <w:t>等多元融合产业。</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森林质量精准提升：推广</w:t>
      </w:r>
      <w:r>
        <w:rPr>
          <w:rFonts w:hint="eastAsia" w:ascii="Times New Roman" w:hAnsi="Times New Roman" w:eastAsia="仿宋" w:cs="Times New Roman"/>
          <w:color w:val="000000"/>
          <w:spacing w:val="-6"/>
          <w:sz w:val="28"/>
          <w:szCs w:val="28"/>
          <w:lang w:val="en-US" w:eastAsia="zh-CN"/>
        </w:rPr>
        <w:t>“林连互利共生”模</w:t>
      </w:r>
      <w:r>
        <w:rPr>
          <w:rFonts w:ascii="Times New Roman" w:hAnsi="Times New Roman" w:eastAsia="仿宋" w:cs="Times New Roman"/>
          <w:color w:val="000000"/>
          <w:spacing w:val="-6"/>
          <w:sz w:val="28"/>
          <w:szCs w:val="28"/>
          <w:lang w:val="en-US" w:eastAsia="zh-CN"/>
        </w:rPr>
        <w:t>式，通过种植药材反哺森林抚育</w:t>
      </w:r>
      <w:r>
        <w:rPr>
          <w:rFonts w:hint="eastAsia"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林</w:t>
      </w:r>
      <w:r>
        <w:rPr>
          <w:rFonts w:ascii="Times New Roman" w:hAnsi="Times New Roman" w:eastAsia="仿宋" w:cs="Times New Roman"/>
          <w:color w:val="000000"/>
          <w:spacing w:val="-6"/>
          <w:sz w:val="28"/>
          <w:szCs w:val="28"/>
          <w:lang w:val="en-US" w:eastAsia="zh-CN"/>
        </w:rPr>
        <w:t>地循环利用：探索</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黄连-天麻-冷竹</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等短、中、长期结合的轮作模式</w:t>
      </w:r>
      <w:r>
        <w:rPr>
          <w:rFonts w:hint="eastAsia" w:ascii="Times New Roman" w:hAnsi="Times New Roman" w:eastAsia="仿宋" w:cs="Times New Roman"/>
          <w:color w:val="000000"/>
          <w:spacing w:val="-6"/>
          <w:sz w:val="28"/>
          <w:szCs w:val="28"/>
          <w:lang w:val="en-US" w:eastAsia="zh-CN"/>
        </w:rPr>
        <w:t>。</w:t>
      </w:r>
    </w:p>
    <w:bookmarkStart w:id="123" w:name="_Toc31667"/>
    <w:bookmarkStart w:id="124" w:name="_Toc29353"/>
    <w:p>
      <w:pPr>
        <w:sectPr>
          <w:footerReference r:id="rId19" w:type="even"/>
          <w:footerReference r:id="rId18" w:type="default"/>
          <w:type w:val="nextPage"/>
          <w:pgSz w:w="11905" w:h="16840"/>
          <w:pgMar w:top="1440" w:right="1797" w:bottom="1440" w:left="1797" w:header="1134" w:footer="1191" w:gutter="0"/>
          <w:pgNumType w:start="1"/>
          <w:cols/>
          <w:docGrid/>
        </w:sectPr>
      </w:pPr>
    </w:p>
    <w:p>
      <w:pPr>
        <w:pStyle w:val="000004"/>
        <w:keepNext/>
        <w:keepLines/>
        <w:pageBreakBefore w:val="false"/>
        <w:widowControl w:val="false"/>
        <w:numPr>
          <w:ilvl w:val="0"/>
          <w:numId w:val="1"/>
        </w:numPr>
        <w:shd w:val="clear" w:color="auto" w:fill="auto"/>
        <w:tabs>
          <w:tab w:val="clear" w:pos="0"/>
        </w:tabs>
        <w:kinsoku/>
        <w:wordWrap/>
        <w:overflowPunct/>
        <w:topLinePunct w:val="false"/>
        <w:autoSpaceDE/>
        <w:autoSpaceDN/>
        <w:bidi w:val="false"/>
        <w:spacing w:before="0" w:after="0" w:line="240" w:lineRule="auto"/>
        <w:ind w:left="0" w:leftChars="0" w:firstLine="0" w:firstLineChars="0"/>
        <w:jc w:val="center"/>
        <w:rPr>
          <w:rFonts w:ascii="Times New Roman" w:hAnsi="Times New Roman" w:eastAsia="方正小标宋_GBK" w:cs="Times New Roman"/>
          <w:bCs/>
          <w:snapToGrid/>
          <w:color w:val="000000"/>
          <w:szCs w:val="28"/>
          <w:lang w:val="en-US" w:eastAsia="zh-CN"/>
        </w:rPr>
      </w:pPr>
      <w:r>
        <w:rPr>
          <w:rFonts w:ascii="Times New Roman" w:hAnsi="Times New Roman" w:eastAsia="方正小标宋_GBK" w:cs="Times New Roman"/>
          <w:bCs/>
          <w:snapToGrid/>
          <w:color w:val="000000"/>
          <w:szCs w:val="28"/>
          <w:lang w:val="en-US" w:eastAsia="zh-CN"/>
        </w:rPr>
        <w:t>主要任务</w:t>
      </w:r>
      <w:bookmarkEnd w:id="123"/>
      <w:bookmarkEnd w:id="124"/>
    </w:p>
    <w:bookmarkStart w:id="125" w:name="_Toc29000"/>
    <w:bookmarkStart w:id="126" w:name="_Toc21717"/>
    <w:p>
      <w:pPr>
        <w:pStyle w:val="000006"/>
        <w:keepNext/>
        <w:keepLines/>
        <w:pageBreakBefore w:val="false"/>
        <w:widowControl w:val="false"/>
        <w:numPr>
          <w:ilvl w:val="0"/>
          <w:numId w:val="18"/>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做精做靓森林康养</w:t>
      </w:r>
      <w:bookmarkEnd w:id="125"/>
      <w:bookmarkEnd w:id="126"/>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构建全域协同的森林康养产业体系为主线，通过培育高品质森林康养林、完善配套服务设施、丰富多元产品供给、打造特色文化品牌、提升专业服务水平、深化跨区域协同协作，全面提升“全国森林康养基地县”核心品牌竞争力。规划到2030年，累计建成市级以上森林康养基地9个，年接待康养游客1500万人次以上，森林康养综合产值突破80亿元；到2035年，累计建成市级以上森林康养基地12个，年接待康养游客1600万人次以上，森林康养综合产值突破100亿元，建成全国生态康养胜地、全国森林旅游示范县。</w:t>
      </w:r>
    </w:p>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构建全域协同森林康养产业体系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以打造全域森林康养基地为核心，深入推进森林康养基地提质扩面、推动多元业态协同联动，形成覆盖不同客群需求、贯穿全产业链的产业格局，实现森林康养从单一体验向系统化、专业化、品牌化升级。</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推进森林康养基地提质扩面。</w:t>
      </w:r>
      <w:r>
        <w:rPr>
          <w:rFonts w:hint="eastAsia" w:ascii="Times New Roman" w:hAnsi="Times New Roman" w:eastAsia="仿宋" w:cs="Times New Roman"/>
          <w:color w:val="000000"/>
          <w:spacing w:val="-6"/>
          <w:sz w:val="28"/>
          <w:szCs w:val="28"/>
          <w:lang w:val="en-US" w:eastAsia="zh-CN"/>
        </w:rPr>
        <w:t>对现有6个市级基地进行主题化、差异化升级，太阳湖、大风堡突出“水体康养+森林疗愈”综合目的地，冷水风谷突出“中医+森林康养”，七曜山广寒宫重点发展“探险+研学”，千野草场积极塑造“慢生活+自然康养”品牌，万寿山深化“土司文化+山地康养”内涵。同时，依托重要康养林、湿地等资源，积极培育云中花都、森林王国、藤子沟等新基地，实现县域全覆盖。</w:t>
      </w:r>
    </w:p>
    <w:p>
      <w:pPr>
        <w:pStyle w:val="000002"/>
        <w:ind/>
        <w:rPr>
          <w:rFonts w:hint="eastAsia" w:ascii="Times New Roman" w:hAnsi="Times New Roman" w:eastAsia="仿宋" w:cs="Times New Roman"/>
          <w:color w:val="000000"/>
          <w:spacing w:val="-6"/>
          <w:sz w:val="28"/>
          <w:szCs w:val="28"/>
          <w:lang w:val="en-US" w:eastAsia="zh-CN"/>
        </w:rPr>
      </w:pPr>
    </w:p>
    <w:p>
      <w:pPr>
        <w:pStyle w:val="00000e"/>
        <w:ind/>
        <w:rPr>
          <w:rFonts w:hint="eastAsia"/>
          <w:lang w:val="en-US" w:eastAsia="zh-CN"/>
        </w:rPr>
      </w:pP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7" w:hRule="atLeast"/>
          <w:tblHeader/>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专栏4.1.1 森林康养基地提质扩面工程</w:t>
            </w:r>
          </w:p>
        </w:tc>
      </w:tr>
      <w:tr>
        <w:trPr>
          <w:wBefore/>
          <w:trHeight w:val="90" w:hRule="atLeast"/>
          <w:tblHeader/>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建设任务</w:t>
            </w:r>
          </w:p>
        </w:tc>
      </w:tr>
      <w:tr>
        <w:trPr>
          <w:wBefore/>
          <w:trHeight w:val="689"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1</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基地提质与特色化打造</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升级提质现有市级森林康养基地</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依托太阳湖景区、大风堡等2个市级森林康养基地，聚焦</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水体康养+森林疗愈</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，全面升级打造集森林疗养、滨湖康养、森林休闲度假、森林文化沉浸、森林科普教育、森林运动健身等功能于一体的全龄段、多维度的综合康养目的地</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依托石柱冷水风谷森林康养基地，聚焦</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中医+森林康养</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，全面升级打造集中医诊疗服务、中药养生体验、中医康复护理、传统养生文化传承、中药科普教育、森林中医疗愈等功能于一体的中医药康养标杆</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依托石柱七曜山广寒宫森林康养基地，聚焦</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探险+研学+疗愈</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，全面升级打造集户外探险体验、地质研学、自然探索研学、探险技能培训、生态露营休闲、极限运动挑战、探险后疗愈等功能于一体的高品质森林探险研学康养基地</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依托石柱千野草场森林康养基地，聚焦</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慢生活+自然康养</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，全面升级打造集草地休闲体验、自然运动康养、自然教育课程、疗愈活动、休闲度假等功能于一体的高品质森林草地康养秘境</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依托石柱万寿山森林康养基地，聚焦</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土司文化+山地康养</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，全面升级打造集山地运动、森林氧吧疗愈、养生膳食体验、地域文化沉浸、自然教育实践、休闲度假服务等功能于一体的高品质土司文化山地康养基地。</w:t>
            </w:r>
          </w:p>
        </w:tc>
      </w:tr>
      <w:tr>
        <w:trPr>
          <w:wBefore/>
          <w:trHeight w:val="689"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2</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新</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培育</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一批市级森林康养基地</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培育</w:t>
            </w:r>
            <w:r>
              <w:rPr>
                <w:rFonts w:hint="eastAsia" w:ascii="Times New Roman" w:hAnsi="Times New Roman" w:eastAsia="仿宋" w:cs="Times New Roman"/>
                <w:color w:val="000000"/>
                <w:spacing w:val="-6"/>
                <w:sz w:val="21"/>
                <w:szCs w:val="21"/>
                <w:lang w:val="en-US" w:eastAsia="zh-CN"/>
              </w:rPr>
              <w:t>冷水镇云中花都</w:t>
            </w:r>
            <w:r>
              <w:rPr>
                <w:rFonts w:ascii="Times New Roman" w:hAnsi="Times New Roman" w:eastAsia="仿宋" w:cs="Times New Roman"/>
                <w:color w:val="000000"/>
                <w:spacing w:val="-6"/>
                <w:sz w:val="21"/>
                <w:szCs w:val="21"/>
                <w:lang w:val="en-US" w:eastAsia="zh-CN"/>
              </w:rPr>
              <w:t>、</w:t>
            </w:r>
            <w:r>
              <w:rPr>
                <w:rFonts w:hint="eastAsia" w:ascii="Times New Roman" w:hAnsi="Times New Roman" w:eastAsia="仿宋" w:cs="Times New Roman"/>
                <w:color w:val="000000"/>
                <w:spacing w:val="-6"/>
                <w:sz w:val="21"/>
                <w:szCs w:val="21"/>
                <w:lang w:val="en-US" w:eastAsia="zh-CN"/>
              </w:rPr>
              <w:t>黄水镇森林王国</w:t>
            </w:r>
            <w:r>
              <w:rPr>
                <w:rFonts w:ascii="Times New Roman" w:hAnsi="Times New Roman" w:eastAsia="仿宋" w:cs="Times New Roman"/>
                <w:color w:val="000000"/>
                <w:spacing w:val="-6"/>
                <w:sz w:val="21"/>
                <w:szCs w:val="21"/>
                <w:lang w:val="en-US" w:eastAsia="zh-CN"/>
              </w:rPr>
              <w:t>和</w:t>
            </w:r>
            <w:r>
              <w:rPr>
                <w:rFonts w:hint="eastAsia" w:ascii="Times New Roman" w:hAnsi="Times New Roman" w:eastAsia="仿宋" w:cs="Times New Roman"/>
                <w:color w:val="000000"/>
                <w:spacing w:val="-6"/>
                <w:sz w:val="21"/>
                <w:szCs w:val="21"/>
                <w:lang w:val="en-US" w:eastAsia="zh-CN"/>
              </w:rPr>
              <w:t>桥头镇藤子沟</w:t>
            </w:r>
            <w:r>
              <w:rPr>
                <w:rFonts w:ascii="Times New Roman" w:hAnsi="Times New Roman" w:eastAsia="仿宋" w:cs="Times New Roman"/>
                <w:color w:val="000000"/>
                <w:spacing w:val="-6"/>
                <w:sz w:val="21"/>
                <w:szCs w:val="21"/>
                <w:lang w:val="en-US" w:eastAsia="zh-CN"/>
              </w:rPr>
              <w:t>等3个以经营主体为单位的森林康养候选基地，达到市级以上森林康养基地标准，并积极申报市级森林康养基地。</w:t>
            </w:r>
          </w:p>
        </w:tc>
      </w:tr>
    </w:tbl>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推动多元业态协同发展。</w:t>
      </w:r>
      <w:r>
        <w:rPr>
          <w:rFonts w:hint="eastAsia" w:ascii="Times New Roman" w:hAnsi="Times New Roman" w:eastAsia="仿宋" w:cs="Times New Roman"/>
          <w:color w:val="000000"/>
          <w:spacing w:val="-6"/>
          <w:sz w:val="28"/>
          <w:szCs w:val="28"/>
          <w:lang w:val="en-US" w:eastAsia="zh-CN"/>
        </w:rPr>
        <w:t>提档升级黄水、鱼池、西沱等15个森林康养小镇，强化产业集聚与综合服务功能；以9个国家森林乡村为载体，实施生态提升、业态植入、文化赋能，打造“村林共生”的生态康养示范；规范化发展森林人家，在黄水镇、中益乡等乡镇建设一批三星级以上“一户一主题、一院一景观”的康养民宿集群；差异化打造大黄水高端康养知识、七曜山地质科普、方斗山西部湿地生态、城周民俗生态4类自然教育品牌，提档升级6个自然教育宣教中心，搭建“基地+学校+社区”全域覆盖的自然教育网络；依托自然保护地、教育场馆及营地资源，通过引进森林研学营地、自然体验馆、户外实践课堂等项目，配套教学设施、食宿保障与安全管理系统，打造沉浸式教育场景；引入专业课程研发机构与运营团队，开发自然博物、生态艺术、自然疗愈等特色课程，联动中小学、科研院所、社会组织建立跨界合作机制，提供一体化教育服务；开发“自然教育+农文旅”“自然教育+亲子研学”“自然教育+科技智能”等跨界融合项目，打造沉浸式互动产品，联动成渝两地客源市场构建跨区域旅游线路，吸引生态文创、咨询服务类企业入驻，全力构建西部领先的自然教育体系。</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7" w:hRule="atLeast"/>
          <w:tblHeader/>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专栏4.1.1 森林康养业态多元协同工程</w:t>
            </w:r>
          </w:p>
        </w:tc>
      </w:tr>
      <w:tr>
        <w:trPr>
          <w:wBefore/>
          <w:trHeight w:val="90" w:hRule="atLeast"/>
          <w:tblHeader/>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建设任务</w:t>
            </w:r>
          </w:p>
        </w:tc>
      </w:tr>
      <w:tr>
        <w:trPr>
          <w:wBefore/>
          <w:trHeight w:val="324"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1</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推进森林康养小镇提档升级</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仿宋" w:cs="Times New Roman"/>
                <w:color w:val="000000"/>
                <w:spacing w:val="-6"/>
                <w:sz w:val="21"/>
                <w:szCs w:val="21"/>
                <w:lang w:val="en-US" w:eastAsia="zh-CN"/>
              </w:rPr>
              <w:t>优化提升黄水森林康养小镇、鱼池生态露营小镇、西沱沿江文化小镇、冷水特色康养小镇、中益中华蜜蜂小镇，并发展壮大临溪康养美食小镇、悦崃土司古韵小镇、龙潭康养避暑小镇、马武清香白酒小镇、沙子自驾探险小镇、桥头滨河康养小镇、枫木生态康养小镇、河嘴生态禅茶小镇、三益古树茶园小镇、金铃土家民俗风情小镇等15个森林康养小镇。</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2</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推进国家森林乡村</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特色化</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cs="Times New Roman"/>
                <w:color w:val="000000"/>
                <w:sz w:val="21"/>
                <w:szCs w:val="21"/>
                <w:lang w:val="en-US" w:eastAsia="zh-CN"/>
              </w:rPr>
            </w:pPr>
            <w:r>
              <w:rPr>
                <w:rFonts w:ascii="Times New Roman" w:hAnsi="Times New Roman" w:eastAsia="仿宋" w:cs="Times New Roman"/>
                <w:color w:val="000000"/>
                <w:spacing w:val="-6"/>
                <w:sz w:val="21"/>
                <w:szCs w:val="21"/>
                <w:lang w:val="en-US" w:eastAsia="zh-CN"/>
              </w:rPr>
              <w:t>对流水村、风竹村、双塘村、昌坪村、山河村、万寿寨村、中堆村、黄龙村、坪坝村等9个国家森林乡村进行提档升级</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推动生态康养与乡村振兴融合发展。</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3</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打造森林人家康养民宿集群</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仿宋" w:cs="Times New Roman"/>
                <w:color w:val="000000"/>
                <w:spacing w:val="-6"/>
                <w:sz w:val="21"/>
                <w:szCs w:val="21"/>
                <w:lang w:val="en-US" w:eastAsia="zh-CN"/>
              </w:rPr>
              <w:t>在中益乡、黄水镇、鱼池镇、冷水镇、桥头镇、金铃镇</w:t>
            </w:r>
            <w:r>
              <w:rPr>
                <w:rFonts w:hint="eastAsia" w:ascii="Times New Roman" w:hAnsi="Times New Roman" w:eastAsia="仿宋" w:cs="Times New Roman"/>
                <w:color w:val="000000"/>
                <w:spacing w:val="-6"/>
                <w:sz w:val="21"/>
                <w:szCs w:val="21"/>
                <w:lang w:val="en-US" w:eastAsia="zh-CN"/>
              </w:rPr>
              <w:t>等乡镇</w:t>
            </w:r>
            <w:r>
              <w:rPr>
                <w:rFonts w:ascii="Times New Roman" w:hAnsi="Times New Roman" w:eastAsia="仿宋" w:cs="Times New Roman"/>
                <w:color w:val="000000"/>
                <w:spacing w:val="-6"/>
                <w:sz w:val="21"/>
                <w:szCs w:val="21"/>
                <w:lang w:val="en-US" w:eastAsia="zh-CN"/>
              </w:rPr>
              <w:t>著名景区景点、森林康养基地、森林康养小镇、国家森林乡村及乡村旅游重点村建设三星级以上标准化森林人家3</w:t>
            </w:r>
            <w:r>
              <w:rPr>
                <w:rFonts w:hint="eastAsia" w:ascii="Times New Roman" w:hAnsi="Times New Roman" w:eastAsia="仿宋" w:cs="Times New Roman"/>
                <w:color w:val="000000"/>
                <w:spacing w:val="-6"/>
                <w:sz w:val="21"/>
                <w:szCs w:val="21"/>
                <w:lang w:val="en-US" w:eastAsia="zh-CN"/>
              </w:rPr>
              <w:t>50</w:t>
            </w:r>
            <w:r>
              <w:rPr>
                <w:rFonts w:ascii="Times New Roman" w:hAnsi="Times New Roman" w:eastAsia="仿宋" w:cs="Times New Roman"/>
                <w:color w:val="000000"/>
                <w:spacing w:val="-6"/>
                <w:sz w:val="21"/>
                <w:szCs w:val="21"/>
                <w:lang w:val="en-US" w:eastAsia="zh-CN"/>
              </w:rPr>
              <w:t>个（可利用现有农家乐进行改造）。</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4</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打造差异化自然教育品牌</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仿宋" w:cs="Times New Roman"/>
                <w:color w:val="000000"/>
                <w:spacing w:val="-6"/>
                <w:sz w:val="21"/>
                <w:szCs w:val="21"/>
                <w:lang w:val="en-US" w:eastAsia="zh-CN"/>
              </w:rPr>
              <w:t>差异化</w:t>
            </w:r>
            <w:r>
              <w:rPr>
                <w:rFonts w:hint="eastAsia" w:ascii="Times New Roman" w:hAnsi="Times New Roman" w:eastAsia="仿宋" w:cs="Times New Roman"/>
                <w:color w:val="000000"/>
                <w:spacing w:val="-6"/>
                <w:sz w:val="21"/>
                <w:szCs w:val="21"/>
                <w:lang w:val="en-US" w:eastAsia="zh-CN"/>
              </w:rPr>
              <w:t>打造</w:t>
            </w:r>
            <w:r>
              <w:rPr>
                <w:rFonts w:ascii="Times New Roman" w:hAnsi="Times New Roman" w:eastAsia="仿宋" w:cs="Times New Roman"/>
                <w:color w:val="000000"/>
                <w:spacing w:val="-6"/>
                <w:sz w:val="21"/>
                <w:szCs w:val="21"/>
                <w:lang w:val="en-US" w:eastAsia="zh-CN"/>
              </w:rPr>
              <w:t>4类自然教育</w:t>
            </w:r>
            <w:r>
              <w:rPr>
                <w:rFonts w:hint="eastAsia" w:ascii="Times New Roman" w:hAnsi="Times New Roman" w:eastAsia="仿宋" w:cs="Times New Roman"/>
                <w:color w:val="000000"/>
                <w:spacing w:val="-6"/>
                <w:sz w:val="21"/>
                <w:szCs w:val="21"/>
                <w:lang w:val="en-US" w:eastAsia="zh-CN"/>
              </w:rPr>
              <w:t>品牌</w:t>
            </w:r>
            <w:r>
              <w:rPr>
                <w:rFonts w:ascii="Times New Roman" w:hAnsi="Times New Roman" w:eastAsia="仿宋" w:cs="Times New Roman"/>
                <w:color w:val="000000"/>
                <w:spacing w:val="-6"/>
                <w:sz w:val="21"/>
                <w:szCs w:val="21"/>
                <w:lang w:val="en-US" w:eastAsia="zh-CN"/>
              </w:rPr>
              <w:t>。大黄水区域重点开展高端康养知识传播型自然教育，核心功能为国际森林康养标准科普、全季生态体验与康养技能培训；七曜山区域重点开展地质科普型自然教育，核心功能是地质奇观研学、森林探险教育与</w:t>
            </w:r>
            <w:r>
              <w:rPr>
                <w:rFonts w:hint="eastAsia" w:ascii="Times New Roman" w:hAnsi="Times New Roman" w:eastAsia="仿宋" w:cs="Times New Roman"/>
                <w:color w:val="000000"/>
                <w:spacing w:val="-6"/>
                <w:sz w:val="21"/>
                <w:szCs w:val="21"/>
                <w:lang w:val="en-US" w:eastAsia="zh-CN"/>
              </w:rPr>
              <w:t>林下经济</w:t>
            </w:r>
            <w:r>
              <w:rPr>
                <w:rFonts w:ascii="Times New Roman" w:hAnsi="Times New Roman" w:eastAsia="仿宋" w:cs="Times New Roman"/>
                <w:color w:val="000000"/>
                <w:spacing w:val="-6"/>
                <w:sz w:val="21"/>
                <w:szCs w:val="21"/>
                <w:lang w:val="en-US" w:eastAsia="zh-CN"/>
              </w:rPr>
              <w:t>产业认知；方斗山西部区域重点开展湿地类自然教育，核心功能为湿地生态教育、古道文化研学与农旅体验；城周区域主要构建民俗生态型自然教育，核心功能是短途康养体验与土家民俗文化教育。</w:t>
            </w:r>
          </w:p>
        </w:tc>
      </w:tr>
      <w:bookmarkStart w:id="127" w:name="_Toc7418"/>
      <w:bookmarkStart w:id="128" w:name="_Toc18742"/>
      <w:bookmarkStart w:id="129" w:name="_Toc24343"/>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5</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提档升级自然教育宣教中心</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仿宋" w:cs="Times New Roman"/>
                <w:color w:val="000000"/>
                <w:spacing w:val="-6"/>
                <w:sz w:val="21"/>
                <w:szCs w:val="21"/>
                <w:lang w:val="en-US" w:eastAsia="zh-CN"/>
              </w:rPr>
              <w:t>提档升级</w:t>
            </w:r>
            <w:r>
              <w:rPr>
                <w:rFonts w:ascii="Times New Roman" w:hAnsi="Times New Roman" w:eastAsia="仿宋" w:cs="Times New Roman"/>
                <w:color w:val="000000"/>
                <w:spacing w:val="-6"/>
                <w:sz w:val="21"/>
                <w:szCs w:val="21"/>
                <w:lang w:val="en-US" w:eastAsia="zh-CN"/>
              </w:rPr>
              <w:t>水磨溪科普宣教中心、中益乡共享科技馆、莼菜科普基地、黄连产业科普基地、藤子沟国家湿地保护宣教中心、禁毒教育基地</w:t>
            </w:r>
            <w:r>
              <w:rPr>
                <w:rFonts w:hint="eastAsia" w:ascii="Times New Roman" w:hAnsi="Times New Roman" w:eastAsia="仿宋" w:cs="Times New Roman"/>
                <w:color w:val="000000"/>
                <w:spacing w:val="-6"/>
                <w:sz w:val="21"/>
                <w:szCs w:val="21"/>
                <w:lang w:val="en-US" w:eastAsia="zh-CN"/>
              </w:rPr>
              <w:t>等6个自然教育宣教中心，融合自然科普、产业认知、文化传承等多元内容体系，优化展陈设计与互动体验场景，强化专业讲解团队建设，提升宣教中心的科学传播能力、沉浸式体验感与社会服务效能。</w:t>
            </w:r>
          </w:p>
        </w:tc>
      </w:tr>
    </w:tbl>
    <w:bookmarkEnd w:id="127"/>
    <w:bookmarkEnd w:id="128"/>
    <w:bookmarkEnd w:id="129"/>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培育高质量森林康养林</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以国家储备林建设、</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双重</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工程、森林可持续经营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森林质量提升、农村</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四旁</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植树等项目为支撑</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系统推进三大工程，培育高质量森林康养林</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构建点线面融合的</w:t>
      </w:r>
      <w:r>
        <w:rPr>
          <w:rFonts w:hint="eastAsia" w:ascii="Times New Roman" w:hAnsi="Times New Roman" w:eastAsia="仿宋" w:cs="Times New Roman"/>
          <w:color w:val="000000"/>
          <w:spacing w:val="-6"/>
          <w:sz w:val="28"/>
          <w:szCs w:val="28"/>
          <w:lang w:val="en-US" w:eastAsia="zh-CN"/>
        </w:rPr>
        <w:t>森林</w:t>
      </w:r>
      <w:r>
        <w:rPr>
          <w:rFonts w:ascii="Times New Roman" w:hAnsi="Times New Roman" w:eastAsia="仿宋" w:cs="Times New Roman"/>
          <w:color w:val="000000"/>
          <w:spacing w:val="-6"/>
          <w:sz w:val="28"/>
          <w:szCs w:val="28"/>
          <w:lang w:val="en-US" w:eastAsia="zh-CN"/>
        </w:rPr>
        <w:t>康养本底</w:t>
      </w:r>
      <w:r>
        <w:rPr>
          <w:rFonts w:hint="eastAsia"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重点景区康养林质量提升。</w:t>
      </w:r>
      <w:r>
        <w:rPr>
          <w:rFonts w:ascii="Times New Roman" w:hAnsi="Times New Roman" w:eastAsia="仿宋" w:cs="Times New Roman"/>
          <w:color w:val="000000"/>
          <w:spacing w:val="-6"/>
          <w:sz w:val="28"/>
          <w:szCs w:val="28"/>
          <w:lang w:val="en-US" w:eastAsia="zh-CN"/>
        </w:rPr>
        <w:t>对毕兹卡绿宫、千野草场、七曜山广寒宫</w:t>
      </w:r>
      <w:r>
        <w:rPr>
          <w:rFonts w:hint="eastAsia" w:ascii="Times New Roman" w:hAnsi="Times New Roman" w:eastAsia="仿宋" w:cs="Times New Roman"/>
          <w:color w:val="000000"/>
          <w:spacing w:val="-6"/>
          <w:sz w:val="28"/>
          <w:szCs w:val="28"/>
          <w:lang w:val="en-US" w:eastAsia="zh-CN"/>
        </w:rPr>
        <w:t>、藤子沟、太阳湖、黄水湖</w:t>
      </w:r>
      <w:r>
        <w:rPr>
          <w:rFonts w:ascii="Times New Roman" w:hAnsi="Times New Roman" w:eastAsia="仿宋" w:cs="Times New Roman"/>
          <w:color w:val="000000"/>
          <w:spacing w:val="-6"/>
          <w:sz w:val="28"/>
          <w:szCs w:val="28"/>
          <w:lang w:val="en-US" w:eastAsia="zh-CN"/>
        </w:rPr>
        <w:t>等核心景区周边的林分，采取抚育、</w:t>
      </w:r>
      <w:r>
        <w:rPr>
          <w:rFonts w:hint="eastAsia" w:ascii="Times New Roman" w:hAnsi="Times New Roman" w:eastAsia="仿宋" w:cs="Times New Roman"/>
          <w:color w:val="000000"/>
          <w:spacing w:val="-6"/>
          <w:sz w:val="28"/>
          <w:szCs w:val="28"/>
          <w:lang w:val="en-US" w:eastAsia="zh-CN"/>
        </w:rPr>
        <w:t>改造</w:t>
      </w:r>
      <w:r>
        <w:rPr>
          <w:rFonts w:ascii="Times New Roman" w:hAnsi="Times New Roman" w:eastAsia="仿宋" w:cs="Times New Roman"/>
          <w:color w:val="000000"/>
          <w:spacing w:val="-6"/>
          <w:sz w:val="28"/>
          <w:szCs w:val="28"/>
          <w:lang w:val="en-US" w:eastAsia="zh-CN"/>
        </w:rPr>
        <w:t>等措施补植疗养功能树种（如檫木、鹅掌楸），优化林</w:t>
      </w:r>
      <w:r>
        <w:rPr>
          <w:rFonts w:hint="eastAsia" w:ascii="Times New Roman" w:hAnsi="Times New Roman" w:eastAsia="仿宋" w:cs="Times New Roman"/>
          <w:color w:val="000000"/>
          <w:spacing w:val="-6"/>
          <w:sz w:val="28"/>
          <w:szCs w:val="28"/>
          <w:lang w:val="en-US" w:eastAsia="zh-CN"/>
        </w:rPr>
        <w:t>分</w:t>
      </w:r>
      <w:r>
        <w:rPr>
          <w:rFonts w:ascii="Times New Roman" w:hAnsi="Times New Roman" w:eastAsia="仿宋" w:cs="Times New Roman"/>
          <w:color w:val="000000"/>
          <w:spacing w:val="-6"/>
          <w:sz w:val="28"/>
          <w:szCs w:val="28"/>
          <w:lang w:val="en-US" w:eastAsia="zh-CN"/>
        </w:rPr>
        <w:t>结构，增加大径级乡土珍贵树种、芳香保健类</w:t>
      </w:r>
      <w:r>
        <w:rPr>
          <w:rFonts w:hint="eastAsia" w:ascii="Times New Roman" w:hAnsi="Times New Roman" w:eastAsia="仿宋" w:cs="Times New Roman"/>
          <w:color w:val="000000"/>
          <w:spacing w:val="-6"/>
          <w:sz w:val="28"/>
          <w:szCs w:val="28"/>
          <w:lang w:val="en-US" w:eastAsia="zh-CN"/>
        </w:rPr>
        <w:t>、彩叶景观类及中药类</w:t>
      </w:r>
      <w:r>
        <w:rPr>
          <w:rFonts w:ascii="Times New Roman" w:hAnsi="Times New Roman" w:eastAsia="仿宋" w:cs="Times New Roman"/>
          <w:color w:val="000000"/>
          <w:spacing w:val="-6"/>
          <w:sz w:val="28"/>
          <w:szCs w:val="28"/>
          <w:lang w:val="en-US" w:eastAsia="zh-CN"/>
        </w:rPr>
        <w:t>树种</w:t>
      </w:r>
      <w:r>
        <w:rPr>
          <w:rFonts w:hint="eastAsia" w:ascii="Times New Roman" w:hAnsi="Times New Roman" w:eastAsia="仿宋" w:cs="Times New Roman"/>
          <w:color w:val="000000"/>
          <w:spacing w:val="-6"/>
          <w:sz w:val="28"/>
          <w:szCs w:val="28"/>
          <w:lang w:val="en-US" w:eastAsia="zh-CN"/>
        </w:rPr>
        <w:t>在林分中的占比</w:t>
      </w:r>
      <w:r>
        <w:rPr>
          <w:rFonts w:ascii="Times New Roman" w:hAnsi="Times New Roman" w:eastAsia="仿宋" w:cs="Times New Roman"/>
          <w:color w:val="000000"/>
          <w:spacing w:val="-6"/>
          <w:sz w:val="28"/>
          <w:szCs w:val="28"/>
          <w:lang w:val="en-US" w:eastAsia="zh-CN"/>
        </w:rPr>
        <w:t>，同步完善步道与生态标识系统</w:t>
      </w:r>
      <w:r>
        <w:rPr>
          <w:rFonts w:hint="eastAsia" w:ascii="Times New Roman" w:hAnsi="Times New Roman" w:eastAsia="仿宋" w:cs="Times New Roman"/>
          <w:color w:val="000000"/>
          <w:spacing w:val="-6"/>
          <w:sz w:val="28"/>
          <w:szCs w:val="28"/>
          <w:lang w:val="en-US" w:eastAsia="zh-CN"/>
        </w:rPr>
        <w:t>，全面提升森林康养服务效能</w:t>
      </w:r>
      <w:r>
        <w:rPr>
          <w:rFonts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重要廊道绿化美化。</w:t>
      </w:r>
      <w:r>
        <w:rPr>
          <w:rFonts w:ascii="Times New Roman" w:hAnsi="Times New Roman" w:eastAsia="仿宋" w:cs="Times New Roman"/>
          <w:color w:val="000000"/>
          <w:spacing w:val="-6"/>
          <w:sz w:val="28"/>
          <w:szCs w:val="28"/>
          <w:lang w:val="en-US" w:eastAsia="zh-CN"/>
        </w:rPr>
        <w:t>在长江、龙河—官渡河、马武河—毛滩河等重要水系，以及</w:t>
      </w:r>
      <w:r>
        <w:rPr>
          <w:rFonts w:hint="eastAsia" w:ascii="Times New Roman" w:hAnsi="Times New Roman" w:eastAsia="仿宋" w:cs="Times New Roman"/>
          <w:color w:val="000000"/>
          <w:spacing w:val="-6"/>
          <w:sz w:val="28"/>
          <w:szCs w:val="28"/>
          <w:lang w:val="en-US" w:eastAsia="zh-CN"/>
        </w:rPr>
        <w:t>六塘－</w:t>
      </w:r>
      <w:r>
        <w:rPr>
          <w:rFonts w:ascii="Times New Roman" w:hAnsi="Times New Roman" w:eastAsia="仿宋" w:cs="Times New Roman"/>
          <w:color w:val="000000"/>
          <w:spacing w:val="-6"/>
          <w:sz w:val="28"/>
          <w:szCs w:val="28"/>
          <w:lang w:val="en-US" w:eastAsia="zh-CN"/>
        </w:rPr>
        <w:t>冷水、</w:t>
      </w:r>
      <w:r>
        <w:rPr>
          <w:rFonts w:hint="eastAsia" w:ascii="Times New Roman" w:hAnsi="Times New Roman" w:eastAsia="仿宋" w:cs="Times New Roman"/>
          <w:color w:val="000000"/>
          <w:spacing w:val="-6"/>
          <w:sz w:val="28"/>
          <w:szCs w:val="28"/>
          <w:lang w:val="en-US" w:eastAsia="zh-CN"/>
        </w:rPr>
        <w:t>冷水－</w:t>
      </w:r>
      <w:r>
        <w:rPr>
          <w:rFonts w:ascii="Times New Roman" w:hAnsi="Times New Roman" w:eastAsia="仿宋" w:cs="Times New Roman"/>
          <w:color w:val="000000"/>
          <w:spacing w:val="-6"/>
          <w:sz w:val="28"/>
          <w:szCs w:val="28"/>
          <w:lang w:val="en-US" w:eastAsia="zh-CN"/>
        </w:rPr>
        <w:t>黄水等</w:t>
      </w:r>
      <w:r>
        <w:rPr>
          <w:rFonts w:hint="eastAsia" w:ascii="Times New Roman" w:hAnsi="Times New Roman" w:eastAsia="仿宋" w:cs="Times New Roman"/>
          <w:color w:val="000000"/>
          <w:spacing w:val="-6"/>
          <w:sz w:val="28"/>
          <w:szCs w:val="28"/>
          <w:lang w:val="en-US" w:eastAsia="zh-CN"/>
        </w:rPr>
        <w:t>重要旅游</w:t>
      </w:r>
      <w:r>
        <w:rPr>
          <w:rFonts w:ascii="Times New Roman" w:hAnsi="Times New Roman" w:eastAsia="仿宋" w:cs="Times New Roman"/>
          <w:color w:val="000000"/>
          <w:spacing w:val="-6"/>
          <w:sz w:val="28"/>
          <w:szCs w:val="28"/>
          <w:lang w:val="en-US" w:eastAsia="zh-CN"/>
        </w:rPr>
        <w:t>交通干线沿线，选用水杉、</w:t>
      </w:r>
      <w:r>
        <w:rPr>
          <w:rFonts w:hint="eastAsia" w:ascii="Times New Roman" w:hAnsi="Times New Roman" w:eastAsia="仿宋" w:cs="Times New Roman"/>
          <w:color w:val="000000"/>
          <w:spacing w:val="-6"/>
          <w:sz w:val="28"/>
          <w:szCs w:val="28"/>
          <w:lang w:val="en-US" w:eastAsia="zh-CN"/>
        </w:rPr>
        <w:t>枫香、</w:t>
      </w:r>
      <w:r>
        <w:rPr>
          <w:rFonts w:ascii="Times New Roman" w:hAnsi="Times New Roman" w:eastAsia="仿宋" w:cs="Times New Roman"/>
          <w:color w:val="000000"/>
          <w:spacing w:val="-6"/>
          <w:sz w:val="28"/>
          <w:szCs w:val="28"/>
          <w:lang w:val="en-US" w:eastAsia="zh-CN"/>
        </w:rPr>
        <w:t>银杏等乡土树种打造</w:t>
      </w:r>
      <w:r>
        <w:rPr>
          <w:rFonts w:hint="eastAsia" w:ascii="Times New Roman" w:hAnsi="Times New Roman" w:eastAsia="仿宋" w:cs="Times New Roman"/>
          <w:color w:val="000000"/>
          <w:spacing w:val="-6"/>
          <w:sz w:val="28"/>
          <w:szCs w:val="28"/>
          <w:lang w:val="en-US" w:eastAsia="zh-CN"/>
        </w:rPr>
        <w:t>特色</w:t>
      </w:r>
      <w:r>
        <w:rPr>
          <w:rFonts w:ascii="Times New Roman" w:hAnsi="Times New Roman" w:eastAsia="仿宋" w:cs="Times New Roman"/>
          <w:color w:val="000000"/>
          <w:spacing w:val="-6"/>
          <w:sz w:val="28"/>
          <w:szCs w:val="28"/>
          <w:lang w:val="en-US" w:eastAsia="zh-CN"/>
        </w:rPr>
        <w:t>绿带，并配建具有土家族风格的康养休憩节点与芳香植物体验驿站。</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重点乡村人居环境美化</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在森林康养小镇、国家森林乡村</w:t>
      </w:r>
      <w:r>
        <w:rPr>
          <w:rFonts w:hint="eastAsia" w:ascii="Times New Roman" w:hAnsi="Times New Roman" w:eastAsia="仿宋" w:cs="Times New Roman"/>
          <w:color w:val="000000"/>
          <w:spacing w:val="-6"/>
          <w:sz w:val="28"/>
          <w:szCs w:val="28"/>
          <w:lang w:val="en-US" w:eastAsia="zh-CN"/>
        </w:rPr>
        <w:t>、国家旅游乡村及森林康养人家</w:t>
      </w:r>
      <w:r>
        <w:rPr>
          <w:rFonts w:ascii="Times New Roman" w:hAnsi="Times New Roman" w:eastAsia="仿宋" w:cs="Times New Roman"/>
          <w:color w:val="000000"/>
          <w:spacing w:val="-6"/>
          <w:sz w:val="28"/>
          <w:szCs w:val="28"/>
          <w:lang w:val="en-US" w:eastAsia="zh-CN"/>
        </w:rPr>
        <w:t>等</w:t>
      </w:r>
      <w:r>
        <w:rPr>
          <w:rFonts w:hint="eastAsia" w:ascii="Times New Roman" w:hAnsi="Times New Roman" w:eastAsia="仿宋" w:cs="Times New Roman"/>
          <w:color w:val="000000"/>
          <w:spacing w:val="-6"/>
          <w:sz w:val="28"/>
          <w:szCs w:val="28"/>
          <w:lang w:val="en-US" w:eastAsia="zh-CN"/>
        </w:rPr>
        <w:t>隙地空间</w:t>
      </w:r>
      <w:r>
        <w:rPr>
          <w:rFonts w:ascii="Times New Roman" w:hAnsi="Times New Roman" w:eastAsia="仿宋" w:cs="Times New Roman"/>
          <w:color w:val="000000"/>
          <w:spacing w:val="-6"/>
          <w:sz w:val="28"/>
          <w:szCs w:val="28"/>
          <w:lang w:val="en-US" w:eastAsia="zh-CN"/>
        </w:rPr>
        <w:t>，推</w:t>
      </w:r>
      <w:r>
        <w:rPr>
          <w:rFonts w:hint="eastAsia" w:ascii="方正仿宋_GBK" w:hAnsi="方正仿宋_GBK" w:eastAsia="方正仿宋_GBK" w:cs="方正仿宋_GBK"/>
          <w:color w:val="000000"/>
          <w:spacing w:val="-6"/>
          <w:sz w:val="28"/>
          <w:szCs w:val="28"/>
          <w:lang w:val="en-US" w:eastAsia="zh-CN"/>
        </w:rPr>
        <w:t>广“芳香+彩叶”庭院</w:t>
      </w:r>
      <w:r>
        <w:rPr>
          <w:rFonts w:ascii="Times New Roman" w:hAnsi="Times New Roman" w:eastAsia="仿宋" w:cs="Times New Roman"/>
          <w:color w:val="000000"/>
          <w:spacing w:val="-6"/>
          <w:sz w:val="28"/>
          <w:szCs w:val="28"/>
          <w:lang w:val="en-US" w:eastAsia="zh-CN"/>
        </w:rPr>
        <w:t>模式，</w:t>
      </w:r>
      <w:r>
        <w:rPr>
          <w:rFonts w:hint="eastAsia" w:ascii="Times New Roman" w:hAnsi="Times New Roman" w:eastAsia="仿宋" w:cs="Times New Roman"/>
          <w:color w:val="000000"/>
          <w:spacing w:val="-6"/>
          <w:sz w:val="28"/>
          <w:szCs w:val="28"/>
          <w:lang w:val="en-US" w:eastAsia="zh-CN"/>
        </w:rPr>
        <w:t>保留</w:t>
      </w:r>
      <w:r>
        <w:rPr>
          <w:rFonts w:ascii="Times New Roman" w:hAnsi="Times New Roman" w:eastAsia="仿宋" w:cs="Times New Roman"/>
          <w:color w:val="000000"/>
          <w:spacing w:val="-6"/>
          <w:sz w:val="28"/>
          <w:szCs w:val="28"/>
          <w:lang w:val="en-US" w:eastAsia="zh-CN"/>
        </w:rPr>
        <w:t>土家吊脚楼</w:t>
      </w:r>
      <w:r>
        <w:rPr>
          <w:rFonts w:hint="eastAsia" w:ascii="Times New Roman" w:hAnsi="Times New Roman" w:eastAsia="仿宋" w:cs="Times New Roman"/>
          <w:color w:val="000000"/>
          <w:spacing w:val="-6"/>
          <w:sz w:val="28"/>
          <w:szCs w:val="28"/>
          <w:lang w:val="en-US" w:eastAsia="zh-CN"/>
        </w:rPr>
        <w:t>原生</w:t>
      </w:r>
      <w:r>
        <w:rPr>
          <w:rFonts w:ascii="Times New Roman" w:hAnsi="Times New Roman" w:eastAsia="仿宋" w:cs="Times New Roman"/>
          <w:color w:val="000000"/>
          <w:spacing w:val="-6"/>
          <w:sz w:val="28"/>
          <w:szCs w:val="28"/>
          <w:lang w:val="en-US" w:eastAsia="zh-CN"/>
        </w:rPr>
        <w:t>风貌，配套建设康养小广场，提升</w:t>
      </w:r>
      <w:r>
        <w:rPr>
          <w:rFonts w:hint="eastAsia" w:ascii="Times New Roman" w:hAnsi="Times New Roman" w:eastAsia="仿宋" w:cs="Times New Roman"/>
          <w:color w:val="000000"/>
          <w:spacing w:val="-6"/>
          <w:sz w:val="28"/>
          <w:szCs w:val="28"/>
          <w:lang w:val="en-US" w:eastAsia="zh-CN"/>
        </w:rPr>
        <w:t>乡村绿化美化水平</w:t>
      </w:r>
      <w:r>
        <w:rPr>
          <w:rFonts w:ascii="Times New Roman" w:hAnsi="Times New Roman" w:eastAsia="仿宋" w:cs="Times New Roman"/>
          <w:color w:val="000000"/>
          <w:spacing w:val="-6"/>
          <w:sz w:val="28"/>
          <w:szCs w:val="28"/>
          <w:lang w:val="en-US" w:eastAsia="zh-CN"/>
        </w:rPr>
        <w:t>。</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7761"/>
      </w:tblGrid>
      <w:tr>
        <w:trPr>
          <w:wBefore/>
          <w:trHeight w:val="90" w:hRule="atLeast"/>
          <w:tblCellSpacing w:w="28" w:type="dxa"/>
        </w:trPr>
        <w:tc>
          <w:tcPr>
            <w:tcW w:w="8659"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.1.3 森林康养林培育</w:t>
            </w:r>
            <w:r>
              <w:rPr>
                <w:rFonts w:hint="eastAsia" w:ascii="黑体" w:hAnsi="黑体" w:eastAsia="黑体" w:cs="黑体"/>
                <w:color w:val="000000"/>
                <w:spacing w:val="-6"/>
                <w:sz w:val="21"/>
                <w:szCs w:val="21"/>
                <w:lang w:val="en-US" w:eastAsia="zh-CN"/>
              </w:rPr>
              <w:t>工程</w:t>
            </w:r>
          </w:p>
        </w:tc>
      </w:tr>
      <w:tr>
        <w:trPr>
          <w:wBefore/>
          <w:trHeight w:val="327" w:hRule="atLeast"/>
          <w:tblCellSpacing w:w="28" w:type="dxa"/>
        </w:trPr>
        <w:tc>
          <w:tcPr>
            <w:tcW w:w="89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序号</w:t>
            </w:r>
          </w:p>
        </w:tc>
        <w:tc>
          <w:tcPr>
            <w:tcW w:w="776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建设任务</w:t>
            </w:r>
          </w:p>
        </w:tc>
      </w:tr>
      <w:tr>
        <w:trPr>
          <w:wBefore/>
          <w:trHeight w:val="849" w:hRule="atLeast"/>
          <w:tblCellSpacing w:w="28" w:type="dxa"/>
        </w:trPr>
        <w:tc>
          <w:tcPr>
            <w:tcW w:w="89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1</w:t>
            </w:r>
          </w:p>
        </w:tc>
        <w:tc>
          <w:tcPr>
            <w:tcW w:w="7761"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重点景区</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康养林质量提升</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仿宋" w:cs="Times New Roman"/>
                <w:color w:val="000000"/>
                <w:spacing w:val="-6"/>
                <w:sz w:val="21"/>
                <w:szCs w:val="21"/>
                <w:lang w:val="en-US" w:eastAsia="zh-CN"/>
              </w:rPr>
              <w:t>对重庆石柱毕兹卡乐园景区（毕兹卡绿宫、秘境黄水乐园）、</w:t>
            </w:r>
            <w:r>
              <w:rPr>
                <w:rFonts w:hint="eastAsia" w:ascii="Times New Roman" w:hAnsi="Times New Roman" w:eastAsia="仿宋" w:cs="Times New Roman"/>
                <w:color w:val="000000"/>
                <w:spacing w:val="-6"/>
                <w:sz w:val="21"/>
                <w:szCs w:val="21"/>
                <w:lang w:val="en-US" w:eastAsia="zh-CN"/>
              </w:rPr>
              <w:t>重庆石柱太阳湖景区、</w:t>
            </w:r>
            <w:r>
              <w:rPr>
                <w:rFonts w:ascii="Times New Roman" w:hAnsi="Times New Roman" w:eastAsia="仿宋" w:cs="Times New Roman"/>
                <w:color w:val="000000"/>
                <w:spacing w:val="-6"/>
                <w:sz w:val="21"/>
                <w:szCs w:val="21"/>
                <w:lang w:val="en-US" w:eastAsia="zh-CN"/>
              </w:rPr>
              <w:t>重庆石柱千野草场景区、重庆石柱七曜山广寒宫景区、重庆万寿山景区、重庆石柱藤子沟景区、</w:t>
            </w:r>
            <w:r>
              <w:rPr>
                <w:rFonts w:hint="eastAsia" w:ascii="Times New Roman" w:hAnsi="Times New Roman" w:eastAsia="仿宋" w:cs="Times New Roman"/>
                <w:color w:val="000000"/>
                <w:spacing w:val="-6"/>
                <w:sz w:val="21"/>
                <w:szCs w:val="21"/>
                <w:lang w:val="en-US" w:eastAsia="zh-CN"/>
              </w:rPr>
              <w:t>黄水</w:t>
            </w:r>
            <w:r>
              <w:rPr>
                <w:rFonts w:ascii="Times New Roman" w:hAnsi="Times New Roman" w:eastAsia="仿宋" w:cs="Times New Roman"/>
                <w:color w:val="000000"/>
                <w:spacing w:val="-6"/>
                <w:sz w:val="21"/>
                <w:szCs w:val="21"/>
                <w:lang w:val="en-US" w:eastAsia="zh-CN"/>
              </w:rPr>
              <w:t>湖等</w:t>
            </w:r>
            <w:r>
              <w:rPr>
                <w:rFonts w:hint="eastAsia" w:ascii="Times New Roman" w:hAnsi="Times New Roman" w:eastAsia="仿宋" w:cs="Times New Roman"/>
                <w:color w:val="000000"/>
                <w:spacing w:val="-6"/>
                <w:sz w:val="21"/>
                <w:szCs w:val="21"/>
                <w:lang w:val="en-US" w:eastAsia="zh-CN"/>
              </w:rPr>
              <w:t>景区</w:t>
            </w:r>
            <w:r>
              <w:rPr>
                <w:rFonts w:ascii="Times New Roman" w:hAnsi="Times New Roman" w:eastAsia="仿宋" w:cs="Times New Roman"/>
                <w:color w:val="000000"/>
                <w:spacing w:val="-6"/>
                <w:sz w:val="21"/>
                <w:szCs w:val="21"/>
                <w:lang w:val="en-US" w:eastAsia="zh-CN"/>
              </w:rPr>
              <w:t>核心</w:t>
            </w:r>
            <w:r>
              <w:rPr>
                <w:rFonts w:hint="eastAsia" w:ascii="Times New Roman" w:hAnsi="Times New Roman" w:eastAsia="仿宋" w:cs="Times New Roman"/>
                <w:color w:val="000000"/>
                <w:spacing w:val="-6"/>
                <w:sz w:val="21"/>
                <w:szCs w:val="21"/>
                <w:lang w:val="en-US" w:eastAsia="zh-CN"/>
              </w:rPr>
              <w:t>景区</w:t>
            </w:r>
            <w:r>
              <w:rPr>
                <w:rFonts w:ascii="Times New Roman" w:hAnsi="Times New Roman" w:eastAsia="仿宋" w:cs="Times New Roman"/>
                <w:color w:val="000000"/>
                <w:spacing w:val="-6"/>
                <w:sz w:val="21"/>
                <w:szCs w:val="21"/>
                <w:lang w:val="en-US" w:eastAsia="zh-CN"/>
              </w:rPr>
              <w:t>周边高郁闭度针叶林分通过疏伐抚育，选择性移除过密、病弱、枯立木，保留优势乡土树种，将郁闭度降至0.6-0.7，改善林分通风透光条件，同步增设架空木质步道、生态标识系统，提升可进入性与体验安全性；中低郁闭度针叶林分补植檫木、鹅掌楸等疗养功能树种，丰富林分层次与生物多样性</w:t>
            </w:r>
            <w:r>
              <w:rPr>
                <w:rFonts w:hint="eastAsia" w:ascii="Times New Roman" w:hAnsi="Times New Roman" w:eastAsia="仿宋" w:cs="Times New Roman"/>
                <w:color w:val="000000"/>
                <w:spacing w:val="-6"/>
                <w:sz w:val="21"/>
                <w:szCs w:val="21"/>
                <w:lang w:val="en-US" w:eastAsia="zh-CN"/>
              </w:rPr>
              <w:t>，建设总面积10万亩</w:t>
            </w:r>
            <w:r>
              <w:rPr>
                <w:rFonts w:ascii="Times New Roman" w:hAnsi="Times New Roman" w:eastAsia="仿宋" w:cs="Times New Roman"/>
                <w:color w:val="000000"/>
                <w:spacing w:val="-6"/>
                <w:sz w:val="21"/>
                <w:szCs w:val="21"/>
                <w:lang w:val="en-US" w:eastAsia="zh-CN"/>
              </w:rPr>
              <w:t>。</w:t>
            </w:r>
          </w:p>
        </w:tc>
      </w:tr>
      <w:tr>
        <w:trPr>
          <w:wBefore/>
          <w:trHeight/>
          <w:tblCellSpacing w:w="28" w:type="dxa"/>
        </w:trPr>
        <w:tc>
          <w:tcPr>
            <w:tcW w:w="89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2</w:t>
            </w:r>
          </w:p>
        </w:tc>
        <w:tc>
          <w:tcPr>
            <w:tcW w:w="7761"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重要廊道</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绿化美化</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cs="Times New Roman"/>
                <w:color w:val="000000"/>
                <w:sz w:val="21"/>
                <w:szCs w:val="21"/>
                <w:lang w:val="en-US" w:eastAsia="zh-CN"/>
              </w:rPr>
            </w:pPr>
            <w:r>
              <w:rPr>
                <w:rFonts w:ascii="Times New Roman" w:hAnsi="Times New Roman" w:eastAsia="仿宋" w:cs="Times New Roman"/>
                <w:color w:val="000000"/>
                <w:spacing w:val="-6"/>
                <w:sz w:val="21"/>
                <w:szCs w:val="21"/>
                <w:lang w:val="en-US" w:eastAsia="zh-CN"/>
              </w:rPr>
              <w:t>在长江、龙河—官渡河、马武河—毛滩河等重要水系</w:t>
            </w:r>
            <w:r>
              <w:rPr>
                <w:rFonts w:hint="eastAsia" w:ascii="Times New Roman" w:hAnsi="Times New Roman" w:eastAsia="仿宋" w:cs="Times New Roman"/>
                <w:color w:val="000000"/>
                <w:spacing w:val="-6"/>
                <w:sz w:val="21"/>
                <w:szCs w:val="21"/>
                <w:lang w:val="en-US" w:eastAsia="zh-CN"/>
              </w:rPr>
              <w:t>及太阳湖、黄水湖、藤子沟、卢家坝天池等湿地周边</w:t>
            </w:r>
            <w:r>
              <w:rPr>
                <w:rFonts w:ascii="Times New Roman" w:hAnsi="Times New Roman" w:eastAsia="仿宋" w:cs="Times New Roman"/>
                <w:color w:val="000000"/>
                <w:spacing w:val="-6"/>
                <w:sz w:val="21"/>
                <w:szCs w:val="21"/>
                <w:lang w:val="en-US" w:eastAsia="zh-CN"/>
              </w:rPr>
              <w:t>实施通道绿化总面积</w:t>
            </w:r>
            <w:r>
              <w:rPr>
                <w:rFonts w:hint="eastAsia" w:ascii="Times New Roman" w:hAnsi="Times New Roman" w:eastAsia="仿宋" w:cs="Times New Roman"/>
                <w:color w:val="000000"/>
                <w:spacing w:val="-6"/>
                <w:sz w:val="21"/>
                <w:szCs w:val="21"/>
                <w:lang w:val="en-US" w:eastAsia="zh-CN"/>
              </w:rPr>
              <w:t>1</w:t>
            </w:r>
            <w:r>
              <w:rPr>
                <w:rFonts w:ascii="Times New Roman" w:hAnsi="Times New Roman" w:eastAsia="仿宋" w:cs="Times New Roman"/>
                <w:color w:val="000000"/>
                <w:spacing w:val="-6"/>
                <w:sz w:val="21"/>
                <w:szCs w:val="21"/>
                <w:lang w:val="en-US" w:eastAsia="zh-CN"/>
              </w:rPr>
              <w:t>万亩，</w:t>
            </w:r>
            <w:r>
              <w:rPr>
                <w:rFonts w:hint="eastAsia" w:ascii="Times New Roman" w:hAnsi="Times New Roman" w:eastAsia="仿宋" w:cs="Times New Roman"/>
                <w:color w:val="000000"/>
                <w:spacing w:val="-6"/>
                <w:sz w:val="21"/>
                <w:szCs w:val="21"/>
                <w:lang w:val="en-US" w:eastAsia="zh-CN"/>
              </w:rPr>
              <w:t>树种优选水杉、池杉、中山杉等；</w:t>
            </w:r>
            <w:r>
              <w:rPr>
                <w:rFonts w:ascii="Times New Roman" w:hAnsi="Times New Roman" w:eastAsia="仿宋" w:cs="Times New Roman"/>
                <w:color w:val="000000"/>
                <w:spacing w:val="-6"/>
                <w:sz w:val="21"/>
                <w:szCs w:val="21"/>
                <w:lang w:val="en-US" w:eastAsia="zh-CN"/>
              </w:rPr>
              <w:t>在六塘</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沙子</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冷水、沙子-中益-桥头-悦</w:t>
            </w:r>
            <w:r>
              <w:rPr>
                <w:rFonts w:hint="eastAsia" w:ascii="Times New Roman" w:hAnsi="Times New Roman" w:eastAsia="仿宋" w:cs="Times New Roman"/>
                <w:color w:val="000000"/>
                <w:spacing w:val="-6"/>
                <w:sz w:val="21"/>
                <w:szCs w:val="21"/>
                <w:lang w:val="en-US" w:eastAsia="zh-CN"/>
              </w:rPr>
              <w:t>崃</w:t>
            </w:r>
            <w:r>
              <w:rPr>
                <w:rFonts w:ascii="Times New Roman" w:hAnsi="Times New Roman" w:eastAsia="仿宋" w:cs="Times New Roman"/>
                <w:color w:val="000000"/>
                <w:spacing w:val="-6"/>
                <w:sz w:val="21"/>
                <w:szCs w:val="21"/>
                <w:lang w:val="en-US" w:eastAsia="zh-CN"/>
              </w:rPr>
              <w:t>-鱼池-千野草场、冷水风谷森林康养基地</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太阳湖森林康养基地</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黄水</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大风堡森林康养基地、黄水</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枫木镇风竹村国家森林乡村、黄水</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黄龙村国家森林乡村</w:t>
            </w:r>
            <w:r>
              <w:rPr>
                <w:rFonts w:hint="eastAsia" w:ascii="Times New Roman" w:hAnsi="Times New Roman" w:eastAsia="仿宋" w:cs="Times New Roman"/>
                <w:color w:val="000000"/>
                <w:spacing w:val="-6"/>
                <w:sz w:val="21"/>
                <w:szCs w:val="21"/>
                <w:lang w:val="en-US" w:eastAsia="zh-CN"/>
              </w:rPr>
              <w:t>－</w:t>
            </w:r>
            <w:r>
              <w:rPr>
                <w:rFonts w:ascii="Times New Roman" w:hAnsi="Times New Roman" w:eastAsia="仿宋" w:cs="Times New Roman"/>
                <w:color w:val="000000"/>
                <w:spacing w:val="-6"/>
                <w:sz w:val="21"/>
                <w:szCs w:val="21"/>
                <w:lang w:val="en-US" w:eastAsia="zh-CN"/>
              </w:rPr>
              <w:t>鱼池</w:t>
            </w:r>
            <w:r>
              <w:rPr>
                <w:rFonts w:hint="eastAsia" w:ascii="Times New Roman" w:hAnsi="Times New Roman" w:eastAsia="仿宋" w:cs="Times New Roman"/>
                <w:color w:val="000000"/>
                <w:spacing w:val="-6"/>
                <w:sz w:val="21"/>
                <w:szCs w:val="21"/>
                <w:lang w:val="en-US" w:eastAsia="zh-CN"/>
              </w:rPr>
              <w:t>等旅游交通干线实施通道绿化1万亩，树种优选枫香、水杉等；在下路街道、三河镇及金铃镇</w:t>
            </w:r>
            <w:r>
              <w:rPr>
                <w:rFonts w:ascii="Times New Roman" w:hAnsi="Times New Roman" w:eastAsia="仿宋" w:cs="Times New Roman"/>
                <w:color w:val="000000"/>
                <w:spacing w:val="-6"/>
                <w:sz w:val="21"/>
                <w:szCs w:val="21"/>
                <w:lang w:val="en-US" w:eastAsia="zh-CN"/>
              </w:rPr>
              <w:t>等</w:t>
            </w:r>
            <w:r>
              <w:rPr>
                <w:rFonts w:hint="eastAsia" w:ascii="Times New Roman" w:hAnsi="Times New Roman" w:eastAsia="仿宋" w:cs="Times New Roman"/>
                <w:color w:val="000000"/>
                <w:spacing w:val="-6"/>
                <w:sz w:val="21"/>
                <w:szCs w:val="21"/>
                <w:lang w:val="en-US" w:eastAsia="zh-CN"/>
              </w:rPr>
              <w:t>旅游</w:t>
            </w:r>
            <w:r>
              <w:rPr>
                <w:rFonts w:ascii="Times New Roman" w:hAnsi="Times New Roman" w:eastAsia="仿宋" w:cs="Times New Roman"/>
                <w:color w:val="000000"/>
                <w:spacing w:val="-6"/>
                <w:sz w:val="21"/>
                <w:szCs w:val="21"/>
                <w:lang w:val="en-US" w:eastAsia="zh-CN"/>
              </w:rPr>
              <w:t>交通干线实施通道绿化</w:t>
            </w:r>
            <w:r>
              <w:rPr>
                <w:rFonts w:hint="eastAsia" w:ascii="Times New Roman" w:hAnsi="Times New Roman" w:eastAsia="仿宋" w:cs="Times New Roman"/>
                <w:color w:val="000000"/>
                <w:spacing w:val="-6"/>
                <w:sz w:val="21"/>
                <w:szCs w:val="21"/>
                <w:lang w:val="en-US" w:eastAsia="zh-CN"/>
              </w:rPr>
              <w:t>1</w:t>
            </w:r>
            <w:r>
              <w:rPr>
                <w:rFonts w:ascii="Times New Roman" w:hAnsi="Times New Roman" w:eastAsia="仿宋" w:cs="Times New Roman"/>
                <w:color w:val="000000"/>
                <w:spacing w:val="-6"/>
                <w:sz w:val="21"/>
                <w:szCs w:val="21"/>
                <w:lang w:val="en-US" w:eastAsia="zh-CN"/>
              </w:rPr>
              <w:t>万亩</w:t>
            </w:r>
            <w:r>
              <w:rPr>
                <w:rFonts w:hint="eastAsia" w:ascii="Times New Roman" w:hAnsi="Times New Roman" w:eastAsia="仿宋" w:cs="Times New Roman"/>
                <w:color w:val="000000"/>
                <w:spacing w:val="-6"/>
                <w:sz w:val="21"/>
                <w:szCs w:val="21"/>
                <w:lang w:val="en-US" w:eastAsia="zh-CN"/>
              </w:rPr>
              <w:t>，树种优选银杏。</w:t>
            </w:r>
          </w:p>
        </w:tc>
      </w:tr>
      <w:tr>
        <w:trPr>
          <w:wBefore/>
          <w:trHeight/>
          <w:tblCellSpacing w:w="28" w:type="dxa"/>
        </w:trPr>
        <w:tc>
          <w:tcPr>
            <w:tcW w:w="89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3</w:t>
            </w:r>
          </w:p>
        </w:tc>
        <w:tc>
          <w:tcPr>
            <w:tcW w:w="7761"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重点</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乡村绿化美化</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仿宋" w:cs="Times New Roman"/>
                <w:color w:val="000000"/>
                <w:spacing w:val="-6"/>
                <w:sz w:val="21"/>
                <w:szCs w:val="21"/>
                <w:lang w:val="en-US" w:eastAsia="zh-CN"/>
              </w:rPr>
              <w:t>在森林康养小镇、国家森林乡村、国家旅游乡村及森林康养人家</w:t>
            </w:r>
            <w:r>
              <w:rPr>
                <w:rFonts w:hint="eastAsia" w:ascii="Times New Roman" w:hAnsi="Times New Roman" w:eastAsia="仿宋" w:cs="Times New Roman"/>
                <w:color w:val="000000"/>
                <w:spacing w:val="-6"/>
                <w:sz w:val="21"/>
                <w:szCs w:val="21"/>
                <w:lang w:val="en-US" w:eastAsia="zh-CN"/>
              </w:rPr>
              <w:t>，优选水杉、银杏等树种，</w:t>
            </w:r>
            <w:r>
              <w:rPr>
                <w:rFonts w:ascii="Times New Roman" w:hAnsi="Times New Roman" w:eastAsia="仿宋" w:cs="Times New Roman"/>
                <w:color w:val="000000"/>
                <w:spacing w:val="-6"/>
                <w:sz w:val="21"/>
                <w:szCs w:val="21"/>
                <w:lang w:val="en-US" w:eastAsia="zh-CN"/>
              </w:rPr>
              <w:t>实施</w:t>
            </w:r>
            <w:r>
              <w:rPr>
                <w:rFonts w:hint="eastAsia" w:ascii="Times New Roman" w:hAnsi="Times New Roman" w:eastAsia="仿宋" w:cs="Times New Roman"/>
                <w:color w:val="000000"/>
                <w:spacing w:val="-6"/>
                <w:sz w:val="21"/>
                <w:szCs w:val="21"/>
                <w:lang w:val="en-US" w:eastAsia="zh-CN"/>
              </w:rPr>
              <w:t>四旁绿化</w:t>
            </w:r>
            <w:r>
              <w:rPr>
                <w:rFonts w:ascii="Times New Roman" w:hAnsi="Times New Roman" w:eastAsia="仿宋" w:cs="Times New Roman"/>
                <w:color w:val="000000"/>
                <w:spacing w:val="-6"/>
                <w:sz w:val="21"/>
                <w:szCs w:val="21"/>
                <w:lang w:val="en-US" w:eastAsia="zh-CN"/>
              </w:rPr>
              <w:t>总面积</w:t>
            </w:r>
            <w:r>
              <w:rPr>
                <w:rFonts w:hint="eastAsia" w:ascii="Times New Roman" w:hAnsi="Times New Roman" w:eastAsia="仿宋" w:cs="Times New Roman"/>
                <w:color w:val="000000"/>
                <w:spacing w:val="-6"/>
                <w:sz w:val="21"/>
                <w:szCs w:val="21"/>
                <w:lang w:val="en-US" w:eastAsia="zh-CN"/>
              </w:rPr>
              <w:t>2</w:t>
            </w:r>
            <w:r>
              <w:rPr>
                <w:rFonts w:ascii="Times New Roman" w:hAnsi="Times New Roman" w:eastAsia="仿宋" w:cs="Times New Roman"/>
                <w:color w:val="000000"/>
                <w:spacing w:val="-6"/>
                <w:sz w:val="21"/>
                <w:szCs w:val="21"/>
                <w:lang w:val="en-US" w:eastAsia="zh-CN"/>
              </w:rPr>
              <w:t>万亩。</w:t>
            </w:r>
          </w:p>
        </w:tc>
      </w:tr>
    </w:tbl>
    <w:bookmarkStart w:id="130" w:name="_Toc26520"/>
    <w:bookmarkStart w:id="131" w:name="_Toc2673"/>
    <w:bookmarkStart w:id="132" w:name="_Toc27974"/>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完善森林康养基础设施网络</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以支撑全域康养产业高质量发展为核心，系统构建特色化、普惠化的森林康养服务设施体系，通过差异化功能布局与全域协同联动，全面提升基础设施专业性与体验感</w:t>
      </w:r>
      <w:r>
        <w:rPr>
          <w:rFonts w:hint="eastAsia"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高品质康养步道网络系统化升级。</w:t>
      </w:r>
      <w:r>
        <w:rPr>
          <w:rFonts w:ascii="Times New Roman" w:hAnsi="Times New Roman" w:eastAsia="仿宋" w:cs="Times New Roman"/>
          <w:color w:val="000000"/>
          <w:spacing w:val="-6"/>
          <w:sz w:val="28"/>
          <w:szCs w:val="28"/>
          <w:lang w:val="en-US" w:eastAsia="zh-CN"/>
        </w:rPr>
        <w:t>以全域联通为导向，将现有林间步道、防火道升级改造为疗愈型、生态体验型、探险型等主题步道，</w:t>
      </w:r>
      <w:r>
        <w:rPr>
          <w:rFonts w:hint="eastAsia" w:ascii="Times New Roman" w:hAnsi="Times New Roman" w:eastAsia="仿宋" w:cs="Times New Roman"/>
          <w:color w:val="000000"/>
          <w:spacing w:val="-6"/>
          <w:sz w:val="28"/>
          <w:szCs w:val="28"/>
          <w:lang w:val="en-US" w:eastAsia="zh-CN"/>
        </w:rPr>
        <w:t>全面</w:t>
      </w:r>
      <w:r>
        <w:rPr>
          <w:rFonts w:ascii="Times New Roman" w:hAnsi="Times New Roman" w:eastAsia="仿宋" w:cs="Times New Roman"/>
          <w:color w:val="000000"/>
          <w:spacing w:val="-6"/>
          <w:sz w:val="28"/>
          <w:szCs w:val="28"/>
          <w:lang w:val="en-US" w:eastAsia="zh-CN"/>
        </w:rPr>
        <w:t>联通大黄水、七曜山、方斗山、沿江、城郊等各区域康养基地，形成</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覆盖全域、功能互补、文化赋能</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的康养步道网络，实现自然景观、历史文化与康养服务深度融合，提升游客多元化体验。</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方正楷体_GBK" w:hAnsi="方正楷体_GBK" w:eastAsia="方正楷体_GBK" w:cs="方正楷体_GBK"/>
          <w:color w:val="000000"/>
          <w:spacing w:val="-6"/>
          <w:sz w:val="28"/>
          <w:szCs w:val="28"/>
          <w:lang w:val="en-US" w:eastAsia="zh-CN"/>
        </w:rPr>
        <w:t>露营基地与森林浴场优化提升</w:t>
      </w:r>
      <w:r>
        <w:rPr>
          <w:rFonts w:hint="eastAsia" w:ascii="方正楷体_GBK" w:hAnsi="方正楷体_GBK" w:eastAsia="方正楷体_GBK" w:cs="方正楷体_GBK"/>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优化全域露营基地布局，重点改建千野草场露营基地、森林王国露营基地等6个现有基地，同步推进县域内其他露营基地的新建或改建工作，打造</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主题鲜明、层次丰富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的露营体系；利用</w:t>
      </w:r>
      <w:r>
        <w:rPr>
          <w:rFonts w:hint="eastAsia" w:ascii="Times New Roman" w:hAnsi="Times New Roman" w:eastAsia="仿宋" w:cs="Times New Roman"/>
          <w:color w:val="000000"/>
          <w:spacing w:val="-6"/>
          <w:sz w:val="28"/>
          <w:szCs w:val="28"/>
          <w:lang w:val="en-US" w:eastAsia="zh-CN"/>
        </w:rPr>
        <w:t>林下空间</w:t>
      </w:r>
      <w:r>
        <w:rPr>
          <w:rFonts w:ascii="Times New Roman" w:hAnsi="Times New Roman" w:eastAsia="仿宋" w:cs="Times New Roman"/>
          <w:color w:val="000000"/>
          <w:spacing w:val="-6"/>
          <w:sz w:val="28"/>
          <w:szCs w:val="28"/>
          <w:lang w:val="en-US" w:eastAsia="zh-CN"/>
        </w:rPr>
        <w:t>，</w:t>
      </w:r>
      <w:r>
        <w:rPr>
          <w:rFonts w:hint="eastAsia" w:ascii="Times New Roman" w:hAnsi="Times New Roman" w:eastAsia="仿宋" w:cs="Times New Roman"/>
          <w:color w:val="000000"/>
          <w:spacing w:val="-6"/>
          <w:sz w:val="28"/>
          <w:szCs w:val="28"/>
          <w:lang w:val="en-US" w:eastAsia="zh-CN"/>
        </w:rPr>
        <w:t>融合</w:t>
      </w:r>
      <w:r>
        <w:rPr>
          <w:rFonts w:ascii="Times New Roman" w:hAnsi="Times New Roman" w:eastAsia="仿宋" w:cs="Times New Roman"/>
          <w:color w:val="000000"/>
          <w:spacing w:val="-6"/>
          <w:sz w:val="28"/>
          <w:szCs w:val="28"/>
          <w:lang w:val="en-US" w:eastAsia="zh-CN"/>
        </w:rPr>
        <w:t>黄连、莼菜等本地特色资源新</w:t>
      </w:r>
      <w:r>
        <w:rPr>
          <w:rFonts w:hint="eastAsia" w:ascii="Times New Roman" w:hAnsi="Times New Roman" w:eastAsia="仿宋" w:cs="Times New Roman"/>
          <w:color w:val="000000"/>
          <w:spacing w:val="-6"/>
          <w:sz w:val="28"/>
          <w:szCs w:val="28"/>
          <w:lang w:val="en-US" w:eastAsia="zh-CN"/>
        </w:rPr>
        <w:t>扩</w:t>
      </w:r>
      <w:r>
        <w:rPr>
          <w:rFonts w:ascii="Times New Roman" w:hAnsi="Times New Roman" w:eastAsia="仿宋" w:cs="Times New Roman"/>
          <w:color w:val="000000"/>
          <w:spacing w:val="-6"/>
          <w:sz w:val="28"/>
          <w:szCs w:val="28"/>
          <w:lang w:val="en-US" w:eastAsia="zh-CN"/>
        </w:rPr>
        <w:t>建一批森林浴场，植入专属康养服务模块，丰富全域森林康养设施供给，满足不同客群的个性化需求。</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7768"/>
      </w:tblGrid>
      <w:tr>
        <w:trPr>
          <w:wBefore/>
          <w:trHeight w:val="90" w:hRule="atLeast"/>
          <w:tblCellSpacing w:w="28" w:type="dxa"/>
        </w:trPr>
        <w:tc>
          <w:tcPr>
            <w:tcW w:w="8659"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.1.</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 xml:space="preserve"> 森林康养</w:t>
            </w:r>
            <w:r>
              <w:rPr>
                <w:rFonts w:hint="eastAsia" w:ascii="黑体" w:hAnsi="黑体" w:eastAsia="黑体" w:cs="黑体"/>
                <w:color w:val="000000"/>
                <w:spacing w:val="-6"/>
                <w:sz w:val="21"/>
                <w:szCs w:val="21"/>
                <w:lang w:val="en-US" w:eastAsia="zh-CN"/>
              </w:rPr>
              <w:t>服务设施建设工程</w:t>
            </w:r>
          </w:p>
        </w:tc>
      </w:tr>
      <w:tr>
        <w:trPr>
          <w:wBefore/>
          <w:trHeight w:val="327" w:hRule="atLeas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序号</w:t>
            </w:r>
          </w:p>
        </w:tc>
        <w:tc>
          <w:tcPr>
            <w:tcW w:w="776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建设任务</w:t>
            </w:r>
          </w:p>
        </w:tc>
      </w:tr>
      <w:tr>
        <w:trPr>
          <w:wBefore/>
          <w:trHeight w:val="849" w:hRule="atLeas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1</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森林</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康养步道建设工程</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对云中花都</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w:t>
            </w: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火车站段、巴盐古道段、油草河串联景区段实施步道提质与功能完善</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云中花都</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w:t>
            </w: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火车站段</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w:t>
            </w: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配套土家图腾导引系统及康养服务标识，打造便捷接驳型康养步道，提升游客进出景区的便利性与体验安全性；</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巴盐古道段：保留古道历史风貌与文化底蕴，植入生态解说牌、文化体验节点及安全防护设施，构建融合古道文化研学、森林探险教育与生态康养体验的历史文化型康养步道；</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油草河串联景区段：完善步道设施，串联沿线自然景观、康养基地与土家文化节点，分类设置疗愈型、生态体验型等功能分区，强化步道对周边景区的联通功能，形成全域联动的步道网络。</w:t>
            </w:r>
          </w:p>
        </w:tc>
      </w:tr>
      <w:tr>
        <w:trPr>
          <w:wBefore/>
          <w:trHeigh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2</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露营基地与森林浴场</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建设工程</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露营基地改扩建：对千野草场露营基地、森林王国露营基地、桥头喜马拉雅奢露营基地、冷水风谷露营基地、桥头山与湖·湖心营地、鲸鲨户外露营基地等6个现有基地进行改扩建，升级配套设施，提升服务功能；</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cs="Times New Roman"/>
                <w:color w:val="000000"/>
                <w:sz w:val="21"/>
                <w:szCs w:val="21"/>
                <w:lang w:val="en-US" w:eastAsia="zh-CN"/>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森林浴场建设：结合露营基地及周边景区布局森林浴场，每个露营基地配套建设1-2个森林浴场，每个景区布局约10个，植入黄连、本地芳香植物等特色资源，打造主题鲜明的森林康养体验空间。</w:t>
            </w:r>
          </w:p>
        </w:tc>
      </w:tr>
    </w:tbl>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丰富森林康养产品供给</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通过创新“森林康养+”多元融合业态、打造精品森林康养路线，推进“林业+文旅+百业”融合，实现林业资源从生态价值到经济社会价值的高效转化，推动森林康养产业升级、土家民俗活态传承与乡村振兴协同发展。</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创新“森林康养+”多元融合业态。</w:t>
      </w:r>
      <w:bookmarkStart w:id="133" w:name="_Toc30498"/>
      <w:bookmarkStart w:id="134" w:name="_Toc8684"/>
      <w:bookmarkStart w:id="135" w:name="_Toc4746"/>
      <w:r>
        <w:rPr>
          <w:rFonts w:hint="eastAsia" w:ascii="Times New Roman" w:hAnsi="Times New Roman" w:eastAsia="仿宋" w:cs="Times New Roman"/>
          <w:color w:val="000000"/>
          <w:spacing w:val="-6"/>
          <w:sz w:val="28"/>
          <w:szCs w:val="28"/>
          <w:lang w:val="en-US" w:eastAsia="zh-CN"/>
        </w:rPr>
        <w:t>以森林生态系统为核心载体，依托森林氧吧、林间步道、林下空间等资源，培育康养度假、文化体验、研学写生、民宿露营等基础业态；同时挖掘林业特色，拓展森林夜间旅游、低空景观观光、森林赛事、林下中医药康养（黄连采摘+森林理疗）等新兴业态。以林下中药材、森林食材为原料，深度开发医药（黄连GMP饮片）、日化（黄连牙膏）、健康食品（黄连花茶、天麻酒）及康养美食（土司王宴、土豆宴）等系列产品。推进“林业+文旅+百业”融合，策划融入林业元素的“画说龙河”土家文化展演，举办中国·重庆（石柱）康养大会等赛事活动，提供森林旅游咨询、林间土家篝火晚会、中医理疗（结合林下药材）、膳食疗养（利用森林食材）等全链条服务业态，最终实现林业资源从生态价值到经济社会价值的高效转化。</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打造精品森林康养路线。</w:t>
      </w:r>
      <w:r>
        <w:rPr>
          <w:rFonts w:hint="eastAsia" w:ascii="Times New Roman" w:hAnsi="Times New Roman" w:eastAsia="仿宋" w:cs="Times New Roman"/>
          <w:color w:val="000000"/>
          <w:spacing w:val="-6"/>
          <w:sz w:val="28"/>
          <w:szCs w:val="28"/>
          <w:lang w:val="en-US" w:eastAsia="zh-CN"/>
        </w:rPr>
        <w:t>以“康养+”为核心引擎，整合黄连林下经济、土家非遗文化及大风堡、千野草场、万寿山、冷水风谷等森林生态资源，打造三条农林文旅深度融合的精品路线。聚焦大黄水片区，融合万寿山喀斯特景观、冷水风谷清凉气候与土家歌舞非遗，构建康养+生态文化的沉浸场景；依托七曜山地质公园，将森林自驾探险与研学体验结合，打造康养+探险研学的活力路线；联动中益蜜蜂小镇、桥头藤子沟湿地，把自然教育与黄连采摘等农业体验绑定，形成“康养+自然教育”的亲子友好线路。通过农业体验、森林康养、文化沉浸与旅游产品开发的深度融合，构建“一村一品、一线一景”的全域特色网络，最终推动森林康养产业升级与乡村振兴的协同发展。</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7768"/>
      </w:tblGrid>
      <w:tr>
        <w:trPr>
          <w:wBefore/>
          <w:trHeight w:val="252" w:hRule="atLeast"/>
          <w:tblCellSpacing w:w="28" w:type="dxa"/>
        </w:trPr>
        <w:tc>
          <w:tcPr>
            <w:tcW w:w="8659"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.1.</w:t>
            </w:r>
            <w:r>
              <w:rPr>
                <w:rFonts w:hint="eastAsia" w:ascii="黑体" w:hAnsi="黑体" w:eastAsia="黑体" w:cs="黑体"/>
                <w:color w:val="000000"/>
                <w:spacing w:val="-6"/>
                <w:sz w:val="21"/>
                <w:szCs w:val="21"/>
                <w:lang w:val="en-US" w:eastAsia="zh-CN"/>
              </w:rPr>
              <w:t>5</w:t>
            </w:r>
            <w:r>
              <w:rPr>
                <w:rFonts w:ascii="黑体" w:hAnsi="黑体" w:eastAsia="黑体" w:cs="黑体"/>
                <w:color w:val="000000"/>
                <w:spacing w:val="-6"/>
                <w:sz w:val="21"/>
                <w:szCs w:val="21"/>
                <w:lang w:val="en-US" w:eastAsia="zh-CN"/>
              </w:rPr>
              <w:t xml:space="preserve"> 精品森林康养线路</w:t>
            </w:r>
            <w:r>
              <w:rPr>
                <w:rFonts w:hint="eastAsia" w:ascii="黑体" w:hAnsi="黑体" w:eastAsia="黑体" w:cs="黑体"/>
                <w:color w:val="000000"/>
                <w:spacing w:val="-6"/>
                <w:sz w:val="21"/>
                <w:szCs w:val="21"/>
                <w:lang w:val="en-US" w:eastAsia="zh-CN"/>
              </w:rPr>
              <w:t>建设工程</w:t>
            </w:r>
          </w:p>
        </w:tc>
      </w:tr>
      <w:tr>
        <w:trPr>
          <w:wBefore/>
          <w:trHeight w:val="237" w:hRule="atLeas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序号</w:t>
            </w:r>
          </w:p>
        </w:tc>
        <w:tc>
          <w:tcPr>
            <w:tcW w:w="776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建设任务</w:t>
            </w:r>
          </w:p>
        </w:tc>
      </w:tr>
      <w:tr>
        <w:trPr>
          <w:wBefore/>
          <w:trHeight w:val="358" w:hRule="atLeas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1</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线路</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一</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：大黄水</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生态康养</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+土家文化”沉浸线</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石柱县城——三河镇（万寿山景区）——冷水镇（中国纯菜农业公园、云中花都景区、Let's go 游乐世界、冷水·风谷休闲度假营地）——黄水旅游度假区（</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黄水</w:t>
            </w: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湖、《天上黄水》土家大型歌舞节目、毕兹卡绿宫景区、森林王国、秘境黄水·奇幻乐园、大风堡景区、太阳湖）——鱼池镇（千野草场景区）——西沱古镇（云梯街、永城商号、巴盐古道）——返程</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w:t>
            </w:r>
          </w:p>
        </w:tc>
      </w:tr>
      <w:tr>
        <w:trPr>
          <w:wBefore/>
          <w:trHeigh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2</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线路</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二</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：七曜山地质公园</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森林自驾+探险研学</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体验线</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cs="Times New Roman"/>
                <w:color w:val="000000"/>
                <w:sz w:val="21"/>
                <w:szCs w:val="21"/>
                <w:lang w:val="en-US" w:eastAsia="zh-CN"/>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石柱县城——金铃镇（瘴子岩、广寒宫景区、油罐沟美景）——黄鹤镇（天生桥、白果树院落）——沙子镇（卢家坝天池）——六塘乡/三星乡（刀背梁、风电观光群）——返程</w:t>
            </w:r>
          </w:p>
        </w:tc>
      </w:tr>
      <w:bookmarkStart w:id="136" w:name="_Toc27961"/>
      <w:tr>
        <w:trPr>
          <w:wBefore/>
          <w:trHeigh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3</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线路</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三</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：中益—桥头</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“自然教育+</w:t>
            </w: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研学</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写生”体验线</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420" w:firstLineChars="20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石柱县城——中益蜜蜂小镇——初心小院、初心广场——蜜蜂科普馆——蜜蜂主题乐园——千年桥头（藤子沟国家湿地公园）——桥头乡村特色民宿群（瓦屋小镇、再别康桥、野奢露营基地等）——返程</w:t>
            </w:r>
            <w:r>
              <w:rPr>
                <w:rFonts w:hint="eastAsia" w:ascii="Times New Roman" w:hAnsi="Times New Roman" w:eastAsia="方正仿宋_GB2312" w:cs="Times New Roman"/>
                <w:b w:val="false"/>
                <w:bCs w:val="false"/>
                <w:i w:val="false"/>
                <w:iCs w:val="false"/>
                <w:caps w:val="false"/>
                <w:color w:val="000000"/>
                <w:spacing w:val="0"/>
                <w:kern w:val="0"/>
                <w:sz w:val="21"/>
                <w:szCs w:val="21"/>
                <w:lang w:val="en-US" w:eastAsia="zh-CN" w:bidi="ar"/>
              </w:rPr>
              <w:t>。</w:t>
            </w:r>
          </w:p>
        </w:tc>
      </w:tr>
    </w:tbl>
    <w:bookmarkEnd w:id="133"/>
    <w:bookmarkEnd w:id="134"/>
    <w:bookmarkEnd w:id="135"/>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繁荣森林康养文化品牌</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通过推动森林康养文化的保护与活态传承，强化森林康养文化品牌的跨区域联动与传播，提升森林康养文化品牌辐射力。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深化森林康养文化保护与活态传承。</w:t>
      </w:r>
      <w:r>
        <w:rPr>
          <w:rFonts w:hint="eastAsia" w:ascii="Times New Roman" w:hAnsi="Times New Roman" w:eastAsia="仿宋" w:cs="Times New Roman"/>
          <w:color w:val="000000"/>
          <w:spacing w:val="-6"/>
          <w:sz w:val="28"/>
          <w:szCs w:val="28"/>
          <w:lang w:val="en-US" w:eastAsia="zh-CN"/>
        </w:rPr>
        <w:t>建强中益乡乡村振兴实践教学基地，将森林氧吧、林下黄连种植基地转化为乡村振兴林业实践的核心载体，开展森林康养技术培训与生态文化教育；在弘扬红岩精神与城市精神的同时，重点宣传森林生态保护、林下药材培育领域的先进典型（如护林员、黄连种植非遗传承人），传递森林康养的生态价值与人文理念；保护名木古树，挖掘森林文化、林下采集传统文化，推动黄连生产系统申遗并突出其林下种植技艺与森林生态协同的文化遗产价值；培育以林业为主题的广电影视、文创设计产业，利用森林景观、黄连种植非遗等素材发展云演艺、沉浸式林业体验等数字文化业态；擦亮“土家大舞台”惠民品牌，融入森林图腾舞蹈、黄连文化情景剧等林业元素，让群众感知森林康养文化魅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强化森林康养文化品牌传播推广。</w:t>
      </w:r>
      <w:r>
        <w:rPr>
          <w:rFonts w:hint="eastAsia" w:ascii="Times New Roman" w:hAnsi="Times New Roman" w:eastAsia="仿宋" w:cs="Times New Roman"/>
          <w:color w:val="000000"/>
          <w:spacing w:val="-6"/>
          <w:sz w:val="28"/>
          <w:szCs w:val="28"/>
          <w:lang w:val="en-US" w:eastAsia="zh-CN"/>
        </w:rPr>
        <w:t>实施“林业+文化+旅游+康养”融合战略，将森林康养作为核心业态推动林业文化与文旅康养深度融合；参与巴蜀文化旅游走廊建设，培塑融入石柱黄连、森林康养等特色元素的“成渝地·巴蜀情”区域品牌；围绕区域森林生态、林下药材（黄连、天麻）等资源开展融合林业劳作场景的土家族摆手舞、“啰儿调”传唱等文化服务；高水平策划“画说龙河”土家文化展演，突出龙河流域森林景观、黄连种植场景等林业标识，提升森林康养文化品牌辐射力。</w:t>
      </w:r>
    </w:p>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提高森林康养服务水平</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通过提升服务品质，培养专业人才并与高校合作及引进专家智库，建立游客评价、第三方暗访、奖惩机制及全流程追溯的质量监督体系，全面提升森林康养服务品质与保障服务质量。</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 提升森林康养服务品质。</w:t>
      </w:r>
      <w:r>
        <w:rPr>
          <w:rFonts w:hint="eastAsia" w:ascii="Times New Roman" w:hAnsi="Times New Roman" w:eastAsia="仿宋" w:cs="Times New Roman"/>
          <w:color w:val="000000"/>
          <w:spacing w:val="-6"/>
          <w:sz w:val="28"/>
          <w:szCs w:val="28"/>
          <w:lang w:val="en-US" w:eastAsia="zh-CN"/>
        </w:rPr>
        <w:t>制定《森林康养服务规范》地方标准，对住宿接待实施“五感体验”要求——视觉上采用原木色调装饰，听觉上播放自然白噪音，嗅觉上使用本地植物香薰，味觉上提供药膳餐饮，触觉上配备天然材质床品。医疗配套方面，每个康养基地需配备2名以上执业医师，建立与县医院的绿色转诊通道，配置AED等急救设备并定期开展演练。</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培养森林康养专业人才。</w:t>
      </w:r>
      <w:r>
        <w:rPr>
          <w:rFonts w:hint="eastAsia" w:ascii="Times New Roman" w:hAnsi="Times New Roman" w:eastAsia="仿宋" w:cs="Times New Roman"/>
          <w:color w:val="000000"/>
          <w:spacing w:val="-6"/>
          <w:sz w:val="28"/>
          <w:szCs w:val="28"/>
          <w:lang w:val="en-US" w:eastAsia="zh-CN"/>
        </w:rPr>
        <w:t>培养100名持证森林康养师，开设中医基础、心理学、运动康复等课程；培训100名生态导游，要求掌握植物识别、气象知识与急救技能；培育100名乡村工匠，传承土家织锦、古法造纸等非遗技艺。与重庆医科大学、西南大学合作设立实训基地，每年输送50名学员进修，同时引进10名康养领域专家建立智库。</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建立森林康养服务质量监督体系。</w:t>
      </w:r>
      <w:r>
        <w:rPr>
          <w:rFonts w:hint="eastAsia" w:ascii="Times New Roman" w:hAnsi="Times New Roman" w:eastAsia="仿宋" w:cs="Times New Roman"/>
          <w:color w:val="000000"/>
          <w:spacing w:val="-6"/>
          <w:sz w:val="28"/>
          <w:szCs w:val="28"/>
          <w:lang w:val="en-US" w:eastAsia="zh-CN"/>
        </w:rPr>
        <w:t>游客端通过扫码评价服务满意度，第三方机构每季度开展暗访检查，行业协会定期发布服务质量红黑榜。对连续两年获评优秀的企业给予税收减免与项目优先申报权，对不达标者实施限期整改或摘牌处理。建立服务质量追溯系统，实现从预约到离园的全流程记录，确保问题可查、责任可追。</w:t>
      </w:r>
    </w:p>
    <w:p>
      <w:pPr>
        <w:pStyle w:val="000007"/>
        <w:keepNext/>
        <w:keepLines/>
        <w:pageBreakBefore w:val="false"/>
        <w:widowControl w:val="false"/>
        <w:numPr>
          <w:ilvl w:val="0"/>
          <w:numId w:val="19"/>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深化跨区域协作发展</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通过融入成渝地区双城经济圈、巴蜀文化旅游走廊、渝东南武陵山区及渝东北三峡库区城镇群、长江经济带等区域发展战略，与湖北利川合作打造旅游线路及生态康养基地，对接山东淄博等沿海省市与国际资源、推动巴盐古道申遗及“大武陵”林文旅品牌联盟建设，提升森林康养产业的区域影响力与品牌价值，拓展生态资源价值通道。</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深化跨区域森林康养协同联动。</w:t>
      </w:r>
      <w:r>
        <w:rPr>
          <w:rFonts w:hint="eastAsia" w:ascii="Times New Roman" w:hAnsi="Times New Roman" w:eastAsia="仿宋" w:cs="Times New Roman"/>
          <w:color w:val="000000"/>
          <w:spacing w:val="-6"/>
          <w:sz w:val="28"/>
          <w:szCs w:val="28"/>
          <w:lang w:val="en-US" w:eastAsia="zh-CN"/>
        </w:rPr>
        <w:t>主动融入成渝地区双城经济圈建设，与四川成都、内江等结对合作共建现代康养产业体系，参与巴蜀文化旅游走廊建设；合力推动渝东南武陵山区城镇群发展，打造环武陵山旅游线并共推土家族文化；融入渝东北三峡库区城镇群，联合打造“三峡库心·长江盆景”项目；加强与湖北恩施利川协同发展，打造石柱黄水—利川腾龙洞旅游线路并共建生态康养基地；同时融入长江经济带航运网络，联合渝东北、渝东南打造长江林文旅路线，拓展“大武陵”生态资源价值通道。</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对接外部资源拓展森林康养合作。</w:t>
      </w:r>
      <w:r>
        <w:rPr>
          <w:rFonts w:hint="eastAsia" w:ascii="Times New Roman" w:hAnsi="Times New Roman" w:eastAsia="仿宋" w:cs="Times New Roman"/>
          <w:color w:val="000000"/>
          <w:spacing w:val="-6"/>
          <w:sz w:val="28"/>
          <w:szCs w:val="28"/>
          <w:lang w:val="en-US" w:eastAsia="zh-CN"/>
        </w:rPr>
        <w:t>强化与山东淄博等沿海对口省市的协作，积极寻求国际合作以深化康养经济领域的国内国际交流；发挥中核集团帮扶优势，深化鲁渝协作并承接东部产业转移；推动巴盐古道申遗工作，联合利川等地区建立“大武陵”林文旅品牌推广联盟，提升森林康养产业的区域影响力与品牌价值。</w:t>
      </w:r>
    </w:p>
    <w:bookmarkStart w:id="137" w:name="_Toc18303"/>
    <w:p>
      <w:pPr>
        <w:pStyle w:val="000006"/>
        <w:keepNext/>
        <w:keepLines/>
        <w:pageBreakBefore w:val="false"/>
        <w:widowControl w:val="false"/>
        <w:numPr>
          <w:ilvl w:val="0"/>
          <w:numId w:val="18"/>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做大做强林下经济</w:t>
      </w:r>
      <w:bookmarkEnd w:id="136"/>
      <w:bookmarkEnd w:id="137"/>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提质扩面、延链增效”为核心，高质量发展黄连传统优势产业。同时依托石柱县丰富林地资源，积极培育林药、林菌、林下养殖、林下采集等业态，构建“一主多元、优势互补”的林下经济产业发展格局。到2030年，初步构建起三产深度融合的现代化林下经济产业体系，实现综合产值40亿元目标；到2035年，综合产值突破44亿元，全面建成全国林下经济高质量发展示范县和“两山”实践创新示范。</w:t>
      </w:r>
    </w:p>
    <w:p>
      <w:pPr>
        <w:pStyle w:val="000007"/>
        <w:keepNext/>
        <w:keepLines/>
        <w:pageBreakBefore w:val="false"/>
        <w:widowControl w:val="false"/>
        <w:numPr>
          <w:ilvl w:val="0"/>
          <w:numId w:val="2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做大林下经济产业规模</w:t>
      </w:r>
    </w:p>
    <w:p>
      <w:pPr>
        <w:pStyle w:val="000001"/>
        <w:keepNext w:val="false"/>
        <w:keepLines w:val="false"/>
        <w:pageBreakBefore w:val="false"/>
        <w:widowControl/>
        <w:kinsoku/>
        <w:wordWrap/>
        <w:overflowPunct/>
        <w:topLinePunct w:val="false"/>
        <w:autoSpaceDE w:val="false"/>
        <w:autoSpaceDN w:val="false"/>
        <w:bidi w:val="false"/>
        <w:spacing w:line="560" w:lineRule="exact"/>
        <w:ind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聚焦“林+药</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林+蜂”等业态，在巩固扩大黄连林下种植规模的基础上，积极培育</w:t>
      </w:r>
      <w:r>
        <w:rPr>
          <w:rFonts w:hint="eastAsia" w:ascii="Times New Roman" w:hAnsi="Times New Roman" w:eastAsia="仿宋" w:cs="Times New Roman"/>
          <w:color w:val="000000"/>
          <w:spacing w:val="-6"/>
          <w:sz w:val="28"/>
          <w:szCs w:val="28"/>
          <w:lang w:val="en-US" w:eastAsia="zh-CN"/>
        </w:rPr>
        <w:t>其他</w:t>
      </w:r>
      <w:r>
        <w:rPr>
          <w:rFonts w:ascii="Times New Roman" w:hAnsi="Times New Roman" w:eastAsia="仿宋" w:cs="Times New Roman"/>
          <w:color w:val="000000"/>
          <w:spacing w:val="-6"/>
          <w:sz w:val="28"/>
          <w:szCs w:val="28"/>
          <w:lang w:val="en-US" w:eastAsia="zh-CN"/>
        </w:rPr>
        <w:t>林药、林菌、林下养殖、林下采集等其他产业，全面引导林下经济规模化发展，将石柱县建设成为国家林下经济示范区县。</w:t>
      </w:r>
    </w:p>
    <w:p>
      <w:pPr>
        <w:pStyle w:val="000001"/>
        <w:keepNext w:val="false"/>
        <w:keepLines w:val="false"/>
        <w:pageBreakBefore w:val="false"/>
        <w:widowControl/>
        <w:kinsoku/>
        <w:wordWrap/>
        <w:overflowPunct/>
        <w:topLinePunct w:val="false"/>
        <w:autoSpaceDE w:val="false"/>
        <w:autoSpaceDN w:val="false"/>
        <w:bidi w:val="false"/>
        <w:spacing w:line="560" w:lineRule="exact"/>
        <w:ind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巩固扩大林下黄连种植规模。</w:t>
      </w:r>
      <w:r>
        <w:rPr>
          <w:rFonts w:hint="eastAsia" w:ascii="Times New Roman" w:hAnsi="Times New Roman" w:eastAsia="仿宋" w:cs="Times New Roman"/>
          <w:color w:val="000000"/>
          <w:spacing w:val="-6"/>
          <w:sz w:val="28"/>
          <w:szCs w:val="28"/>
          <w:lang w:val="en-US" w:eastAsia="zh-CN"/>
        </w:rPr>
        <w:t>在七曜山、方斗山、大黄水地区海拔1200米以上适宜区域，坡度≤25°的优先利用和限制利用的林地，大力推广“林连互利共生”绿色生态型种植模式，严格遵循新版黄连GAP规范，引导各类经营主体推行标准化、规范化、绿色化种植管理。探索构建“场村合作”新型联结机制，整合散户小农种植资源，引导农户依托林场规范发展林下黄连种植。</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积极发展多元林药种植</w:t>
      </w:r>
      <w:r>
        <w:rPr>
          <w:rFonts w:hint="eastAsia" w:ascii="Times New Roman" w:hAnsi="Times New Roman" w:eastAsia="仿宋" w:cs="Times New Roman"/>
          <w:color w:val="000000"/>
          <w:spacing w:val="-6"/>
          <w:sz w:val="28"/>
          <w:szCs w:val="28"/>
          <w:lang w:val="en-US" w:eastAsia="zh-CN"/>
        </w:rPr>
        <w:t>。在七曜山、方斗山、大黄水地区海拔1200米以下适宜区域，坡度≤25°的优先利用和限制利用的林地内，布局黄精、天麻、前胡、大黄、虎杖等中药材种植；深入推行林下仿野生栽培模式，统一采用有机肥替代化肥、物理与生物防治等绿色生产技术，从源头保障药材的天然绿色品质；推广“公司+专业合作社+农户”“专业合作社+基地+农户”等多元经营模式，强化产业联结与规模效应。</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稳定发展林菌种植。</w:t>
      </w:r>
      <w:r>
        <w:rPr>
          <w:rFonts w:hint="eastAsia" w:ascii="Times New Roman" w:hAnsi="Times New Roman" w:eastAsia="仿宋" w:cs="Times New Roman"/>
          <w:color w:val="000000"/>
          <w:spacing w:val="-6"/>
          <w:sz w:val="28"/>
          <w:szCs w:val="28"/>
          <w:lang w:val="en-US" w:eastAsia="zh-CN"/>
        </w:rPr>
        <w:t>在方斗山、大黄水地区、七曜山东部区域海拔800-1500米优先利用和限制利用的林地，发展香菇、木耳、羊肚菌、竹荪等特色食用菌种植，推广“林菌套种”立体生态模式，利用林间遮阴、保湿的天然环境优势，实现林木与食用菌的优势互补。引进优质菌种与标准化栽培技术，建立菌种培育基地，为种植户提供优良菌源；开展种植技术培训，指导种植户科学调控温度、湿度、光照等生长条件，提升食用菌产量与品质；探索“企业+基地+农户”合作模式，由企业负责菌种供应、技术指导与产品收购，农户负责林下种植，实现互利共赢。</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巩固发展林蜂养殖。</w:t>
      </w:r>
      <w:r>
        <w:rPr>
          <w:rFonts w:hint="eastAsia" w:ascii="Times New Roman" w:hAnsi="Times New Roman" w:eastAsia="仿宋" w:cs="Times New Roman"/>
          <w:color w:val="000000"/>
          <w:spacing w:val="-6"/>
          <w:sz w:val="28"/>
          <w:szCs w:val="28"/>
          <w:lang w:val="en-US" w:eastAsia="zh-CN"/>
        </w:rPr>
        <w:t>以中益乡为核心，辐射带动周边乡镇发展中蜂养殖，巩固“中华蜜蜂之乡”与“全国蜂业优秀之乡”；系统推进养殖技术革新，推广标准化活框饲养、分蜂热控制、奖励饲喂等科学管理方法，提升蜂群健康度与生产能力；整合现有养殖户资源并开展技术培训，引导向标准化、规范化、生态化养殖转型，建设中蜂标准化示范场与成熟蜜生产基地，稳步扩大养殖规模。</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适度发展林禽（畜）养殖。</w:t>
      </w:r>
      <w:r>
        <w:rPr>
          <w:rFonts w:hint="eastAsia" w:ascii="Times New Roman" w:hAnsi="Times New Roman" w:eastAsia="仿宋" w:cs="Times New Roman"/>
          <w:color w:val="000000"/>
          <w:spacing w:val="-6"/>
          <w:sz w:val="28"/>
          <w:szCs w:val="28"/>
          <w:lang w:val="en-US" w:eastAsia="zh-CN"/>
        </w:rPr>
        <w:t>在方斗山西部沿江地区优先利用的林地适度发展林下生态土鸡散养，统一品种、防疫和养殖标准，打造“石柱林下跑鸡”品牌，通过林地自由放养提升鸡肉品质与口感；适度发展林下生态养猪、养羊，划区轮牧实现种养结合，利用林地天然饲料资源降低养殖成本，同时通过畜禽粪便还林改良土壤，促进林木生长。针对林下养猪、养羊等牲畜养殖，建设堆肥发酵场，将养殖废弃物转化为优质有机肥就地还林，构建生态循环养殖体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有序发展林下采集。</w:t>
      </w:r>
      <w:r>
        <w:rPr>
          <w:rFonts w:hint="eastAsia" w:ascii="Times New Roman" w:hAnsi="Times New Roman" w:eastAsia="仿宋" w:cs="Times New Roman"/>
          <w:color w:val="000000"/>
          <w:spacing w:val="-6"/>
          <w:sz w:val="28"/>
          <w:szCs w:val="28"/>
          <w:lang w:val="en-US" w:eastAsia="zh-CN"/>
        </w:rPr>
        <w:t>选择优先利用的林地中立地条件好，交通便利，林木生长健康的林地，在保护好森林植被的前提下，有序开展野生中药材、野生食用菌、野菜等林下资源采集，进一步扩大林下采集规模，同时开展人工扩繁引种，提高林下采集资源品种，推进可持续经营和科学采集活动。制定可持续采集规范，明确采集时间、采集量与采集方式，避免过度采集破坏生态平衡；引导采集户与加工企业合作，对采集的野生资源进行初加工与深加工，开发野生中药材饮片、野生菌干货、野菜罐头等产品，提升资源附加值；探索“采集合作社+企业”模式，由合作社组织采集户规范采集，企业负责收购与加工，保障采集户收益稳定。</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7747"/>
      </w:tblGrid>
      <w:tr>
        <w:trPr>
          <w:wBefore/>
          <w:trHeight w:val="359" w:hRule="atLeast"/>
          <w:tblHeader/>
          <w:tblCellSpacing w:w="28" w:type="dxa"/>
        </w:trPr>
        <w:tc>
          <w:tcPr>
            <w:tcW w:w="8654" w:type="dxa"/>
            <w:gridSpan w:val="2"/>
            <w:shd w:val="clear" w:color="auto" w:fill="d7d7d7"/>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color w:val="000000"/>
                <w:spacing w:val="-6"/>
                <w:sz w:val="21"/>
                <w:szCs w:val="21"/>
                <w:lang w:val="en-US" w:eastAsia="zh-CN"/>
              </w:rPr>
            </w:pPr>
            <w:r>
              <w:rPr>
                <w:rFonts w:hint="eastAsia" w:ascii="黑体" w:hAnsi="黑体" w:eastAsia="黑体" w:cs="黑体"/>
                <w:b w:val="false"/>
                <w:bCs w:val="false"/>
                <w:i w:val="false"/>
                <w:iCs w:val="false"/>
                <w:caps w:val="false"/>
                <w:color w:val="000000"/>
                <w:spacing w:val="0"/>
                <w:kern w:val="0"/>
                <w:sz w:val="21"/>
                <w:szCs w:val="21"/>
                <w:lang w:val="en-US" w:eastAsia="zh-CN" w:bidi="ar"/>
              </w:rPr>
              <w:t>专栏4.2.1 提质扩面林下种养殖规模发展重点</w:t>
            </w:r>
          </w:p>
        </w:tc>
      </w:tr>
      <w:tr>
        <w:trPr>
          <w:wBefore/>
          <w:trHeight w:val="267" w:hRule="atLeast"/>
          <w:tblCellSpacing w:w="28" w:type="dxa"/>
        </w:trPr>
        <w:tc>
          <w:tcPr>
            <w:tcW w:w="90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ascii="黑体" w:hAnsi="黑体" w:eastAsia="黑体" w:cs="黑体"/>
                <w:b w:val="false"/>
                <w:bCs w:val="false"/>
                <w:i w:val="false"/>
                <w:iCs w:val="false"/>
                <w:caps w:val="false"/>
                <w:color w:val="000000"/>
                <w:spacing w:val="0"/>
                <w:kern w:val="0"/>
                <w:sz w:val="21"/>
                <w:szCs w:val="21"/>
                <w:lang w:val="en-US" w:eastAsia="zh-CN" w:bidi="ar"/>
              </w:rPr>
              <w:t>序号</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ascii="黑体" w:hAnsi="黑体" w:eastAsia="黑体" w:cs="黑体"/>
                <w:b w:val="false"/>
                <w:bCs w:val="false"/>
                <w:i w:val="false"/>
                <w:iCs w:val="false"/>
                <w:caps w:val="false"/>
                <w:color w:val="000000"/>
                <w:spacing w:val="0"/>
                <w:kern w:val="0"/>
                <w:sz w:val="21"/>
                <w:szCs w:val="21"/>
                <w:lang w:val="en-US" w:eastAsia="zh-CN" w:bidi="ar"/>
              </w:rPr>
              <w:t>建设内容</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hint="eastAsia"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1</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巩固扩大林下黄连种植规模</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ascii="Times New Roman" w:hAnsi="Times New Roman" w:eastAsia="黑体" w:cs="Times New Roman"/>
                <w:color w:val="000000"/>
                <w:spacing w:val="7"/>
                <w:position w:val="1"/>
                <w:sz w:val="21"/>
                <w:szCs w:val="21"/>
                <w:lang w:val="en-US" w:eastAsia="zh-CN"/>
              </w:rPr>
            </w:pPr>
            <w:r>
              <w:rPr>
                <w:rFonts w:hint="eastAsia" w:ascii="Times New Roman" w:hAnsi="Times New Roman" w:eastAsia="仿宋" w:cs="Times New Roman"/>
                <w:color w:val="000000"/>
                <w:spacing w:val="-6"/>
                <w:sz w:val="21"/>
                <w:szCs w:val="21"/>
                <w:lang w:val="en-US" w:eastAsia="zh-CN"/>
              </w:rPr>
              <w:t>在沙子镇、黄水镇、枫木镇、中益乡、六塘乡、金铃镇、新乐镇、黄鹤镇等乡镇，大力推广“林连互利共生”绿色生态种植模式，黄连在地面积稳定在10万亩。</w:t>
            </w:r>
          </w:p>
        </w:tc>
      </w:tr>
      <w:tr>
        <w:trPr>
          <w:wBefore/>
          <w:trHeight w:val="897"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2</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积极发展其他林下中药材种植</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仿宋" w:cs="Times New Roman"/>
                <w:color w:val="000000"/>
                <w:spacing w:val="-6"/>
                <w:sz w:val="21"/>
                <w:szCs w:val="21"/>
                <w:lang w:val="en-US" w:eastAsia="zh-CN"/>
              </w:rPr>
              <w:t>在三星乡、沙子镇、大歇镇、中益乡、石家乡等乡镇重点发展黄精，在地面积稳定在3万亩；在桥头镇、中益乡、金铃镇等乡镇重点发展天麻，在地面积稳定在0.2万亩；在新乐镇、黄鹤镇、马武镇等乡镇重点发展前胡、大黄、虎杖等中药材，在地面积稳定在2万亩</w:t>
            </w:r>
            <w:r>
              <w:rPr>
                <w:rFonts w:ascii="Times New Roman" w:hAnsi="Times New Roman" w:eastAsia="仿宋" w:cs="Times New Roman"/>
                <w:color w:val="000000"/>
                <w:spacing w:val="-6"/>
                <w:sz w:val="21"/>
                <w:szCs w:val="21"/>
                <w:lang w:val="en-US" w:eastAsia="zh-CN"/>
              </w:rPr>
              <w:t>。</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3</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稳定发展林菌种植</w:t>
            </w:r>
          </w:p>
          <w:p>
            <w:pPr>
              <w:pStyle w:val="000002"/>
              <w:keepNext w:val="false"/>
              <w:keepLines w:val="false"/>
              <w:pageBreakBefore w:val="false"/>
              <w:widowControl/>
              <w:kinsoku w:val="false"/>
              <w:wordWrap/>
              <w:overflowPunct/>
              <w:topLinePunct w:val="false"/>
              <w:autoSpaceDE w:val="false"/>
              <w:autoSpaceDN w:val="false"/>
              <w:bidi w:val="false"/>
              <w:spacing w:line="240" w:lineRule="auto"/>
              <w:ind w:left="0" w:leftChars="0" w:firstLine="396" w:firstLineChars="200"/>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在</w:t>
            </w:r>
            <w:r>
              <w:rPr>
                <w:rFonts w:hint="eastAsia" w:ascii="Times New Roman" w:hAnsi="Times New Roman" w:eastAsia="仿宋" w:cs="Times New Roman"/>
                <w:snapToGrid w:val="false"/>
                <w:color w:val="000000"/>
                <w:spacing w:val="-6"/>
                <w:kern w:val="0"/>
                <w:sz w:val="21"/>
                <w:szCs w:val="21"/>
                <w:lang w:val="en-US" w:eastAsia="zh-CN" w:bidi="ar-SA"/>
              </w:rPr>
              <w:t>石家乡、黄水镇、桥头镇、悦崃镇、金铃镇、新乐镇、黄鹤镇等乡镇规模化林下种植香菇等传统菌类，同时搭配赤松茸等珍稀菌实施轮作，在地面积稳定在2万亩。</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4</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巩固发展林蜂养殖</w:t>
            </w:r>
          </w:p>
          <w:p>
            <w:pPr>
              <w:pStyle w:val="000001"/>
              <w:keepNext w:val="false"/>
              <w:keepLines w:val="false"/>
              <w:pageBreakBefore w:val="false"/>
              <w:widowControl/>
              <w:kinsoku/>
              <w:wordWrap/>
              <w:overflowPunct/>
              <w:topLinePunct w:val="false"/>
              <w:autoSpaceDE w:val="false"/>
              <w:autoSpaceDN w:val="false"/>
              <w:bidi w:val="false"/>
              <w:spacing w:line="240" w:lineRule="auto"/>
              <w:ind w:left="0" w:right="0" w:firstLine="396" w:firstLineChars="200"/>
              <w:jc w:val="both"/>
              <w:rPr>
                <w:color w:val="000000"/>
                <w:lang w:val="en-US" w:eastAsia="zh-CN"/>
              </w:rPr>
            </w:pPr>
            <w:r>
              <w:rPr>
                <w:rFonts w:hint="eastAsia" w:ascii="Times New Roman" w:hAnsi="Times New Roman" w:eastAsia="仿宋" w:cs="Times New Roman"/>
                <w:snapToGrid w:val="false"/>
                <w:color w:val="000000"/>
                <w:spacing w:val="-6"/>
                <w:kern w:val="0"/>
                <w:sz w:val="21"/>
                <w:szCs w:val="21"/>
                <w:lang w:val="en-US" w:eastAsia="zh-CN" w:bidi="ar-SA"/>
              </w:rPr>
              <w:t>在中益乡、黄水镇、王场镇、西沱镇、黎场镇、金铃镇等乡镇，</w:t>
            </w:r>
            <w:r>
              <w:rPr>
                <w:rFonts w:hint="eastAsia" w:ascii="Times New Roman" w:hAnsi="Times New Roman" w:eastAsia="仿宋" w:cs="Times New Roman"/>
                <w:color w:val="000000"/>
                <w:spacing w:val="-6"/>
                <w:sz w:val="21"/>
                <w:szCs w:val="21"/>
                <w:lang w:val="en-US" w:eastAsia="zh-CN"/>
              </w:rPr>
              <w:t>建设规范化的林下蜂群养殖场，</w:t>
            </w:r>
            <w:r>
              <w:rPr>
                <w:rFonts w:hint="eastAsia" w:ascii="Times New Roman" w:hAnsi="Times New Roman" w:eastAsia="仿宋" w:cs="Times New Roman"/>
                <w:snapToGrid w:val="false"/>
                <w:color w:val="000000"/>
                <w:spacing w:val="-6"/>
                <w:kern w:val="0"/>
                <w:sz w:val="21"/>
                <w:szCs w:val="21"/>
                <w:lang w:val="en-US" w:eastAsia="zh-CN" w:bidi="ar-SA"/>
              </w:rPr>
              <w:t>养殖规模稳定在20万群以上。</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5</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适度发展林禽（畜）养殖</w:t>
            </w:r>
          </w:p>
          <w:p>
            <w:pPr>
              <w:pStyle w:val="000001"/>
              <w:keepNext w:val="false"/>
              <w:keepLines w:val="false"/>
              <w:pageBreakBefore w:val="false"/>
              <w:widowControl/>
              <w:kinsoku/>
              <w:wordWrap/>
              <w:overflowPunct/>
              <w:topLinePunct w:val="false"/>
              <w:autoSpaceDE w:val="false"/>
              <w:autoSpaceDN w:val="false"/>
              <w:bidi w:val="false"/>
              <w:spacing w:line="240" w:lineRule="auto"/>
              <w:ind w:left="0" w:right="0" w:firstLine="396" w:firstLineChars="200"/>
              <w:jc w:val="both"/>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snapToGrid w:val="false"/>
                <w:color w:val="000000"/>
                <w:spacing w:val="-6"/>
                <w:kern w:val="0"/>
                <w:sz w:val="21"/>
                <w:szCs w:val="21"/>
                <w:lang w:val="en-US" w:eastAsia="zh-CN" w:bidi="ar-SA"/>
              </w:rPr>
              <w:t>在西沱镇、王场镇等乡村适度发展鸡、鸭等林禽养殖，年存栏量稳定在20万羽，年出栏量达到30万羽；在黎场乡、沿溪镇等乡镇适度发展猪、牛、羊等林畜养殖，年</w:t>
            </w:r>
            <w:r>
              <w:rPr>
                <w:rFonts w:ascii="Times New Roman" w:hAnsi="Times New Roman" w:eastAsia="仿宋" w:cs="Times New Roman"/>
                <w:snapToGrid w:val="false"/>
                <w:color w:val="000000"/>
                <w:spacing w:val="-6"/>
                <w:kern w:val="0"/>
                <w:sz w:val="21"/>
                <w:szCs w:val="21"/>
                <w:lang w:val="en-US" w:eastAsia="zh-CN" w:bidi="ar-SA"/>
              </w:rPr>
              <w:t>存栏</w:t>
            </w:r>
            <w:r>
              <w:rPr>
                <w:rFonts w:hint="eastAsia" w:ascii="Times New Roman" w:hAnsi="Times New Roman" w:eastAsia="仿宋" w:cs="Times New Roman"/>
                <w:snapToGrid w:val="false"/>
                <w:color w:val="000000"/>
                <w:spacing w:val="-6"/>
                <w:kern w:val="0"/>
                <w:sz w:val="21"/>
                <w:szCs w:val="21"/>
                <w:lang w:val="en-US" w:eastAsia="zh-CN" w:bidi="ar-SA"/>
              </w:rPr>
              <w:t>量稳定在1</w:t>
            </w:r>
            <w:r>
              <w:rPr>
                <w:rFonts w:ascii="Times New Roman" w:hAnsi="Times New Roman" w:eastAsia="仿宋" w:cs="Times New Roman"/>
                <w:snapToGrid w:val="false"/>
                <w:color w:val="000000"/>
                <w:spacing w:val="-6"/>
                <w:kern w:val="0"/>
                <w:sz w:val="21"/>
                <w:szCs w:val="21"/>
                <w:lang w:val="en-US" w:eastAsia="zh-CN" w:bidi="ar-SA"/>
              </w:rPr>
              <w:t>万只，</w:t>
            </w:r>
            <w:r>
              <w:rPr>
                <w:rFonts w:hint="eastAsia" w:ascii="Times New Roman" w:hAnsi="Times New Roman" w:eastAsia="仿宋" w:cs="Times New Roman"/>
                <w:snapToGrid w:val="false"/>
                <w:color w:val="000000"/>
                <w:spacing w:val="-6"/>
                <w:kern w:val="0"/>
                <w:sz w:val="21"/>
                <w:szCs w:val="21"/>
                <w:lang w:val="en-US" w:eastAsia="zh-CN" w:bidi="ar-SA"/>
              </w:rPr>
              <w:t>年出栏量稳定在2</w:t>
            </w:r>
            <w:r>
              <w:rPr>
                <w:rFonts w:ascii="Times New Roman" w:hAnsi="Times New Roman" w:eastAsia="仿宋" w:cs="Times New Roman"/>
                <w:snapToGrid w:val="false"/>
                <w:color w:val="000000"/>
                <w:spacing w:val="-6"/>
                <w:kern w:val="0"/>
                <w:sz w:val="21"/>
                <w:szCs w:val="21"/>
                <w:lang w:val="en-US" w:eastAsia="zh-CN" w:bidi="ar-SA"/>
              </w:rPr>
              <w:t>万只。</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6</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420" w:right="0" w:hanging="420" w:firstLineChars="-20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有序发展林下采集</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扩大林下采集规模至30万亩。在</w:t>
            </w:r>
            <w:r>
              <w:rPr>
                <w:rFonts w:ascii="Times New Roman" w:hAnsi="Times New Roman" w:eastAsia="仿宋" w:cs="Times New Roman"/>
                <w:color w:val="000000"/>
                <w:spacing w:val="-6"/>
                <w:sz w:val="21"/>
                <w:szCs w:val="21"/>
                <w:lang w:val="en-US" w:eastAsia="zh-CN"/>
              </w:rPr>
              <w:t>黄水镇、枫木镇</w:t>
            </w:r>
            <w:r>
              <w:rPr>
                <w:rFonts w:hint="eastAsia" w:ascii="Times New Roman" w:hAnsi="Times New Roman" w:eastAsia="仿宋" w:cs="Times New Roman"/>
                <w:color w:val="000000"/>
                <w:spacing w:val="-6"/>
                <w:sz w:val="21"/>
                <w:szCs w:val="21"/>
                <w:lang w:val="en-US" w:eastAsia="zh-CN"/>
              </w:rPr>
              <w:t>等重点发展野生菌采集，在</w:t>
            </w:r>
            <w:r>
              <w:rPr>
                <w:rFonts w:ascii="Times New Roman" w:hAnsi="Times New Roman" w:eastAsia="仿宋" w:cs="Times New Roman"/>
                <w:color w:val="000000"/>
                <w:spacing w:val="-6"/>
                <w:sz w:val="21"/>
                <w:szCs w:val="21"/>
                <w:lang w:val="en-US" w:eastAsia="zh-CN"/>
              </w:rPr>
              <w:t>沙子镇、</w:t>
            </w:r>
            <w:r>
              <w:rPr>
                <w:rFonts w:hint="eastAsia" w:ascii="Times New Roman" w:hAnsi="Times New Roman" w:eastAsia="仿宋" w:cs="Times New Roman"/>
                <w:color w:val="000000"/>
                <w:spacing w:val="-6"/>
                <w:sz w:val="21"/>
                <w:szCs w:val="21"/>
                <w:lang w:val="en-US" w:eastAsia="zh-CN"/>
              </w:rPr>
              <w:t>冷水镇等乡镇重点发展</w:t>
            </w:r>
            <w:r>
              <w:rPr>
                <w:rFonts w:ascii="Times New Roman" w:hAnsi="Times New Roman" w:eastAsia="仿宋" w:cs="Times New Roman"/>
                <w:color w:val="000000"/>
                <w:spacing w:val="-6"/>
                <w:sz w:val="21"/>
                <w:szCs w:val="21"/>
                <w:lang w:val="en-US" w:eastAsia="zh-CN"/>
              </w:rPr>
              <w:t>蕨菜、香椿、鱼腥草等</w:t>
            </w:r>
            <w:r>
              <w:rPr>
                <w:rFonts w:hint="eastAsia" w:ascii="Times New Roman" w:hAnsi="Times New Roman" w:eastAsia="仿宋" w:cs="Times New Roman"/>
                <w:color w:val="000000"/>
                <w:spacing w:val="-6"/>
                <w:sz w:val="21"/>
                <w:szCs w:val="21"/>
                <w:lang w:val="en-US" w:eastAsia="zh-CN"/>
              </w:rPr>
              <w:t>野菜采集，在金铃镇、新乐镇、黄鹤镇等乡镇重点发展野生中药材采集。</w:t>
            </w:r>
          </w:p>
        </w:tc>
      </w:tr>
    </w:tbl>
    <w:p>
      <w:pPr>
        <w:pStyle w:val="000007"/>
        <w:keepNext/>
        <w:keepLines/>
        <w:pageBreakBefore w:val="false"/>
        <w:widowControl w:val="false"/>
        <w:numPr>
          <w:ilvl w:val="0"/>
          <w:numId w:val="2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建设高标准林下经济示范基地</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通过分类布局特色示范基地、强化多元功能与辐射带动，系统推进林下经济高质量发展。聚焦黄连、黄精、中蜂等优势产业，建成3个兼具技术推广、人才培训、品牌展示功能的高标准林下经济示范基地联合科研院校搭建技术研发推广平台，攻关林下种养殖技术并转化为实用技术赋能农户；邀请专家、技术能手开展现场培训，提升经营主体技术与管理能力；打造产品展示区，举办观摩会、品鉴会等活动，打响“石柱林下经济”品牌影响力。以示范基地为核心，通过“基地+农户”“基地+合作社+农户”“场村”等模式辐射带动周边农户，提供种苗、技术指导、产品收购等全链条服务，破解生产销售难题；引导农户参与基地管理、学习标准化技术，培育一批发展积极性较高的种养大户，推动区域林下经济规范化、规模化发展；建立紧密型利益联结机制，实现基地与农户共享成果、企业增效与农户增收的双赢。</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7747"/>
      </w:tblGrid>
      <w:tr>
        <w:trPr>
          <w:wBefore/>
          <w:trHeight w:val="359" w:hRule="atLeast"/>
          <w:tblHeader/>
          <w:tblCellSpacing w:w="28" w:type="dxa"/>
        </w:trPr>
        <w:tc>
          <w:tcPr>
            <w:tcW w:w="8654" w:type="dxa"/>
            <w:gridSpan w:val="2"/>
            <w:shd w:val="clear" w:color="auto" w:fill="d7d7d7"/>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color w:val="000000"/>
                <w:spacing w:val="-6"/>
                <w:sz w:val="21"/>
                <w:szCs w:val="21"/>
                <w:lang w:val="en-US" w:eastAsia="zh-CN"/>
              </w:rPr>
            </w:pPr>
            <w:r>
              <w:rPr>
                <w:rFonts w:hint="eastAsia" w:ascii="黑体" w:hAnsi="黑体" w:eastAsia="黑体" w:cs="黑体"/>
                <w:b w:val="false"/>
                <w:bCs w:val="false"/>
                <w:i w:val="false"/>
                <w:iCs w:val="false"/>
                <w:caps w:val="false"/>
                <w:color w:val="000000"/>
                <w:spacing w:val="0"/>
                <w:kern w:val="0"/>
                <w:sz w:val="21"/>
                <w:szCs w:val="21"/>
                <w:lang w:val="en-US" w:eastAsia="zh-CN" w:bidi="ar"/>
              </w:rPr>
              <w:t>专栏4.2.2示范基地及种养大户发展重点</w:t>
            </w:r>
          </w:p>
        </w:tc>
      </w:tr>
      <w:tr>
        <w:trPr>
          <w:wBefore/>
          <w:trHeight w:val="267" w:hRule="atLeast"/>
          <w:tblCellSpacing w:w="28" w:type="dxa"/>
        </w:trPr>
        <w:tc>
          <w:tcPr>
            <w:tcW w:w="90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ascii="黑体" w:hAnsi="黑体" w:eastAsia="黑体" w:cs="黑体"/>
                <w:b w:val="false"/>
                <w:bCs w:val="false"/>
                <w:i w:val="false"/>
                <w:iCs w:val="false"/>
                <w:caps w:val="false"/>
                <w:color w:val="000000"/>
                <w:spacing w:val="0"/>
                <w:kern w:val="0"/>
                <w:sz w:val="21"/>
                <w:szCs w:val="21"/>
                <w:lang w:val="en-US" w:eastAsia="zh-CN" w:bidi="ar"/>
              </w:rPr>
              <w:t>序号</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ascii="黑体" w:hAnsi="黑体" w:eastAsia="黑体" w:cs="黑体"/>
                <w:b w:val="false"/>
                <w:bCs w:val="false"/>
                <w:i w:val="false"/>
                <w:iCs w:val="false"/>
                <w:caps w:val="false"/>
                <w:color w:val="000000"/>
                <w:spacing w:val="0"/>
                <w:kern w:val="0"/>
                <w:sz w:val="21"/>
                <w:szCs w:val="21"/>
                <w:lang w:val="en-US" w:eastAsia="zh-CN" w:bidi="ar"/>
              </w:rPr>
              <w:t>建设内容</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1</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420" w:right="0" w:hanging="420" w:firstLineChars="-20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建设高标准林下经济示范基地</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在七曜山区域打造林连互利共生示范基地，在中益乡建设林蜂生态养殖示范基地，在黄水镇打造林菌套种示范基地。</w:t>
            </w:r>
          </w:p>
        </w:tc>
      </w:tr>
      <w:tr>
        <w:trPr>
          <w:wBefore/>
          <w:trHeight w:val="906"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2</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420" w:right="0" w:hanging="420" w:firstLineChars="-200"/>
              <w:jc w:val="left"/>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培育林下种养大户</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eastAsia="宋体"/>
                <w:color w:val="000000"/>
                <w:lang w:val="en-US" w:eastAsia="zh-CN"/>
              </w:rPr>
            </w:pPr>
            <w:r>
              <w:rPr>
                <w:rFonts w:hint="eastAsia" w:ascii="Times New Roman" w:hAnsi="Times New Roman" w:eastAsia="仿宋" w:cs="Times New Roman"/>
                <w:color w:val="000000"/>
                <w:spacing w:val="-6"/>
                <w:sz w:val="21"/>
                <w:szCs w:val="21"/>
                <w:lang w:val="en-US" w:eastAsia="zh-CN"/>
              </w:rPr>
              <w:t>累计培育规范化、规模化林下种养大户</w:t>
            </w:r>
            <w:r>
              <w:rPr>
                <w:rFonts w:ascii="Times New Roman" w:hAnsi="Times New Roman" w:eastAsia="仿宋" w:cs="Times New Roman"/>
                <w:color w:val="000000"/>
                <w:spacing w:val="-6"/>
                <w:sz w:val="21"/>
                <w:szCs w:val="21"/>
                <w:lang w:val="en-US" w:eastAsia="zh-CN"/>
              </w:rPr>
              <w:t>240家</w:t>
            </w:r>
            <w:r>
              <w:rPr>
                <w:rFonts w:hint="eastAsia" w:ascii="Times New Roman" w:hAnsi="Times New Roman" w:eastAsia="仿宋" w:cs="Times New Roman"/>
                <w:color w:val="000000"/>
                <w:spacing w:val="-6"/>
                <w:sz w:val="21"/>
                <w:szCs w:val="21"/>
                <w:lang w:val="en-US" w:eastAsia="zh-CN"/>
              </w:rPr>
              <w:t>，其中黄连大户70家、其他林药30家、林菌大户20家、林蜂大户110家、林禽林畜大户10家。</w:t>
            </w:r>
          </w:p>
        </w:tc>
      </w:tr>
    </w:tbl>
    <w:p>
      <w:pPr>
        <w:pStyle w:val="000007"/>
        <w:keepNext/>
        <w:keepLines/>
        <w:pageBreakBefore w:val="false"/>
        <w:widowControl w:val="false"/>
        <w:numPr>
          <w:ilvl w:val="0"/>
          <w:numId w:val="2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延链拓值构建加工增值体系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构建全链条林下经济加工产业体系为核心，通过产地加工标准化升级、精深加工集群壮大、产业融合多元发展三大路径协同推进，推动中药材产业向规范化、高附加值、跨界融合方向升级，打造“加工提质+价值提升+业态赋能”的产业发展新格局。</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推进产地加工标准化升级。</w:t>
      </w:r>
      <w:r>
        <w:rPr>
          <w:rFonts w:hint="eastAsia" w:ascii="Times New Roman" w:hAnsi="Times New Roman" w:eastAsia="仿宋" w:cs="Times New Roman"/>
          <w:color w:val="000000"/>
          <w:spacing w:val="-6"/>
          <w:sz w:val="28"/>
          <w:szCs w:val="28"/>
          <w:lang w:val="en-US" w:eastAsia="zh-CN"/>
        </w:rPr>
        <w:t>支持石柱太极数智中药公司、泰尔森制药公司、旺隆黄连、同和春药业、中村农产品等龙头企业开展加工技能改造，加快中药材产地加工（趁鲜切制）产业化进程。聚焦黄连核心产业，支持龙头企业升级产地加工工艺与设施，推广趁鲜切制，建设标准化生产线；统筹布局标准化、共享式产地加工中心，配套一体化加工生产线，保障黄精、天麻等林药优质原料供应；协同发展食用菌初加工与精深加工，并通过菌渣资源化利用形成“种植－出菇-菌渣-还林”的绿色闭环。推动《重庆市中药材产地加工（趁鲜切制）龙头企业选办法》出台落地，力争培育以黄连为代表的中药材产地加工（趁鲜切制）龙头企业5家以上，构建规模化、标准化的产地加工体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壮大精深加工产业集群。</w:t>
      </w:r>
      <w:r>
        <w:rPr>
          <w:rFonts w:hint="eastAsia" w:ascii="Times New Roman" w:hAnsi="Times New Roman" w:eastAsia="仿宋" w:cs="Times New Roman"/>
          <w:color w:val="000000"/>
          <w:spacing w:val="-6"/>
          <w:sz w:val="28"/>
          <w:szCs w:val="28"/>
          <w:lang w:val="en-US" w:eastAsia="zh-CN"/>
        </w:rPr>
        <w:t>盘活中药材闲置资源资产，打造以国药太极、泰尔森制药公司、同和春药业、升升药业、果本生物等企业为核心的“中药材精深加工产业园”，聚焦高附加值中药产品研发与生产。大力发展以黄连为原料的中成药、院内制剂及大健康产品，推动产业向价值链高端延伸；打造蜂蜜精深加工业集群，开发黄连蜜、黄精蜜、百花蜜等特色蜂产品，丰富产品与包装类型，提高产品档次，培育2个产品精深加工龙头企业，完善蜜蜂繁育基地生产功能，提升蜂蜜加工厂生产能力，引导开发高附加值蜂产品、高端蜂蜜饮品、养生保健食品、美容美体用品等，促进蜂产品及制品多样化，打造市级蜂业产业园区。</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深化产业融合多元发展。</w:t>
      </w:r>
      <w:r>
        <w:rPr>
          <w:rFonts w:hint="eastAsia" w:ascii="Times New Roman" w:hAnsi="Times New Roman" w:eastAsia="仿宋" w:cs="Times New Roman"/>
          <w:color w:val="000000"/>
          <w:spacing w:val="-6"/>
          <w:sz w:val="28"/>
          <w:szCs w:val="28"/>
          <w:lang w:val="en-US" w:eastAsia="zh-CN"/>
        </w:rPr>
        <w:t>依托黄水国家级旅游度假区平台，将林下中药材产业与生态旅游深度融合，开发黄连、黄精等药材主题旅游线路，通过文化体验活动强化品牌认知。支持龙头企业建设林下中药材文化特色观光、体验、养生、研学基地，推动林下中药材产业与文化、旅游产业跨界融合，构建“林旅结合、文旅赋能”的多元发展模式。</w:t>
      </w:r>
    </w:p>
    <w:p>
      <w:pPr>
        <w:pStyle w:val="000007"/>
        <w:keepNext/>
        <w:keepLines/>
        <w:pageBreakBefore w:val="false"/>
        <w:widowControl w:val="false"/>
        <w:numPr>
          <w:ilvl w:val="0"/>
          <w:numId w:val="2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引育并举壮大市场经营主体</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构建“本土培育+外部引进”双轮驱动的企业发展格局为核心，通过精准培育本土企业梯队、大力招引优质龙头企业，打造龙头引领、集群发展的中医药产业生态，全面提升石柱林下经济产业的核心竞争力与市场影响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培育本土企业梯队。</w:t>
      </w:r>
      <w:r>
        <w:rPr>
          <w:rFonts w:hint="eastAsia" w:ascii="Times New Roman" w:hAnsi="Times New Roman" w:eastAsia="仿宋" w:cs="Times New Roman"/>
          <w:color w:val="000000"/>
          <w:spacing w:val="-6"/>
          <w:sz w:val="28"/>
          <w:szCs w:val="28"/>
          <w:lang w:val="en-US" w:eastAsia="zh-CN"/>
        </w:rPr>
        <w:t>开展国家、市、县三级农业产业化龙头企业梯次培育，实施“一企一策”精准培育计划，重点扶持辖区内成长型企业发展壮大，推动其晋升为县级及以上龙头企业；同时支持康泽中药材、远江黄连等现有加工企业开展技术改造与产能扩张，推动企业提质增效、升规入统，夯实林下经济产业发展根基。</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招引优质企业集群。</w:t>
      </w:r>
      <w:r>
        <w:rPr>
          <w:rFonts w:hint="eastAsia" w:ascii="Times New Roman" w:hAnsi="Times New Roman" w:eastAsia="仿宋" w:cs="Times New Roman"/>
          <w:color w:val="000000"/>
          <w:spacing w:val="-6"/>
          <w:sz w:val="28"/>
          <w:szCs w:val="28"/>
          <w:lang w:val="en-US" w:eastAsia="zh-CN"/>
        </w:rPr>
        <w:t>强化中药材产业链精准招商，梳理上下游产业链，完善产业链图谱和招商地图，构建目标企业库；以精深加工、医药康养企业为重点，瞄准行业领军企业、“专精特新”企业，招引一批链主企业，谋划落实一批标志性引领性项目；积极推动与国药太极集团、九州通医药集团等龙头企业合作项目落地，加快招引中国医药集团、广药集团、华润医药集团、北京同仁堂股份有限公司、山东步长制药股份有限公司、黑龙江珍宝岛药业股份有限公司、温州海鹤药业有限公司等国内知名药企，落地石柱开展中药材精深加工，助力打造中医药产业集群；切实抓好蜂产品龙头企业扶持，引进国内外大型企业参与全县蜜蜂产业链建设，引进先进生产线设备，提高蜂蜜等蜂产品的生产效率和质量；鼓励本地企业与引进企业开展合作，整合资源形成产业合力，提升蜂产品市场知名度和占有率。</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7768"/>
      </w:tblGrid>
      <w:tr>
        <w:trPr>
          <w:wBefore/>
          <w:trHeight w:val="90" w:hRule="atLeast"/>
          <w:tblHeader/>
          <w:tblCellSpacing w:w="28" w:type="dxa"/>
        </w:trPr>
        <w:tc>
          <w:tcPr>
            <w:tcW w:w="8659"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4.2.3</w:t>
            </w:r>
            <w:r>
              <w:rPr>
                <w:rFonts w:hint="eastAsia" w:ascii="黑体" w:hAnsi="黑体" w:eastAsia="黑体" w:cs="黑体"/>
                <w:b w:val="false"/>
                <w:bCs w:val="false"/>
                <w:i w:val="false"/>
                <w:iCs w:val="false"/>
                <w:caps w:val="false"/>
                <w:color w:val="000000"/>
                <w:spacing w:val="0"/>
                <w:kern w:val="0"/>
                <w:sz w:val="21"/>
                <w:szCs w:val="21"/>
                <w:lang w:val="en-US" w:eastAsia="zh-CN" w:bidi="ar"/>
              </w:rPr>
              <w:t>本地药企培育与知名药企引进</w:t>
            </w:r>
          </w:p>
        </w:tc>
      </w:tr>
      <w:tr>
        <w:trPr>
          <w:wBefore/>
          <w:trHeight w:val="267" w:hRule="atLeas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hint="eastAsia"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序号</w:t>
            </w:r>
          </w:p>
        </w:tc>
        <w:tc>
          <w:tcPr>
            <w:tcW w:w="7768"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hint="eastAsia" w:ascii="黑体" w:hAnsi="黑体" w:eastAsia="黑体" w:cs="黑体"/>
                <w:b w:val="false"/>
                <w:bCs w:val="false"/>
                <w:i w:val="false"/>
                <w:iCs w:val="false"/>
                <w:caps w:val="false"/>
                <w:color w:val="000000"/>
                <w:spacing w:val="0"/>
                <w:kern w:val="0"/>
                <w:sz w:val="21"/>
                <w:szCs w:val="21"/>
                <w:lang w:val="en-US" w:eastAsia="zh-CN" w:bidi="ar"/>
              </w:rPr>
              <w:t>企业名录</w:t>
            </w:r>
          </w:p>
        </w:tc>
      </w:tr>
      <w:tr>
        <w:trPr>
          <w:wBefore/>
          <w:trHeight w:val="346" w:hRule="atLeas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1</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eastAsia="黑体" w:cs="Times New Roman"/>
                <w:b w:val="false"/>
                <w:bCs w:val="false"/>
                <w:i w:val="false"/>
                <w:iCs w:val="false"/>
                <w:caps w:val="false"/>
                <w:color w:val="000000"/>
                <w:spacing w:val="0"/>
                <w:kern w:val="0"/>
                <w:sz w:val="21"/>
                <w:szCs w:val="21"/>
                <w:lang w:val="en-US" w:eastAsia="zh-CN" w:bidi="ar"/>
              </w:rPr>
              <w:t>拟培育县级龙头企业</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重庆道和农业科技有限公司、福林堂健康中益（重庆）药业有限公司、石柱土家族自治县远江黄连购销有限公司。</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拟</w:t>
            </w:r>
            <w:r>
              <w:rPr>
                <w:rFonts w:hint="eastAsia" w:ascii="Arial" w:hAnsi="Arial" w:eastAsia="黑体" w:cs="Times New Roman"/>
                <w:b w:val="false"/>
                <w:bCs w:val="false"/>
                <w:i w:val="false"/>
                <w:iCs w:val="false"/>
                <w:caps w:val="false"/>
                <w:color w:val="000000"/>
                <w:spacing w:val="0"/>
                <w:kern w:val="0"/>
                <w:sz w:val="21"/>
                <w:szCs w:val="21"/>
                <w:lang w:val="en-US" w:eastAsia="zh-CN" w:bidi="ar"/>
              </w:rPr>
              <w:t>培育</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市级龙头企业</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重庆中村农产品有限公司、重庆太极数智中药有限公司。</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拟培育链主企业</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重庆升升药业有限公司、重庆同和春药业有限责任公司、重庆汉广中药材初加工有限公司、石柱土家族自治县华伟黄连购销有限公司、重庆旺隆黄连科技有限公司、石柱土家族自治县月和中药材贸易商行、重庆泰尔森制药有限公司、重庆硒旺华宝有限公司。</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拟</w:t>
            </w:r>
            <w:r>
              <w:rPr>
                <w:rFonts w:hint="eastAsia" w:ascii="Arial" w:hAnsi="Arial" w:eastAsia="黑体" w:cs="Times New Roman"/>
                <w:b w:val="false"/>
                <w:bCs w:val="false"/>
                <w:i w:val="false"/>
                <w:iCs w:val="false"/>
                <w:caps w:val="false"/>
                <w:color w:val="000000"/>
                <w:spacing w:val="0"/>
                <w:kern w:val="0"/>
                <w:sz w:val="21"/>
                <w:szCs w:val="21"/>
                <w:lang w:val="en-US" w:eastAsia="zh-CN" w:bidi="ar"/>
              </w:rPr>
              <w:t>培育</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规上企业</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ascii="Times New Roman" w:hAnsi="Times New Roman" w:eastAsia="仿宋" w:cs="Times New Roman"/>
                <w:color w:val="000000"/>
                <w:spacing w:val="-6"/>
                <w:sz w:val="21"/>
                <w:szCs w:val="21"/>
                <w:lang w:val="en-US" w:eastAsia="zh-CN"/>
              </w:rPr>
              <w:t>石柱土家族自治县远江黄连购销有限公司、石柱县康泽中药材专业合作社</w:t>
            </w:r>
          </w:p>
        </w:tc>
      </w:tr>
      <w:tr>
        <w:trPr>
          <w:wBefore/>
          <w:trHeight/>
          <w:tblCellSpacing w:w="28" w:type="dxa"/>
        </w:trPr>
        <w:tc>
          <w:tcPr>
            <w:tcW w:w="891"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pPr>
            <w:r>
              <w:rPr>
                <w:rFonts w:ascii="Times New Roman" w:hAnsi="Times New Roman" w:eastAsia="方正仿宋_GB2312" w:cs="Times New Roman"/>
                <w:b w:val="false"/>
                <w:bCs w:val="false"/>
                <w:i w:val="false"/>
                <w:iCs w:val="false"/>
                <w:caps w:val="false"/>
                <w:color w:val="000000"/>
                <w:spacing w:val="0"/>
                <w:kern w:val="0"/>
                <w:sz w:val="21"/>
                <w:szCs w:val="21"/>
                <w:lang w:val="en-US" w:eastAsia="zh-CN" w:bidi="ar"/>
              </w:rPr>
              <w:t>2</w:t>
            </w:r>
          </w:p>
        </w:tc>
        <w:tc>
          <w:tcPr>
            <w:tcW w:w="7768"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hint="eastAsia" w:eastAsia="黑体" w:cs="Times New Roman"/>
                <w:b w:val="false"/>
                <w:bCs w:val="false"/>
                <w:i w:val="false"/>
                <w:iCs w:val="false"/>
                <w:caps w:val="false"/>
                <w:color w:val="000000"/>
                <w:spacing w:val="0"/>
                <w:kern w:val="0"/>
                <w:sz w:val="21"/>
                <w:szCs w:val="21"/>
                <w:lang w:val="en-US" w:eastAsia="zh-CN" w:bidi="ar"/>
              </w:rPr>
              <w:t>拟引进知名药企</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both"/>
              <w:rPr>
                <w:rFonts w:ascii="Times New Roman" w:hAnsi="Times New Roman" w:cs="Times New Roman"/>
                <w:color w:val="000000"/>
                <w:sz w:val="21"/>
                <w:szCs w:val="21"/>
                <w:lang w:val="en-US" w:eastAsia="zh-CN"/>
              </w:rPr>
            </w:pPr>
            <w:r>
              <w:rPr>
                <w:rFonts w:hint="eastAsia" w:ascii="Times New Roman" w:hAnsi="Times New Roman" w:eastAsia="仿宋" w:cs="Times New Roman"/>
                <w:color w:val="000000"/>
                <w:spacing w:val="-6"/>
                <w:sz w:val="21"/>
                <w:szCs w:val="21"/>
                <w:lang w:val="en-US" w:eastAsia="zh-CN"/>
              </w:rPr>
              <w:t>重庆登康口腔护理有限公司、黑龙江珍宝岛药业股份有限公司、中国医药集团、温州海鹤药业有限公司、广州美果生物科技有限公司、成都泰合（沛华）置业公司、山东步长制药股份有限公司、广药集团、华润医药集团、北京同仁堂股份有限公司。</w:t>
            </w:r>
          </w:p>
        </w:tc>
      </w:tr>
    </w:tbl>
    <w:p>
      <w:pPr>
        <w:pStyle w:val="000007"/>
        <w:keepNext/>
        <w:keepLines/>
        <w:pageBreakBefore w:val="false"/>
        <w:widowControl w:val="false"/>
        <w:numPr>
          <w:ilvl w:val="0"/>
          <w:numId w:val="20"/>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创新赋能激活产业发展动能</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构建“科技创新+品牌塑造+机制优化”三位一体的产业赋能体系为核心，通过技术攻关与平台搭建筑牢产业发展根基、品牌创建与宣传推广提升市场核心竞争力、利益联结与数字监管保障可持续发展，全方位推动石柱林下中药材产业向高质量、现代化、品牌化方向升级。</w:t>
      </w:r>
    </w:p>
    <w:p>
      <w:pPr>
        <w:pStyle w:val="000001"/>
        <w:keepNext w:val="false"/>
        <w:keepLines w:val="false"/>
        <w:pageBreakBefore w:val="false"/>
        <w:widowControl/>
        <w:kinsoku/>
        <w:wordWrap/>
        <w:overflowPunct/>
        <w:topLinePunct w:val="false"/>
        <w:autoSpaceDE w:val="false"/>
        <w:autoSpaceDN w:val="false"/>
        <w:bidi w:val="false"/>
        <w:spacing w:line="560" w:lineRule="exact"/>
        <w:ind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科技创新赋能产业核心竞争力。</w:t>
      </w:r>
      <w:r>
        <w:rPr>
          <w:rFonts w:hint="eastAsia" w:ascii="Times New Roman" w:hAnsi="Times New Roman" w:eastAsia="仿宋" w:cs="Times New Roman"/>
          <w:color w:val="000000"/>
          <w:spacing w:val="-6"/>
          <w:sz w:val="28"/>
          <w:szCs w:val="28"/>
          <w:lang w:val="en-US" w:eastAsia="zh-CN"/>
        </w:rPr>
        <w:t>通过构建“产学研用”深度融合的创新体系，全方位提升产业科技附加值与市场竞争力。在科技创新层面，构建“产学研用”深度融合的创新体系，一方面对接顶尖科研资源，依托院士团队及科研院校聚焦种植技术革新、产品研发升级等关键领域攻关，推进林下经济产品研发及日用品转化，同时落地多层次科研载体，建成石柱县黄连科研中心，规范运营黄连创新产业研究院，推动成立中国中药协会黄连专业委员会、做实重庆市黄连技术与产业发展创新中心并组建专家智库；另一方面建立多部门联合攻关机制，开展黄连有效成分解析、病害防治及机械化收割装备研发等技术攻关，深化产品转化，研发黄连院内制剂、中成药大品种，推动黄连花与黄连纳入食药物质目录，开发“黄连花茶”、功能性食品及日化产品。此外，建设“黄连产业大脑”贯通全链条，构建可视化监管系统与综合服务平台，指导国药太极集团打造“4G一码一中心一平台”实现质量追溯，配套CNAS标准检验检测中心，打造“产业大脑+未来工厂”融合的三产融通样板。</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品牌创新赋能市场影响力提升。</w:t>
      </w:r>
      <w:r>
        <w:rPr>
          <w:rFonts w:hint="eastAsia" w:ascii="Times New Roman" w:hAnsi="Times New Roman" w:eastAsia="仿宋" w:cs="Times New Roman"/>
          <w:color w:val="000000"/>
          <w:spacing w:val="-6"/>
          <w:sz w:val="28"/>
          <w:szCs w:val="28"/>
          <w:lang w:val="en-US" w:eastAsia="zh-CN"/>
        </w:rPr>
        <w:t>一方面全力打造核心公共品牌，依托石柱黄连的产业优势，深度挖掘“石柱黄连生产系统”资源价值，积极申报国家级非物质文化遗产、全球重要农业文化遗产，以品牌认证推动产业规模扩张与效应提升，塑造具有核心竞争力的区域公共品牌；另一方面开展全渠道品牌传播，举办中国·重庆（石柱）黄连产业高质量发展大会、中药材产销对接会等行业活动，联动央视及互联网主流媒体，围绕“石柱黄连”“石柱黄精”“石柱中蜂蜜”等进行多层次、立体化宣传推广，全面提升品牌知名度与市场认可度。</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机制创新赋能可持续发展保障。</w:t>
      </w:r>
      <w:r>
        <w:rPr>
          <w:rFonts w:hint="eastAsia" w:ascii="仿宋" w:hAnsi="仿宋" w:eastAsia="仿宋" w:cs="仿宋"/>
          <w:color w:val="000000"/>
          <w:spacing w:val="-6"/>
          <w:sz w:val="28"/>
          <w:szCs w:val="28"/>
          <w:lang w:val="en-US" w:eastAsia="zh-CN"/>
        </w:rPr>
        <w:t>一方面创新联农</w:t>
      </w:r>
      <w:r>
        <w:rPr>
          <w:rFonts w:hint="eastAsia" w:ascii="Times New Roman" w:hAnsi="Times New Roman" w:eastAsia="仿宋" w:cs="Times New Roman"/>
          <w:color w:val="000000"/>
          <w:spacing w:val="-6"/>
          <w:sz w:val="28"/>
          <w:szCs w:val="28"/>
          <w:lang w:val="en-US" w:eastAsia="zh-CN"/>
        </w:rPr>
        <w:t>带农利益模式，推广“合作社+基地+农户”模式发展订单农业，探索“三包”联动、反租联包、合股联营、资本联投等多元利益联结机制，实现产业增效与农户增收双赢；另一方面借助“黄连产业大脑”及“4G一码一中心一平台”，构建覆盖种植、管理、加工、仓储、物流、销售全链条的可视化监管系统，实现各环节数据实时采集与质量全程追溯，全面提升产品市场公信力。</w:t>
      </w:r>
    </w:p>
    <w:bookmarkStart w:id="138" w:name="_Toc5654"/>
    <w:bookmarkStart w:id="139" w:name="_Toc9319"/>
    <w:p>
      <w:pPr>
        <w:pStyle w:val="000006"/>
        <w:keepNext/>
        <w:keepLines/>
        <w:pageBreakBefore w:val="false"/>
        <w:widowControl w:val="false"/>
        <w:numPr>
          <w:ilvl w:val="0"/>
          <w:numId w:val="18"/>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做深做细木材加工</w:t>
      </w:r>
      <w:bookmarkEnd w:id="130"/>
      <w:bookmarkEnd w:id="131"/>
      <w:bookmarkEnd w:id="132"/>
      <w:bookmarkEnd w:id="138"/>
      <w:r>
        <w:rPr>
          <w:rFonts w:hint="eastAsia" w:ascii="方正楷体_GBK" w:hAnsi="方正楷体_GBK" w:eastAsia="方正楷体_GBK" w:cs="方正楷体_GBK"/>
          <w:b/>
          <w:bCs/>
          <w:snapToGrid/>
          <w:color w:val="000000"/>
          <w:sz w:val="36"/>
          <w:szCs w:val="36"/>
          <w:lang w:val="en-US" w:eastAsia="zh-CN"/>
        </w:rPr>
        <w:t>产业</w:t>
      </w:r>
      <w:bookmarkEnd w:id="139"/>
    </w:p>
    <w:bookmarkStart w:id="140" w:name="_Toc13760"/>
    <w:bookmarkStart w:id="141" w:name="_Toc20450"/>
    <w:bookmarkStart w:id="142" w:name="_Toc15655"/>
    <w:bookmarkStart w:id="143" w:name="_Toc25639"/>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依托国家储备林项目建设，大力培育乡土珍贵树种用材林与大径级用材林，强化木材战略储备与自给保障能力。聚焦木制品工业园区能级提升、木材产业“三链”协同发展两大核心任务，推动木材加工产业提档升级、提质增效。到2030年，全县人造板年产能突破17万立方米，木材培育与加工制造产值达12亿元以上；到2035年，人造板年产能提升至19万立方米以上，木材培育与加工制造产值突破14亿元，建成链条完整、协同高效的“林木—板材—家具”特色产业体系。</w:t>
      </w:r>
    </w:p>
    <w:p>
      <w:pPr>
        <w:pStyle w:val="000007"/>
        <w:keepNext/>
        <w:keepLines/>
        <w:pageBreakBefore w:val="false"/>
        <w:widowControl w:val="false"/>
        <w:numPr>
          <w:ilvl w:val="0"/>
          <w:numId w:val="21"/>
        </w:numPr>
        <w:shd w:val="clear" w:color="auto" w:fill="auto"/>
        <w:tabs>
          <w:tab w:val="clear" w:pos="0"/>
        </w:tabs>
        <w:kinsoku/>
        <w:wordWrap/>
        <w:overflowPunct/>
        <w:topLinePunct w:val="false"/>
        <w:autoSpaceDE/>
        <w:autoSpaceDN/>
        <w:bidi w:val="false"/>
        <w:spacing w:before="0" w:beforeAutospacing="false" w:after="0" w:afterAutospacing="false" w:line="560" w:lineRule="exact"/>
        <w:ind w:left="0" w:leftChars="0" w:firstLine="467" w:firstLineChars="150"/>
        <w:rPr>
          <w:rFonts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增强木材储备生产能力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提高森林质量与培育优质林木为目标，利用人工商品林地，通过集约人工林栽培、现有林改培、森林抚育等措施，建设国家储备林50万亩。利用政策性资金支持，积极引进央企、国企、民企参与建设，推广“国有林场+企业+农户”集约化经营模式。针对松材线虫病疫情林区开展带状改培，重点培育楠木、鹅掌楸、银杏等长周期乡土珍贵树种用材林与檫木、水杉、枫香、木荷等中长周期一般树种用材林，定向培育杉木、马尾松等速生丰产林，配套建设遥感监测、物联网等智能管护系统，探索林木“身份证”数字化管理，智能化、精准化提高木材品质。推进病虫害防治、林间道路建设、林地水源设施建设、森林防火设施配套、采伐迹地生态修复等项目建设，进一步增强木材储备与供应能力，夯实林草产业发展基础。</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
        <w:gridCol w:w="7747"/>
      </w:tblGrid>
      <w:tr>
        <w:trPr>
          <w:wBefore/>
          <w:trHeight w:val="359" w:hRule="atLeast"/>
          <w:tblHeader/>
          <w:tblCellSpacing w:w="28" w:type="dxa"/>
        </w:trPr>
        <w:tc>
          <w:tcPr>
            <w:tcW w:w="8654" w:type="dxa"/>
            <w:gridSpan w:val="2"/>
            <w:shd w:val="clear" w:color="auto" w:fill="d7d7d7"/>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专栏4.3.1 木材储备生产能力发展任务</w:t>
            </w:r>
          </w:p>
        </w:tc>
      </w:tr>
      <w:tr>
        <w:trPr>
          <w:wBefore/>
          <w:trHeight w:val="327" w:hRule="atLeast"/>
          <w:tblCellSpacing w:w="28" w:type="dxa"/>
        </w:trPr>
        <w:tc>
          <w:tcPr>
            <w:tcW w:w="90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ascii="黑体" w:hAnsi="黑体" w:eastAsia="黑体" w:cs="黑体"/>
                <w:b w:val="false"/>
                <w:bCs w:val="false"/>
                <w:i w:val="false"/>
                <w:iCs w:val="false"/>
                <w:caps w:val="false"/>
                <w:color w:val="000000"/>
                <w:spacing w:val="0"/>
                <w:kern w:val="0"/>
                <w:sz w:val="21"/>
                <w:szCs w:val="21"/>
                <w:lang w:val="en-US" w:eastAsia="zh-CN" w:bidi="ar"/>
              </w:rPr>
              <w:t>序号</w:t>
            </w:r>
          </w:p>
        </w:tc>
        <w:tc>
          <w:tcPr>
            <w:tcW w:w="774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jc w:val="center"/>
              <w:rPr>
                <w:rFonts w:ascii="黑体" w:hAnsi="黑体" w:eastAsia="黑体" w:cs="黑体"/>
                <w:b w:val="false"/>
                <w:bCs w:val="false"/>
                <w:i w:val="false"/>
                <w:iCs w:val="false"/>
                <w:caps w:val="false"/>
                <w:color w:val="000000"/>
                <w:spacing w:val="0"/>
                <w:kern w:val="0"/>
                <w:sz w:val="21"/>
                <w:szCs w:val="21"/>
                <w:lang w:val="en-US" w:eastAsia="zh-CN" w:bidi="ar"/>
              </w:rPr>
            </w:pPr>
            <w:r>
              <w:rPr>
                <w:rFonts w:ascii="黑体" w:hAnsi="黑体" w:eastAsia="黑体" w:cs="黑体"/>
                <w:b w:val="false"/>
                <w:bCs w:val="false"/>
                <w:i w:val="false"/>
                <w:iCs w:val="false"/>
                <w:caps w:val="false"/>
                <w:color w:val="000000"/>
                <w:spacing w:val="0"/>
                <w:kern w:val="0"/>
                <w:sz w:val="21"/>
                <w:szCs w:val="21"/>
                <w:lang w:val="en-US" w:eastAsia="zh-CN" w:bidi="ar"/>
              </w:rPr>
              <w:t>建设内容</w:t>
            </w:r>
          </w:p>
        </w:tc>
      </w:tr>
      <w:tr>
        <w:trPr>
          <w:wBefore/>
          <w:trHeight w:val="588" w:hRule="atLeast"/>
          <w:tblCellSpacing w:w="28" w:type="dxa"/>
        </w:trPr>
        <w:tc>
          <w:tcPr>
            <w:tcW w:w="907" w:type="dxa"/>
            <w:textDirection w:val="lrTb"/>
            <w:vAlign w:val="center"/>
          </w:tcPr>
          <w:p>
            <w:pPr>
              <w:pStyle w:val="000001"/>
              <w:pageBreakBefore w:val="false"/>
              <w:widowControl w:val="false"/>
              <w:kinsoku/>
              <w:wordWrap/>
              <w:overflowPunct/>
              <w:topLinePunct w:val="false"/>
              <w:bidi w:val="false"/>
              <w:spacing w:before="88" w:line="364" w:lineRule="exact"/>
              <w:ind/>
              <w:jc w:val="center"/>
              <w:rPr>
                <w:rFonts w:hint="eastAsia" w:ascii="仿宋" w:hAnsi="仿宋" w:eastAsia="仿宋" w:cs="仿宋"/>
                <w:color w:val="000000"/>
                <w:spacing w:val="7"/>
                <w:position w:val="1"/>
                <w:sz w:val="21"/>
                <w:szCs w:val="21"/>
                <w:lang w:val="en-US" w:eastAsia="zh-CN"/>
              </w:rPr>
            </w:pPr>
            <w:r>
              <w:rPr>
                <w:rFonts w:hint="eastAsia" w:ascii="仿宋" w:hAnsi="仿宋" w:eastAsia="仿宋" w:cs="仿宋"/>
                <w:color w:val="000000"/>
                <w:spacing w:val="7"/>
                <w:position w:val="1"/>
                <w:sz w:val="21"/>
                <w:szCs w:val="21"/>
                <w:lang w:val="en-US" w:eastAsia="zh-CN"/>
              </w:rPr>
              <w:t>1</w:t>
            </w:r>
          </w:p>
        </w:tc>
        <w:tc>
          <w:tcPr>
            <w:tcW w:w="774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both"/>
              <w:rPr>
                <w:rFonts w:ascii="Times New Roman" w:hAnsi="Times New Roman" w:eastAsia="黑体" w:cs="Times New Roman"/>
                <w:b w:val="false"/>
                <w:bCs w:val="false"/>
                <w:i w:val="false"/>
                <w:iCs w:val="false"/>
                <w:caps w:val="false"/>
                <w:color w:val="000000"/>
                <w:spacing w:val="0"/>
                <w:kern w:val="0"/>
                <w:sz w:val="21"/>
                <w:szCs w:val="21"/>
                <w:lang w:val="en-US" w:eastAsia="zh-CN" w:bidi="ar"/>
              </w:rPr>
            </w:pPr>
            <w:r>
              <w:rPr>
                <w:rFonts w:ascii="Times New Roman" w:hAnsi="Times New Roman" w:eastAsia="黑体" w:cs="Times New Roman"/>
                <w:b w:val="false"/>
                <w:bCs w:val="false"/>
                <w:i w:val="false"/>
                <w:iCs w:val="false"/>
                <w:caps w:val="false"/>
                <w:color w:val="000000"/>
                <w:spacing w:val="0"/>
                <w:kern w:val="0"/>
                <w:sz w:val="21"/>
                <w:szCs w:val="21"/>
                <w:lang w:val="en-US" w:eastAsia="zh-CN" w:bidi="ar"/>
              </w:rPr>
              <w:t>国家储备林建设</w:t>
            </w:r>
            <w:r>
              <w:rPr>
                <w:rFonts w:hint="eastAsia" w:ascii="Times New Roman" w:hAnsi="Times New Roman" w:eastAsia="黑体" w:cs="Times New Roman"/>
                <w:b w:val="false"/>
                <w:bCs w:val="false"/>
                <w:i w:val="false"/>
                <w:iCs w:val="false"/>
                <w:caps w:val="false"/>
                <w:color w:val="000000"/>
                <w:spacing w:val="0"/>
                <w:kern w:val="0"/>
                <w:sz w:val="21"/>
                <w:szCs w:val="21"/>
                <w:lang w:val="en-US" w:eastAsia="zh-CN" w:bidi="ar"/>
              </w:rPr>
              <w:t>项目</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黑体" w:cs="Times New Roman"/>
                <w:color w:val="000000"/>
                <w:spacing w:val="7"/>
                <w:position w:val="1"/>
                <w:sz w:val="21"/>
                <w:szCs w:val="21"/>
                <w:lang w:val="en-US" w:eastAsia="zh-CN"/>
              </w:rPr>
            </w:pPr>
            <w:r>
              <w:rPr>
                <w:rFonts w:hint="eastAsia" w:ascii="Times New Roman" w:hAnsi="Times New Roman" w:eastAsia="仿宋" w:cs="Times New Roman"/>
                <w:color w:val="000000"/>
                <w:spacing w:val="-6"/>
                <w:sz w:val="21"/>
                <w:szCs w:val="21"/>
                <w:lang w:val="en-US" w:eastAsia="zh-CN"/>
              </w:rPr>
              <w:t>在</w:t>
            </w:r>
            <w:r>
              <w:rPr>
                <w:rFonts w:ascii="Times New Roman" w:hAnsi="Times New Roman" w:eastAsia="仿宋" w:cs="Times New Roman"/>
                <w:color w:val="000000"/>
                <w:spacing w:val="-6"/>
                <w:sz w:val="21"/>
                <w:szCs w:val="21"/>
                <w:lang w:val="en-US" w:eastAsia="zh-CN"/>
              </w:rPr>
              <w:t>全县31个乡镇</w:t>
            </w:r>
            <w:r>
              <w:rPr>
                <w:rFonts w:hint="eastAsia" w:ascii="Times New Roman" w:hAnsi="Times New Roman" w:eastAsia="仿宋" w:cs="Times New Roman"/>
                <w:color w:val="000000"/>
                <w:spacing w:val="-6"/>
                <w:sz w:val="21"/>
                <w:szCs w:val="21"/>
                <w:lang w:val="en-US" w:eastAsia="zh-CN"/>
              </w:rPr>
              <w:t>建设国家储备林50万亩。其中</w:t>
            </w:r>
            <w:r>
              <w:rPr>
                <w:rFonts w:ascii="Times New Roman" w:hAnsi="Times New Roman" w:eastAsia="仿宋" w:cs="Times New Roman"/>
                <w:color w:val="000000"/>
                <w:spacing w:val="-6"/>
                <w:sz w:val="21"/>
                <w:szCs w:val="21"/>
                <w:lang w:val="en-US" w:eastAsia="zh-CN"/>
              </w:rPr>
              <w:t>集约人工林栽培1万亩，中幼林抚育</w:t>
            </w:r>
            <w:r>
              <w:rPr>
                <w:rFonts w:hint="eastAsia" w:ascii="Times New Roman" w:hAnsi="Times New Roman" w:eastAsia="仿宋" w:cs="Times New Roman"/>
                <w:color w:val="000000"/>
                <w:spacing w:val="-6"/>
                <w:sz w:val="21"/>
                <w:szCs w:val="21"/>
                <w:lang w:val="en-US" w:eastAsia="zh-CN"/>
              </w:rPr>
              <w:t>37</w:t>
            </w:r>
            <w:r>
              <w:rPr>
                <w:rFonts w:ascii="Times New Roman" w:hAnsi="Times New Roman" w:eastAsia="仿宋" w:cs="Times New Roman"/>
                <w:color w:val="000000"/>
                <w:spacing w:val="-6"/>
                <w:sz w:val="21"/>
                <w:szCs w:val="21"/>
                <w:lang w:val="en-US" w:eastAsia="zh-CN"/>
              </w:rPr>
              <w:t>万亩，现有林改培</w:t>
            </w:r>
            <w:r>
              <w:rPr>
                <w:rFonts w:hint="eastAsia" w:ascii="Times New Roman" w:hAnsi="Times New Roman" w:eastAsia="仿宋" w:cs="Times New Roman"/>
                <w:color w:val="000000"/>
                <w:spacing w:val="-6"/>
                <w:sz w:val="21"/>
                <w:szCs w:val="21"/>
                <w:lang w:val="en-US" w:eastAsia="zh-CN"/>
              </w:rPr>
              <w:t>12</w:t>
            </w:r>
            <w:r>
              <w:rPr>
                <w:rFonts w:ascii="Times New Roman" w:hAnsi="Times New Roman" w:eastAsia="仿宋" w:cs="Times New Roman"/>
                <w:color w:val="000000"/>
                <w:spacing w:val="-6"/>
                <w:sz w:val="21"/>
                <w:szCs w:val="21"/>
                <w:lang w:val="en-US" w:eastAsia="zh-CN"/>
              </w:rPr>
              <w:t>万亩。在七曜山生态屏障、方斗山生态屏障、大黄水地区、七曜山东部地区以培育楠木、鹅掌楸、银杏等乡土珍贵树种为目标；在城周地区以营造多树种、多色彩、多层次的林相结构为目标，重点补植银杏、水杉、檫木、枫香等彩叶树种或乡土阔叶树种；在方斗山西部沿江地区以培育稳定健康优质高效的混交林为目标，</w:t>
            </w:r>
            <w:r>
              <w:rPr>
                <w:rFonts w:hint="eastAsia" w:ascii="Times New Roman" w:hAnsi="Times New Roman" w:eastAsia="仿宋" w:cs="Times New Roman"/>
                <w:color w:val="000000"/>
                <w:spacing w:val="-6"/>
                <w:sz w:val="21"/>
                <w:szCs w:val="21"/>
                <w:lang w:val="en-US" w:eastAsia="zh-CN"/>
              </w:rPr>
              <w:t>针对</w:t>
            </w:r>
            <w:r>
              <w:rPr>
                <w:rFonts w:ascii="Times New Roman" w:hAnsi="Times New Roman" w:eastAsia="仿宋" w:cs="Times New Roman"/>
                <w:color w:val="000000"/>
                <w:spacing w:val="-6"/>
                <w:sz w:val="21"/>
                <w:szCs w:val="21"/>
                <w:lang w:val="en-US" w:eastAsia="zh-CN"/>
              </w:rPr>
              <w:t>松材线虫病疫区及周边有感染风险的马尾松低效纯林进行带状或块状改造，补植水杉、檫木、枫香、木荷等一般树种。</w:t>
            </w:r>
          </w:p>
        </w:tc>
      </w:tr>
    </w:tbl>
    <w:p>
      <w:pPr>
        <w:pStyle w:val="000007"/>
        <w:keepNext/>
        <w:keepLines/>
        <w:pageBreakBefore w:val="false"/>
        <w:widowControl w:val="false"/>
        <w:numPr>
          <w:ilvl w:val="0"/>
          <w:numId w:val="21"/>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促进木材加工产业升级</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木材加工产业发展为核心，坚持“集群化、绿色化、高端化”发展方向，通过新建加工基地、引进先进企业、完善建材市场、搭建产销平台、聚焦绿色循环、培育规上企业、升级产业技术，推进园区产业能力提升与木材产业链补充延伸强化。</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b w:val="false"/>
          <w:bCs w:val="false"/>
          <w:color w:val="000000"/>
          <w:spacing w:val="-6"/>
          <w:sz w:val="28"/>
          <w:szCs w:val="28"/>
          <w:lang w:val="en-US" w:eastAsia="zh-CN"/>
        </w:rPr>
        <w:t>推动木制品工业园区能级提升。</w:t>
      </w:r>
      <w:r>
        <w:rPr>
          <w:rFonts w:ascii="Times New Roman" w:hAnsi="Times New Roman" w:eastAsia="仿宋" w:cs="Times New Roman"/>
          <w:color w:val="000000"/>
          <w:spacing w:val="-6"/>
          <w:sz w:val="28"/>
          <w:szCs w:val="28"/>
          <w:lang w:val="en-US" w:eastAsia="zh-CN"/>
        </w:rPr>
        <w:t>聚焦石柱特色工业园区，打造集木材加工、智能制造、产销对接于一体的木制品精深加工基地。通过引入人工智能技术与先进生产工艺，推动生产流程自动化、智能化升级，大幅提升木材制品生产效率。同时整合县域小微企业资源，淘汰落后产能，定向引进高端家具板材、高档套装门、智能家居木质组件等头部企业，构建从木材初加工、精深加工到高端制造的全链条产业集群，全面提升园区产业能级与核心竞争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b w:val="false"/>
          <w:bCs w:val="false"/>
          <w:color w:val="000000"/>
          <w:spacing w:val="-6"/>
          <w:sz w:val="28"/>
          <w:szCs w:val="28"/>
          <w:lang w:val="en-US" w:eastAsia="zh-CN"/>
        </w:rPr>
        <w:t>针对性延链补链强链木材产业。</w:t>
      </w:r>
      <w:r>
        <w:rPr>
          <w:rFonts w:hint="eastAsia" w:ascii="Times New Roman" w:hAnsi="Times New Roman" w:eastAsia="仿宋" w:cs="Times New Roman"/>
          <w:color w:val="000000"/>
          <w:spacing w:val="-6"/>
          <w:sz w:val="28"/>
          <w:szCs w:val="28"/>
          <w:lang w:val="en-US" w:eastAsia="zh-CN"/>
        </w:rPr>
        <w:t xml:space="preserve">一是补充产业发展基础，推进建材销售市场建设与木材产销平台搭建，打造集“市场线下销售—平台线上交易”于一体的仓储物流中心，畅通上下游产销渠道，为建设石柱县现代化集销售网络打足基础；二是延伸资源循环环节，在万朝静脉产业园建设再生资源循环利用产品制造项目，加强废旧木材的综合利用发展新型材料重组木，引进以林木剩余物的循环利用开发生物质发电、生物天然气、生物质成型燃料项目；三是强化核心产品竞争力，加快培育森辉木材加工厂成为规模以上企业，引导企业引进与使用无醛胶、低醛胶等新型环保材料，逐步提高绿色健康材料产品的比例，提升产品附加值和市场竞争力。 </w:t>
      </w:r>
    </w:p>
    <w:bookmarkStart w:id="144" w:name="_Toc8631"/>
    <w:p>
      <w:pPr>
        <w:pStyle w:val="000006"/>
        <w:keepNext/>
        <w:keepLines/>
        <w:pageBreakBefore w:val="false"/>
        <w:widowControl w:val="false"/>
        <w:numPr>
          <w:ilvl w:val="0"/>
          <w:numId w:val="18"/>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做特做优特色经济林</w:t>
      </w:r>
      <w:bookmarkEnd w:id="140"/>
      <w:bookmarkEnd w:id="141"/>
      <w:bookmarkEnd w:id="142"/>
      <w:bookmarkEnd w:id="143"/>
      <w:bookmarkEnd w:id="144"/>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snapToGrid w:val="false"/>
          <w:color w:val="000000"/>
          <w:spacing w:val="-6"/>
          <w:sz w:val="28"/>
          <w:szCs w:val="28"/>
          <w:lang w:val="en-US" w:eastAsia="zh-CN" w:bidi="ar"/>
        </w:rPr>
      </w:pPr>
      <w:r>
        <w:rPr>
          <w:rFonts w:hint="eastAsia" w:ascii="Times New Roman" w:hAnsi="Times New Roman" w:eastAsia="仿宋" w:cs="Times New Roman"/>
          <w:snapToGrid w:val="false"/>
          <w:color w:val="000000"/>
          <w:spacing w:val="-6"/>
          <w:sz w:val="28"/>
          <w:szCs w:val="28"/>
          <w:lang w:val="en-US" w:eastAsia="zh-CN" w:bidi="ar"/>
        </w:rPr>
        <w:t>锚定“森林粮库”核心战略，以现有特色经济林为基底，严守“不与粮争田”红线，构建特色水果、木本油料、木本药材、笋竹四大产业集群，推动特色经济林全链条提质升级。到2030年，完成特色经济林提质改造12.5万亩，初步丰富森林粮库食物供给结构。到2035年，累计完成特色经济林提质改造24.5万亩，进一步筑牢森林粮库物质支撑，构建多业态深度融合的特色经济林产业体系。</w:t>
      </w:r>
    </w:p>
    <w:p>
      <w:pPr>
        <w:pStyle w:val="000007"/>
        <w:keepNext w:val="false"/>
        <w:keepLines/>
        <w:pageBreakBefore w:val="false"/>
        <w:widowControl w:val="false"/>
        <w:numPr>
          <w:ilvl w:val="0"/>
          <w:numId w:val="22"/>
        </w:numPr>
        <w:suppressLineNumbers w:val="false"/>
        <w:tabs>
          <w:tab w:val="clear" w:pos="0"/>
        </w:tabs>
        <w:kinsoku/>
        <w:wordWrap/>
        <w:overflowPunct/>
        <w:topLinePunct w:val="false"/>
        <w:autoSpaceDE/>
        <w:autoSpaceDN w:val="false"/>
        <w:bidi w:val="false"/>
        <w:spacing w:before="100" w:beforeAutospacing="false" w:after="100" w:afterAutospacing="false" w:line="560" w:lineRule="exact"/>
        <w:ind w:left="0" w:right="0" w:firstLine="467" w:firstLineChars="150"/>
        <w:rPr>
          <w:rFonts w:hint="eastAsia" w:ascii="方正楷体_GBK" w:hAnsi="方正楷体_GBK" w:eastAsia="方正楷体_GBK" w:cs="方正楷体_GBK"/>
          <w:color w:val="000000"/>
          <w:spacing w:val="-5"/>
          <w:position w:val="1"/>
          <w:szCs w:val="32"/>
          <w:lang w:val="en-US"/>
        </w:rPr>
      </w:pPr>
      <w:r>
        <w:rPr>
          <w:rFonts w:hint="eastAsia" w:ascii="方正楷体_GBK" w:hAnsi="方正楷体_GBK" w:eastAsia="方正楷体_GBK" w:cs="方正楷体_GBK"/>
          <w:color w:val="000000"/>
          <w:spacing w:val="-5"/>
          <w:position w:val="1"/>
          <w:szCs w:val="32"/>
          <w:lang w:eastAsia="zh-CN"/>
        </w:rPr>
        <w:t>提质增效特色经济林</w:t>
      </w:r>
    </w:p>
    <w:p>
      <w:pPr>
        <w:pStyle w:val="000001"/>
        <w:keepNext w:val="false"/>
        <w:keepLines w:val="false"/>
        <w:pageBreakBefore w:val="false"/>
        <w:widowControl/>
        <w:suppressLineNumbers w:val="false"/>
        <w:kinsoku/>
        <w:wordWrap/>
        <w:overflowPunct/>
        <w:topLinePunct w:val="false"/>
        <w:autoSpaceDE w:val="false"/>
        <w:autoSpaceDN w:val="false"/>
        <w:bidi w:val="false"/>
        <w:spacing w:beforeAutospacing="false" w:after="0" w:afterAutospacing="false" w:line="560" w:lineRule="exact"/>
        <w:ind w:left="0" w:right="0" w:firstLine="536" w:firstLineChars="200"/>
        <w:jc w:val="both"/>
        <w:rPr>
          <w:rFonts w:ascii="Times New Roman" w:hAnsi="Times New Roman" w:eastAsia="仿宋" w:cs="Times New Roman"/>
          <w:color w:val="000000"/>
          <w:spacing w:val="-6"/>
          <w:sz w:val="28"/>
          <w:szCs w:val="28"/>
          <w:lang w:val="en-US"/>
        </w:rPr>
      </w:pPr>
      <w:r>
        <w:rPr>
          <w:rFonts w:ascii="Times New Roman" w:hAnsi="Times New Roman" w:eastAsia="仿宋" w:cs="Times New Roman"/>
          <w:snapToGrid w:val="false"/>
          <w:color w:val="000000"/>
          <w:spacing w:val="-6"/>
          <w:kern w:val="0"/>
          <w:sz w:val="28"/>
          <w:szCs w:val="28"/>
          <w:lang w:val="en-US" w:eastAsia="zh-CN" w:bidi="ar"/>
        </w:rPr>
        <w:t>聚焦低效林改造与标准化提升，突出区域特色，</w:t>
      </w:r>
      <w:r>
        <w:rPr>
          <w:rFonts w:hint="eastAsia" w:ascii="Times New Roman" w:hAnsi="Times New Roman" w:eastAsia="仿宋" w:cs="Times New Roman"/>
          <w:snapToGrid w:val="false"/>
          <w:color w:val="000000"/>
          <w:spacing w:val="-6"/>
          <w:kern w:val="0"/>
          <w:sz w:val="28"/>
          <w:szCs w:val="28"/>
          <w:lang w:val="en-US" w:eastAsia="zh-CN" w:bidi="ar"/>
        </w:rPr>
        <w:t>调整种植结构</w:t>
      </w:r>
      <w:r>
        <w:rPr>
          <w:rFonts w:ascii="Times New Roman" w:hAnsi="Times New Roman" w:eastAsia="仿宋" w:cs="Times New Roman"/>
          <w:snapToGrid w:val="false"/>
          <w:color w:val="000000"/>
          <w:spacing w:val="-6"/>
          <w:kern w:val="0"/>
          <w:sz w:val="28"/>
          <w:szCs w:val="28"/>
          <w:lang w:val="en-US" w:eastAsia="zh-CN" w:bidi="ar"/>
        </w:rPr>
        <w:t>，采用良种良法结合方式，扩大特色品种优势。</w:t>
      </w:r>
    </w:p>
    <w:p>
      <w:pPr>
        <w:pStyle w:val="000001"/>
        <w:keepNext w:val="false"/>
        <w:keepLines w:val="false"/>
        <w:pageBreakBefore w:val="false"/>
        <w:widowControl w:val="false"/>
        <w:suppressLineNumbers w:val="false"/>
        <w:kinsoku/>
        <w:wordWrap/>
        <w:overflowPunct/>
        <w:topLinePunct w:val="false"/>
        <w:autoSpaceDE w:val="false"/>
        <w:autoSpaceDN w:val="false"/>
        <w:bidi w:val="false"/>
        <w:spacing w:beforeAutospacing="false" w:after="0" w:afterAutospacing="false" w:line="560" w:lineRule="exact"/>
        <w:ind w:left="0" w:right="0" w:firstLine="536" w:firstLineChars="200"/>
        <w:jc w:val="both"/>
        <w:rPr>
          <w:rFonts w:ascii="Times New Roman" w:hAnsi="Times New Roman" w:eastAsia="仿宋" w:cs="Times New Roman"/>
          <w:b/>
          <w:bCs/>
          <w:snapToGrid w:val="false"/>
          <w:color w:val="000000"/>
          <w:spacing w:val="-6"/>
          <w:kern w:val="0"/>
          <w:sz w:val="28"/>
          <w:szCs w:val="28"/>
          <w:lang w:val="en-US" w:eastAsia="zh-CN" w:bidi="ar"/>
        </w:rPr>
      </w:pPr>
      <w:r>
        <w:rPr>
          <w:rFonts w:hint="eastAsia" w:ascii="方正楷体_GBK" w:hAnsi="方正楷体_GBK" w:eastAsia="方正楷体_GBK" w:cs="方正楷体_GBK"/>
          <w:b w:val="false"/>
          <w:bCs w:val="false"/>
          <w:snapToGrid w:val="false"/>
          <w:color w:val="000000"/>
          <w:spacing w:val="-6"/>
          <w:kern w:val="0"/>
          <w:sz w:val="28"/>
          <w:szCs w:val="28"/>
          <w:lang w:val="en-US" w:eastAsia="zh-CN" w:bidi="ar"/>
        </w:rPr>
        <w:t>调整种植结构。</w:t>
      </w:r>
      <w:r>
        <w:rPr>
          <w:rFonts w:ascii="Times New Roman" w:hAnsi="Times New Roman" w:eastAsia="仿宋" w:cs="Times New Roman"/>
          <w:b w:val="false"/>
          <w:bCs w:val="false"/>
          <w:snapToGrid w:val="false"/>
          <w:color w:val="000000"/>
          <w:spacing w:val="-6"/>
          <w:kern w:val="0"/>
          <w:sz w:val="28"/>
          <w:szCs w:val="28"/>
          <w:lang w:val="en-US" w:eastAsia="zh-CN" w:bidi="ar"/>
        </w:rPr>
        <w:t>以现有经济林为基</w:t>
      </w:r>
      <w:r>
        <w:rPr>
          <w:rFonts w:hint="eastAsia" w:ascii="Times New Roman" w:hAnsi="Times New Roman" w:eastAsia="仿宋" w:cs="Times New Roman"/>
          <w:b w:val="false"/>
          <w:bCs w:val="false"/>
          <w:snapToGrid w:val="false"/>
          <w:color w:val="000000"/>
          <w:spacing w:val="-6"/>
          <w:kern w:val="0"/>
          <w:sz w:val="28"/>
          <w:szCs w:val="28"/>
          <w:lang w:val="en-US" w:eastAsia="zh-CN" w:bidi="ar"/>
        </w:rPr>
        <w:t>底</w:t>
      </w:r>
      <w:r>
        <w:rPr>
          <w:rFonts w:ascii="Times New Roman" w:hAnsi="Times New Roman" w:eastAsia="仿宋" w:cs="Times New Roman"/>
          <w:b w:val="false"/>
          <w:bCs w:val="false"/>
          <w:snapToGrid w:val="false"/>
          <w:color w:val="000000"/>
          <w:spacing w:val="-6"/>
          <w:kern w:val="0"/>
          <w:sz w:val="28"/>
          <w:szCs w:val="28"/>
          <w:lang w:val="en-US" w:eastAsia="zh-CN" w:bidi="ar"/>
        </w:rPr>
        <w:t>，突出地区特色，因地制宜采取</w:t>
      </w:r>
      <w:r>
        <w:rPr>
          <w:rFonts w:hint="eastAsia" w:ascii="Times New Roman" w:hAnsi="Times New Roman" w:eastAsia="仿宋" w:cs="Times New Roman"/>
          <w:b w:val="false"/>
          <w:bCs w:val="false"/>
          <w:snapToGrid w:val="false"/>
          <w:color w:val="000000"/>
          <w:spacing w:val="-6"/>
          <w:kern w:val="0"/>
          <w:sz w:val="28"/>
          <w:szCs w:val="28"/>
          <w:lang w:val="en-US" w:eastAsia="zh-CN" w:bidi="ar"/>
        </w:rPr>
        <w:t>改培等</w:t>
      </w:r>
      <w:r>
        <w:rPr>
          <w:rFonts w:ascii="Times New Roman" w:hAnsi="Times New Roman" w:eastAsia="仿宋" w:cs="Times New Roman"/>
          <w:b w:val="false"/>
          <w:bCs w:val="false"/>
          <w:snapToGrid w:val="false"/>
          <w:color w:val="000000"/>
          <w:spacing w:val="-6"/>
          <w:kern w:val="0"/>
          <w:sz w:val="28"/>
          <w:szCs w:val="28"/>
          <w:lang w:val="en-US" w:eastAsia="zh-CN" w:bidi="ar"/>
        </w:rPr>
        <w:t>提质增效措施，</w:t>
      </w:r>
      <w:r>
        <w:rPr>
          <w:rFonts w:ascii="Times New Roman" w:hAnsi="Times New Roman" w:eastAsia="仿宋" w:cs="Times New Roman"/>
          <w:color w:val="000000"/>
          <w:spacing w:val="-6"/>
          <w:sz w:val="28"/>
          <w:szCs w:val="28"/>
          <w:lang w:val="en-US" w:eastAsia="zh-CN"/>
        </w:rPr>
        <w:t>稳定经济林发展总规模，扩大特色品种优势</w:t>
      </w:r>
      <w:r>
        <w:rPr>
          <w:rFonts w:ascii="Times New Roman" w:hAnsi="Times New Roman" w:eastAsia="仿宋" w:cs="Times New Roman"/>
          <w:b w:val="false"/>
          <w:bCs w:val="false"/>
          <w:snapToGrid w:val="false"/>
          <w:color w:val="000000"/>
          <w:spacing w:val="-6"/>
          <w:kern w:val="0"/>
          <w:sz w:val="28"/>
          <w:szCs w:val="28"/>
          <w:lang w:val="en-US" w:eastAsia="zh-CN" w:bidi="ar"/>
        </w:rPr>
        <w:t>。</w:t>
      </w:r>
      <w:r>
        <w:rPr>
          <w:rFonts w:ascii="Times New Roman" w:hAnsi="Times New Roman" w:eastAsia="仿宋" w:cs="Times New Roman"/>
          <w:snapToGrid w:val="false"/>
          <w:color w:val="000000"/>
          <w:spacing w:val="-6"/>
          <w:kern w:val="0"/>
          <w:sz w:val="28"/>
          <w:szCs w:val="28"/>
          <w:lang w:val="en-US" w:eastAsia="zh-CN" w:bidi="ar"/>
        </w:rPr>
        <w:t>在七曜山生态屏障区</w:t>
      </w:r>
      <w:r>
        <w:rPr>
          <w:rFonts w:hint="eastAsia" w:ascii="Times New Roman" w:hAnsi="Times New Roman" w:eastAsia="仿宋" w:cs="Times New Roman"/>
          <w:snapToGrid w:val="false"/>
          <w:color w:val="000000"/>
          <w:spacing w:val="-6"/>
          <w:kern w:val="0"/>
          <w:sz w:val="28"/>
          <w:szCs w:val="28"/>
          <w:lang w:val="en-US" w:eastAsia="zh-CN" w:bidi="ar"/>
        </w:rPr>
        <w:t>和七曜山东部区域</w:t>
      </w:r>
      <w:r>
        <w:rPr>
          <w:rFonts w:ascii="Times New Roman" w:hAnsi="Times New Roman" w:eastAsia="仿宋" w:cs="Times New Roman"/>
          <w:snapToGrid w:val="false"/>
          <w:color w:val="000000"/>
          <w:spacing w:val="-6"/>
          <w:kern w:val="0"/>
          <w:sz w:val="28"/>
          <w:szCs w:val="28"/>
          <w:lang w:val="en-US" w:eastAsia="zh-CN" w:bidi="ar"/>
        </w:rPr>
        <w:t>海拔1000米以上区域</w:t>
      </w:r>
      <w:r>
        <w:rPr>
          <w:rFonts w:hint="eastAsia" w:ascii="Times New Roman" w:hAnsi="Times New Roman" w:eastAsia="仿宋" w:cs="Times New Roman"/>
          <w:snapToGrid w:val="false"/>
          <w:color w:val="000000"/>
          <w:spacing w:val="-6"/>
          <w:kern w:val="0"/>
          <w:sz w:val="28"/>
          <w:szCs w:val="28"/>
          <w:lang w:val="en-US" w:eastAsia="zh-CN" w:bidi="ar"/>
        </w:rPr>
        <w:t>重点发展</w:t>
      </w:r>
      <w:r>
        <w:rPr>
          <w:rFonts w:ascii="Times New Roman" w:hAnsi="Times New Roman" w:eastAsia="仿宋" w:cs="Times New Roman"/>
          <w:snapToGrid w:val="false"/>
          <w:color w:val="000000"/>
          <w:spacing w:val="-6"/>
          <w:kern w:val="0"/>
          <w:sz w:val="28"/>
          <w:szCs w:val="28"/>
          <w:lang w:val="en-US" w:eastAsia="zh-CN" w:bidi="ar"/>
        </w:rPr>
        <w:t>杜仲、黄柏、厚朴</w:t>
      </w:r>
      <w:r>
        <w:rPr>
          <w:rFonts w:hint="eastAsia" w:ascii="Times New Roman" w:hAnsi="Times New Roman" w:eastAsia="仿宋" w:cs="Times New Roman"/>
          <w:snapToGrid w:val="false"/>
          <w:color w:val="000000"/>
          <w:spacing w:val="-6"/>
          <w:kern w:val="0"/>
          <w:sz w:val="28"/>
          <w:szCs w:val="28"/>
          <w:lang w:val="en-US" w:eastAsia="zh-CN" w:bidi="ar"/>
        </w:rPr>
        <w:t>等三木药材</w:t>
      </w:r>
      <w:r>
        <w:rPr>
          <w:rFonts w:ascii="Times New Roman" w:hAnsi="Times New Roman" w:eastAsia="仿宋" w:cs="Times New Roman"/>
          <w:snapToGrid w:val="false"/>
          <w:color w:val="000000"/>
          <w:spacing w:val="-6"/>
          <w:kern w:val="0"/>
          <w:sz w:val="28"/>
          <w:szCs w:val="28"/>
          <w:lang w:val="en-US" w:eastAsia="zh-CN" w:bidi="ar"/>
        </w:rPr>
        <w:t>；</w:t>
      </w:r>
      <w:r>
        <w:rPr>
          <w:rFonts w:hint="eastAsia" w:ascii="Times New Roman" w:hAnsi="Times New Roman" w:eastAsia="仿宋" w:cs="Times New Roman"/>
          <w:snapToGrid w:val="false"/>
          <w:color w:val="000000"/>
          <w:spacing w:val="-6"/>
          <w:kern w:val="0"/>
          <w:sz w:val="28"/>
          <w:szCs w:val="28"/>
          <w:lang w:val="en-US" w:eastAsia="zh-CN" w:bidi="ar"/>
        </w:rPr>
        <w:t>在</w:t>
      </w:r>
      <w:r>
        <w:rPr>
          <w:rFonts w:ascii="Times New Roman" w:hAnsi="Times New Roman" w:eastAsia="仿宋" w:cs="Times New Roman"/>
          <w:snapToGrid w:val="false"/>
          <w:color w:val="000000"/>
          <w:spacing w:val="-6"/>
          <w:kern w:val="0"/>
          <w:sz w:val="28"/>
          <w:szCs w:val="28"/>
          <w:lang w:val="en-US" w:eastAsia="zh-CN" w:bidi="ar"/>
        </w:rPr>
        <w:t>方斗山生态屏障区海拔600-1300米区域</w:t>
      </w:r>
      <w:r>
        <w:rPr>
          <w:rFonts w:hint="eastAsia" w:ascii="Times New Roman" w:hAnsi="Times New Roman" w:eastAsia="仿宋" w:cs="Times New Roman"/>
          <w:snapToGrid w:val="false"/>
          <w:color w:val="000000"/>
          <w:spacing w:val="-6"/>
          <w:kern w:val="0"/>
          <w:sz w:val="28"/>
          <w:szCs w:val="28"/>
          <w:lang w:val="en-US" w:eastAsia="zh-CN" w:bidi="ar"/>
        </w:rPr>
        <w:t>重点发展</w:t>
      </w:r>
      <w:r>
        <w:rPr>
          <w:rFonts w:ascii="Times New Roman" w:hAnsi="Times New Roman" w:eastAsia="仿宋" w:cs="Times New Roman"/>
          <w:snapToGrid w:val="false"/>
          <w:color w:val="000000"/>
          <w:spacing w:val="-6"/>
          <w:kern w:val="0"/>
          <w:sz w:val="28"/>
          <w:szCs w:val="28"/>
          <w:lang w:val="en-US" w:eastAsia="zh-CN" w:bidi="ar"/>
        </w:rPr>
        <w:t>白夹竹</w:t>
      </w:r>
      <w:r>
        <w:rPr>
          <w:rFonts w:hint="eastAsia" w:ascii="Times New Roman" w:hAnsi="Times New Roman" w:eastAsia="仿宋" w:cs="Times New Roman"/>
          <w:snapToGrid w:val="false"/>
          <w:color w:val="000000"/>
          <w:spacing w:val="-6"/>
          <w:kern w:val="0"/>
          <w:sz w:val="28"/>
          <w:szCs w:val="28"/>
          <w:lang w:val="en-US" w:eastAsia="zh-CN" w:bidi="ar"/>
        </w:rPr>
        <w:t>；在</w:t>
      </w:r>
      <w:r>
        <w:rPr>
          <w:rFonts w:ascii="Times New Roman" w:hAnsi="Times New Roman" w:eastAsia="仿宋" w:cs="Times New Roman"/>
          <w:snapToGrid w:val="false"/>
          <w:color w:val="000000"/>
          <w:spacing w:val="-6"/>
          <w:kern w:val="0"/>
          <w:sz w:val="28"/>
          <w:szCs w:val="28"/>
          <w:lang w:val="en-US" w:eastAsia="zh-CN" w:bidi="ar"/>
        </w:rPr>
        <w:t>城周地区</w:t>
      </w:r>
      <w:r>
        <w:rPr>
          <w:rFonts w:hint="eastAsia" w:ascii="Times New Roman" w:hAnsi="Times New Roman" w:eastAsia="仿宋" w:cs="Times New Roman"/>
          <w:snapToGrid w:val="false"/>
          <w:color w:val="000000"/>
          <w:spacing w:val="-6"/>
          <w:kern w:val="0"/>
          <w:sz w:val="28"/>
          <w:szCs w:val="28"/>
          <w:lang w:val="en-US" w:eastAsia="zh-CN" w:bidi="ar"/>
        </w:rPr>
        <w:t>重点发展</w:t>
      </w:r>
      <w:r>
        <w:rPr>
          <w:rFonts w:ascii="Times New Roman" w:hAnsi="Times New Roman" w:eastAsia="仿宋" w:cs="Times New Roman"/>
          <w:snapToGrid w:val="false"/>
          <w:color w:val="000000"/>
          <w:spacing w:val="-6"/>
          <w:kern w:val="0"/>
          <w:sz w:val="28"/>
          <w:szCs w:val="28"/>
          <w:lang w:val="en-US" w:eastAsia="zh-CN" w:bidi="ar"/>
        </w:rPr>
        <w:t>脆红李等特色水果</w:t>
      </w:r>
      <w:r>
        <w:rPr>
          <w:rFonts w:hint="eastAsia" w:ascii="Times New Roman" w:hAnsi="Times New Roman" w:eastAsia="仿宋" w:cs="Times New Roman"/>
          <w:snapToGrid w:val="false"/>
          <w:color w:val="000000"/>
          <w:spacing w:val="-6"/>
          <w:kern w:val="0"/>
          <w:sz w:val="28"/>
          <w:szCs w:val="28"/>
          <w:lang w:val="en-US" w:eastAsia="zh-CN" w:bidi="ar"/>
        </w:rPr>
        <w:t>，</w:t>
      </w:r>
      <w:r>
        <w:rPr>
          <w:rFonts w:ascii="Times New Roman" w:hAnsi="Times New Roman" w:eastAsia="仿宋" w:cs="Times New Roman"/>
          <w:snapToGrid w:val="false"/>
          <w:color w:val="000000"/>
          <w:spacing w:val="-6"/>
          <w:kern w:val="0"/>
          <w:sz w:val="28"/>
          <w:szCs w:val="28"/>
          <w:lang w:val="en-US" w:eastAsia="zh-CN" w:bidi="ar"/>
        </w:rPr>
        <w:t>皱皮木瓜、吴茱萸、辛夷</w:t>
      </w:r>
      <w:r>
        <w:rPr>
          <w:rFonts w:hint="eastAsia" w:ascii="Times New Roman" w:hAnsi="Times New Roman" w:eastAsia="仿宋" w:cs="Times New Roman"/>
          <w:snapToGrid w:val="false"/>
          <w:color w:val="000000"/>
          <w:spacing w:val="-6"/>
          <w:kern w:val="0"/>
          <w:sz w:val="28"/>
          <w:szCs w:val="28"/>
          <w:lang w:val="en-US" w:eastAsia="zh-CN" w:bidi="ar"/>
        </w:rPr>
        <w:t>等木本中药材</w:t>
      </w:r>
      <w:r>
        <w:rPr>
          <w:rFonts w:ascii="Times New Roman" w:hAnsi="Times New Roman" w:eastAsia="仿宋" w:cs="Times New Roman"/>
          <w:snapToGrid w:val="false"/>
          <w:color w:val="000000"/>
          <w:spacing w:val="-6"/>
          <w:kern w:val="0"/>
          <w:sz w:val="28"/>
          <w:szCs w:val="28"/>
          <w:lang w:val="en-US" w:eastAsia="zh-CN" w:bidi="ar"/>
        </w:rPr>
        <w:t>；在大黄水地区海拔800米以上区域适度发展核桃木本油料林</w:t>
      </w:r>
      <w:r>
        <w:rPr>
          <w:rFonts w:hint="eastAsia" w:ascii="Times New Roman" w:hAnsi="Times New Roman" w:eastAsia="仿宋" w:cs="Times New Roman"/>
          <w:snapToGrid w:val="false"/>
          <w:color w:val="000000"/>
          <w:spacing w:val="-6"/>
          <w:kern w:val="0"/>
          <w:sz w:val="28"/>
          <w:szCs w:val="28"/>
          <w:lang w:val="en-US" w:eastAsia="zh-CN" w:bidi="ar"/>
        </w:rPr>
        <w:t>，</w:t>
      </w:r>
      <w:r>
        <w:rPr>
          <w:rFonts w:ascii="Times New Roman" w:hAnsi="Times New Roman" w:eastAsia="仿宋" w:cs="Times New Roman"/>
          <w:snapToGrid w:val="false"/>
          <w:color w:val="000000"/>
          <w:spacing w:val="-6"/>
          <w:kern w:val="0"/>
          <w:sz w:val="28"/>
          <w:szCs w:val="28"/>
          <w:lang w:val="en-US" w:eastAsia="zh-CN" w:bidi="ar"/>
        </w:rPr>
        <w:t>海拔1400米以上区域改培方竹</w:t>
      </w:r>
      <w:r>
        <w:rPr>
          <w:rFonts w:hint="eastAsia" w:ascii="Times New Roman" w:hAnsi="Times New Roman" w:eastAsia="仿宋" w:cs="Times New Roman"/>
          <w:snapToGrid w:val="false"/>
          <w:color w:val="000000"/>
          <w:spacing w:val="-6"/>
          <w:kern w:val="0"/>
          <w:sz w:val="28"/>
          <w:szCs w:val="28"/>
          <w:lang w:val="en-US" w:eastAsia="zh-CN" w:bidi="ar"/>
        </w:rPr>
        <w:t>；</w:t>
      </w:r>
      <w:r>
        <w:rPr>
          <w:rFonts w:ascii="Times New Roman" w:hAnsi="Times New Roman" w:eastAsia="仿宋" w:cs="Times New Roman"/>
          <w:b w:val="false"/>
          <w:bCs w:val="false"/>
          <w:snapToGrid w:val="false"/>
          <w:color w:val="000000"/>
          <w:spacing w:val="-6"/>
          <w:kern w:val="0"/>
          <w:sz w:val="28"/>
          <w:szCs w:val="28"/>
          <w:lang w:val="en-US" w:eastAsia="zh-CN" w:bidi="ar"/>
        </w:rPr>
        <w:t>在方</w:t>
      </w:r>
      <w:r>
        <w:rPr>
          <w:rFonts w:ascii="Times New Roman" w:hAnsi="Times New Roman" w:eastAsia="仿宋" w:cs="Times New Roman"/>
          <w:snapToGrid w:val="false"/>
          <w:color w:val="000000"/>
          <w:spacing w:val="-6"/>
          <w:kern w:val="0"/>
          <w:sz w:val="28"/>
          <w:szCs w:val="28"/>
          <w:lang w:val="en-US" w:eastAsia="zh-CN" w:bidi="ar"/>
        </w:rPr>
        <w:t>斗山西部沿江地区</w:t>
      </w:r>
      <w:r>
        <w:rPr>
          <w:rFonts w:hint="eastAsia" w:ascii="Times New Roman" w:hAnsi="Times New Roman" w:eastAsia="仿宋" w:cs="Times New Roman"/>
          <w:snapToGrid w:val="false"/>
          <w:color w:val="000000"/>
          <w:spacing w:val="-6"/>
          <w:kern w:val="0"/>
          <w:sz w:val="28"/>
          <w:szCs w:val="28"/>
          <w:lang w:val="en-US" w:eastAsia="zh-CN" w:bidi="ar"/>
        </w:rPr>
        <w:t>重点发展</w:t>
      </w:r>
      <w:r>
        <w:rPr>
          <w:rFonts w:ascii="Times New Roman" w:hAnsi="Times New Roman" w:eastAsia="仿宋" w:cs="Times New Roman"/>
          <w:snapToGrid w:val="false"/>
          <w:color w:val="000000"/>
          <w:spacing w:val="-6"/>
          <w:kern w:val="0"/>
          <w:sz w:val="28"/>
          <w:szCs w:val="28"/>
          <w:lang w:val="en-US" w:eastAsia="zh-CN" w:bidi="ar"/>
        </w:rPr>
        <w:t>柑橘类</w:t>
      </w:r>
      <w:r>
        <w:rPr>
          <w:rFonts w:hint="eastAsia" w:ascii="Times New Roman" w:hAnsi="Times New Roman" w:eastAsia="仿宋" w:cs="Times New Roman"/>
          <w:snapToGrid w:val="false"/>
          <w:color w:val="000000"/>
          <w:spacing w:val="-6"/>
          <w:kern w:val="0"/>
          <w:sz w:val="28"/>
          <w:szCs w:val="28"/>
          <w:lang w:val="en-US" w:eastAsia="zh-CN" w:bidi="ar"/>
        </w:rPr>
        <w:t>等特色水果，</w:t>
      </w:r>
      <w:r>
        <w:rPr>
          <w:rFonts w:ascii="Times New Roman" w:hAnsi="Times New Roman" w:eastAsia="仿宋" w:cs="Times New Roman"/>
          <w:snapToGrid w:val="false"/>
          <w:color w:val="000000"/>
          <w:spacing w:val="-6"/>
          <w:kern w:val="0"/>
          <w:sz w:val="28"/>
          <w:szCs w:val="28"/>
          <w:lang w:val="en-US" w:eastAsia="zh-CN" w:bidi="ar"/>
        </w:rPr>
        <w:t>麻竹</w:t>
      </w:r>
      <w:r>
        <w:rPr>
          <w:rFonts w:hint="eastAsia" w:ascii="Times New Roman" w:hAnsi="Times New Roman" w:eastAsia="仿宋" w:cs="Times New Roman"/>
          <w:snapToGrid w:val="false"/>
          <w:color w:val="000000"/>
          <w:spacing w:val="-6"/>
          <w:kern w:val="0"/>
          <w:sz w:val="28"/>
          <w:szCs w:val="28"/>
          <w:lang w:val="en-US" w:eastAsia="zh-CN" w:bidi="ar"/>
        </w:rPr>
        <w:t>笋用竹。</w:t>
      </w:r>
    </w:p>
    <w:p>
      <w:pPr>
        <w:pStyle w:val="000001"/>
        <w:keepNext w:val="false"/>
        <w:keepLines w:val="false"/>
        <w:pageBreakBefore w:val="false"/>
        <w:widowControl w:val="false"/>
        <w:suppressLineNumbers w:val="false"/>
        <w:kinsoku/>
        <w:wordWrap/>
        <w:overflowPunct/>
        <w:topLinePunct w:val="false"/>
        <w:autoSpaceDE w:val="false"/>
        <w:autoSpaceDN w:val="false"/>
        <w:bidi w:val="false"/>
        <w:spacing w:beforeAutospacing="false" w:after="0" w:afterAutospacing="false" w:line="560" w:lineRule="exact"/>
        <w:ind w:left="0" w:right="0" w:firstLine="536" w:firstLineChars="200"/>
        <w:jc w:val="both"/>
        <w:rPr>
          <w:rFonts w:ascii="Times New Roman" w:hAnsi="Times New Roman" w:eastAsia="仿宋" w:cs="Times New Roman"/>
          <w:b w:val="false"/>
          <w:bCs w:val="false"/>
          <w:snapToGrid w:val="false"/>
          <w:color w:val="000000"/>
          <w:spacing w:val="-6"/>
          <w:kern w:val="0"/>
          <w:sz w:val="28"/>
          <w:szCs w:val="28"/>
          <w:lang w:val="en-US" w:eastAsia="zh-CN" w:bidi="ar"/>
        </w:rPr>
      </w:pPr>
      <w:r>
        <w:rPr>
          <w:rFonts w:hint="eastAsia" w:ascii="方正楷体_GBK" w:hAnsi="方正楷体_GBK" w:eastAsia="方正楷体_GBK" w:cs="方正楷体_GBK"/>
          <w:b w:val="false"/>
          <w:bCs w:val="false"/>
          <w:snapToGrid w:val="false"/>
          <w:color w:val="000000"/>
          <w:spacing w:val="-6"/>
          <w:kern w:val="0"/>
          <w:sz w:val="28"/>
          <w:szCs w:val="28"/>
          <w:lang w:val="en-US" w:eastAsia="zh-CN" w:bidi="ar"/>
        </w:rPr>
        <w:t>建设高标准基地。</w:t>
      </w:r>
      <w:r>
        <w:rPr>
          <w:rFonts w:hint="eastAsia" w:ascii="Times New Roman" w:hAnsi="Times New Roman" w:eastAsia="仿宋" w:cs="Times New Roman"/>
          <w:b w:val="false"/>
          <w:bCs w:val="false"/>
          <w:snapToGrid w:val="false"/>
          <w:color w:val="000000"/>
          <w:spacing w:val="-6"/>
          <w:kern w:val="0"/>
          <w:sz w:val="28"/>
          <w:szCs w:val="28"/>
          <w:lang w:val="en-US" w:eastAsia="zh-CN" w:bidi="ar"/>
        </w:rPr>
        <w:t>对现有特色经济林进行改培，</w:t>
      </w:r>
      <w:r>
        <w:rPr>
          <w:rFonts w:ascii="Times New Roman" w:hAnsi="Times New Roman" w:eastAsia="仿宋" w:cs="Times New Roman"/>
          <w:b w:val="false"/>
          <w:bCs w:val="false"/>
          <w:snapToGrid w:val="false"/>
          <w:color w:val="000000"/>
          <w:spacing w:val="-6"/>
          <w:kern w:val="0"/>
          <w:sz w:val="28"/>
          <w:szCs w:val="28"/>
          <w:lang w:val="en-US" w:eastAsia="zh-CN" w:bidi="ar"/>
        </w:rPr>
        <w:t>打造</w:t>
      </w:r>
      <w:r>
        <w:rPr>
          <w:rFonts w:hint="eastAsia" w:ascii="Times New Roman" w:hAnsi="Times New Roman" w:eastAsia="仿宋" w:cs="Times New Roman"/>
          <w:b w:val="false"/>
          <w:bCs w:val="false"/>
          <w:snapToGrid w:val="false"/>
          <w:color w:val="000000"/>
          <w:spacing w:val="-6"/>
          <w:kern w:val="0"/>
          <w:sz w:val="28"/>
          <w:szCs w:val="28"/>
          <w:lang w:val="en-US" w:eastAsia="zh-CN" w:bidi="ar"/>
        </w:rPr>
        <w:t>3</w:t>
      </w:r>
      <w:r>
        <w:rPr>
          <w:rFonts w:ascii="Times New Roman" w:hAnsi="Times New Roman" w:eastAsia="仿宋" w:cs="Times New Roman"/>
          <w:b w:val="false"/>
          <w:bCs w:val="false"/>
          <w:snapToGrid w:val="false"/>
          <w:color w:val="000000"/>
          <w:spacing w:val="-6"/>
          <w:kern w:val="0"/>
          <w:sz w:val="28"/>
          <w:szCs w:val="28"/>
          <w:lang w:val="en-US" w:eastAsia="zh-CN" w:bidi="ar"/>
        </w:rPr>
        <w:t>个高标准特色经济林示范基地，带动全</w:t>
      </w:r>
      <w:r>
        <w:rPr>
          <w:rFonts w:hint="eastAsia" w:ascii="Times New Roman" w:hAnsi="Times New Roman" w:eastAsia="仿宋" w:cs="Times New Roman"/>
          <w:b w:val="false"/>
          <w:bCs w:val="false"/>
          <w:snapToGrid w:val="false"/>
          <w:color w:val="000000"/>
          <w:spacing w:val="-6"/>
          <w:kern w:val="0"/>
          <w:sz w:val="28"/>
          <w:szCs w:val="28"/>
          <w:lang w:val="en-US" w:eastAsia="zh-CN" w:bidi="ar"/>
        </w:rPr>
        <w:t>县</w:t>
      </w:r>
      <w:r>
        <w:rPr>
          <w:rFonts w:ascii="Times New Roman" w:hAnsi="Times New Roman" w:eastAsia="仿宋" w:cs="Times New Roman"/>
          <w:b w:val="false"/>
          <w:bCs w:val="false"/>
          <w:snapToGrid w:val="false"/>
          <w:color w:val="000000"/>
          <w:spacing w:val="-6"/>
          <w:kern w:val="0"/>
          <w:sz w:val="28"/>
          <w:szCs w:val="28"/>
          <w:lang w:val="en-US" w:eastAsia="zh-CN" w:bidi="ar"/>
        </w:rPr>
        <w:t>特色经济林建设。</w:t>
      </w:r>
      <w:r>
        <w:rPr>
          <w:rFonts w:ascii="Times New Roman" w:hAnsi="Times New Roman" w:eastAsia="仿宋" w:cs="Times New Roman"/>
          <w:snapToGrid w:val="false"/>
          <w:color w:val="000000"/>
          <w:spacing w:val="-6"/>
          <w:kern w:val="0"/>
          <w:sz w:val="28"/>
          <w:szCs w:val="28"/>
          <w:lang w:val="en-US" w:eastAsia="zh-CN" w:bidi="ar"/>
        </w:rPr>
        <w:t>加大标准化生产</w:t>
      </w:r>
      <w:r>
        <w:rPr>
          <w:rFonts w:hint="eastAsia" w:ascii="仿宋" w:hAnsi="仿宋" w:eastAsia="仿宋" w:cs="仿宋"/>
          <w:snapToGrid w:val="false"/>
          <w:color w:val="000000"/>
          <w:spacing w:val="-6"/>
          <w:kern w:val="0"/>
          <w:sz w:val="28"/>
          <w:szCs w:val="28"/>
          <w:lang w:val="en-US" w:eastAsia="zh-CN" w:bidi="ar"/>
        </w:rPr>
        <w:t>技术推广力度，</w:t>
      </w:r>
      <w:r>
        <w:rPr>
          <w:rFonts w:hint="eastAsia" w:ascii="仿宋" w:hAnsi="仿宋" w:eastAsia="仿宋" w:cs="仿宋"/>
          <w:b w:val="false"/>
          <w:bCs w:val="false"/>
          <w:snapToGrid w:val="false"/>
          <w:color w:val="000000"/>
          <w:spacing w:val="-6"/>
          <w:kern w:val="0"/>
          <w:sz w:val="28"/>
          <w:szCs w:val="28"/>
          <w:lang w:val="en-US" w:eastAsia="zh-CN" w:bidi="ar"/>
        </w:rPr>
        <w:t>采</w:t>
      </w:r>
      <w:r>
        <w:rPr>
          <w:rFonts w:hint="eastAsia" w:ascii="仿宋" w:hAnsi="仿宋" w:eastAsia="仿宋" w:cs="仿宋"/>
          <w:snapToGrid w:val="false"/>
          <w:color w:val="000000"/>
          <w:spacing w:val="-6"/>
          <w:kern w:val="0"/>
          <w:sz w:val="28"/>
          <w:szCs w:val="28"/>
          <w:lang w:val="en-US" w:eastAsia="zh-CN" w:bidi="ar"/>
        </w:rPr>
        <w:t>用“企业+基地”“企业+合作社+林农”等</w:t>
      </w:r>
      <w:r>
        <w:rPr>
          <w:rFonts w:ascii="Times New Roman" w:hAnsi="Times New Roman" w:eastAsia="仿宋" w:cs="Times New Roman"/>
          <w:snapToGrid w:val="false"/>
          <w:color w:val="000000"/>
          <w:spacing w:val="-6"/>
          <w:kern w:val="0"/>
          <w:sz w:val="28"/>
          <w:szCs w:val="28"/>
          <w:lang w:val="en-US" w:eastAsia="zh-CN" w:bidi="ar"/>
        </w:rPr>
        <w:t>多种形式，开展标准化生产、集约化经营，申请</w:t>
      </w:r>
      <w:r>
        <w:rPr>
          <w:rFonts w:ascii="Times New Roman" w:hAnsi="Times New Roman" w:eastAsia="仿宋" w:cs="Times New Roman"/>
          <w:b w:val="false"/>
          <w:bCs w:val="false"/>
          <w:snapToGrid w:val="false"/>
          <w:color w:val="000000"/>
          <w:spacing w:val="-6"/>
          <w:kern w:val="0"/>
          <w:sz w:val="28"/>
          <w:szCs w:val="28"/>
          <w:lang w:val="en-US" w:eastAsia="zh-CN" w:bidi="ar"/>
        </w:rPr>
        <w:t>无公害、绿色、有机产品和地理标志产品认证标志2个，提高产品认证率。</w:t>
      </w:r>
    </w:p>
    <w:p>
      <w:pPr>
        <w:pStyle w:val="000007"/>
        <w:keepNext w:val="false"/>
        <w:keepLines/>
        <w:pageBreakBefore w:val="false"/>
        <w:widowControl w:val="false"/>
        <w:numPr>
          <w:ilvl w:val="0"/>
          <w:numId w:val="22"/>
        </w:numPr>
        <w:suppressLineNumbers w:val="false"/>
        <w:tabs>
          <w:tab w:val="clear" w:pos="0"/>
        </w:tabs>
        <w:kinsoku/>
        <w:wordWrap/>
        <w:overflowPunct/>
        <w:topLinePunct w:val="false"/>
        <w:autoSpaceDE/>
        <w:autoSpaceDN w:val="false"/>
        <w:bidi w:val="false"/>
        <w:spacing w:before="100" w:beforeAutospacing="false" w:after="100" w:afterAutospacing="false" w:line="560" w:lineRule="exact"/>
        <w:ind w:left="0" w:right="0" w:firstLine="467" w:firstLineChars="150"/>
        <w:rPr>
          <w:rFonts w:ascii="Times New Roman" w:hAnsi="Times New Roman" w:eastAsia="方正楷体_GBK" w:cs="Times New Roman"/>
          <w:color w:val="000000"/>
          <w:spacing w:val="-5"/>
          <w:position w:val="1"/>
          <w:szCs w:val="32"/>
          <w:lang w:val="en-US" w:eastAsia="zh-CN"/>
        </w:rPr>
      </w:pPr>
      <w:r>
        <w:rPr>
          <w:rFonts w:ascii="Times New Roman" w:hAnsi="Times New Roman" w:eastAsia="方正楷体_GBK" w:cs="Times New Roman"/>
          <w:color w:val="000000"/>
          <w:spacing w:val="-5"/>
          <w:position w:val="1"/>
          <w:szCs w:val="32"/>
          <w:lang w:val="en-US" w:eastAsia="zh-CN"/>
        </w:rPr>
        <w:t>构建精深加工体系</w:t>
      </w:r>
    </w:p>
    <w:p>
      <w:pPr>
        <w:pStyle w:val="000001"/>
        <w:keepNext w:val="false"/>
        <w:keepLines w:val="false"/>
        <w:pageBreakBefore w:val="false"/>
        <w:widowControl/>
        <w:suppressLineNumbers w:val="false"/>
        <w:kinsoku/>
        <w:wordWrap/>
        <w:overflowPunct/>
        <w:topLinePunct w:val="false"/>
        <w:autoSpaceDE w:val="false"/>
        <w:autoSpaceDN w:val="false"/>
        <w:bidi w:val="false"/>
        <w:spacing w:beforeAutospacing="false" w:after="0" w:afterAutospacing="false" w:line="560" w:lineRule="exact"/>
        <w:ind w:left="0" w:right="0" w:firstLine="536" w:firstLineChars="200"/>
        <w:jc w:val="both"/>
        <w:rPr>
          <w:rFonts w:hint="eastAsia" w:ascii="Times New Roman" w:hAnsi="Times New Roman" w:eastAsia="仿宋" w:cs="Times New Roman"/>
          <w:snapToGrid w:val="false"/>
          <w:color w:val="000000"/>
          <w:spacing w:val="-6"/>
          <w:kern w:val="0"/>
          <w:sz w:val="28"/>
          <w:szCs w:val="28"/>
          <w:lang w:val="en-US" w:eastAsia="zh-CN" w:bidi="ar"/>
        </w:rPr>
      </w:pPr>
      <w:r>
        <w:rPr>
          <w:rFonts w:hint="eastAsia" w:ascii="Times New Roman" w:hAnsi="Times New Roman" w:eastAsia="仿宋" w:cs="Times New Roman"/>
          <w:snapToGrid w:val="false"/>
          <w:color w:val="000000"/>
          <w:spacing w:val="-6"/>
          <w:kern w:val="0"/>
          <w:sz w:val="28"/>
          <w:szCs w:val="28"/>
          <w:lang w:val="en-US" w:eastAsia="zh-CN" w:bidi="ar"/>
        </w:rPr>
        <w:t>聚焦精深加工与品牌培育，突出全产业链协同，构建产业集群，强化品牌塑造，采用产学研融合方式，提升产业附加值与市场影响力。</w:t>
      </w:r>
    </w:p>
    <w:p>
      <w:pPr>
        <w:pStyle w:val="000001"/>
        <w:keepNext w:val="false"/>
        <w:keepLines w:val="false"/>
        <w:pageBreakBefore w:val="false"/>
        <w:widowControl w:val="false"/>
        <w:suppressLineNumbers w:val="false"/>
        <w:kinsoku/>
        <w:wordWrap/>
        <w:overflowPunct/>
        <w:topLinePunct w:val="false"/>
        <w:autoSpaceDE w:val="false"/>
        <w:autoSpaceDN w:val="false"/>
        <w:bidi w:val="false"/>
        <w:spacing w:beforeAutospacing="false" w:after="0" w:afterAutospacing="false" w:line="560" w:lineRule="exact"/>
        <w:ind w:left="0" w:right="0" w:firstLine="536" w:firstLineChars="200"/>
        <w:jc w:val="both"/>
        <w:rPr>
          <w:rFonts w:ascii="Times New Roman" w:hAnsi="Times New Roman" w:eastAsia="仿宋" w:cs="Times New Roman"/>
          <w:snapToGrid w:val="false"/>
          <w:color w:val="000000"/>
          <w:spacing w:val="-6"/>
          <w:kern w:val="0"/>
          <w:sz w:val="28"/>
          <w:szCs w:val="28"/>
          <w:lang w:val="en-US" w:eastAsia="zh-CN" w:bidi="ar"/>
        </w:rPr>
      </w:pPr>
      <w:r>
        <w:rPr>
          <w:rFonts w:hint="eastAsia" w:ascii="方正楷体_GBK" w:hAnsi="方正楷体_GBK" w:eastAsia="方正楷体_GBK" w:cs="方正楷体_GBK"/>
          <w:b w:val="false"/>
          <w:bCs w:val="false"/>
          <w:snapToGrid w:val="false"/>
          <w:color w:val="000000"/>
          <w:spacing w:val="-6"/>
          <w:kern w:val="0"/>
          <w:sz w:val="28"/>
          <w:szCs w:val="28"/>
          <w:lang w:val="en-US" w:eastAsia="zh-CN" w:bidi="ar"/>
        </w:rPr>
        <w:t>打造精深加工产业集群。</w:t>
      </w:r>
      <w:r>
        <w:rPr>
          <w:rFonts w:ascii="Times New Roman" w:hAnsi="Times New Roman" w:eastAsia="仿宋" w:cs="Times New Roman"/>
          <w:snapToGrid w:val="false"/>
          <w:color w:val="000000"/>
          <w:spacing w:val="-6"/>
          <w:kern w:val="0"/>
          <w:sz w:val="28"/>
          <w:szCs w:val="28"/>
          <w:lang w:val="en-US" w:eastAsia="zh-CN" w:bidi="ar"/>
        </w:rPr>
        <w:t>依托西沱镇川渝（西沱）农产品电商物流综合产业园，建立集水果分拣、包装、尾果榨汁等综合处理的初加工基地1个；</w:t>
      </w:r>
      <w:r>
        <w:rPr>
          <w:rFonts w:hint="eastAsia" w:ascii="Times New Roman" w:hAnsi="Times New Roman" w:eastAsia="仿宋" w:cs="Times New Roman"/>
          <w:snapToGrid w:val="false"/>
          <w:color w:val="000000"/>
          <w:spacing w:val="-6"/>
          <w:kern w:val="0"/>
          <w:sz w:val="28"/>
          <w:szCs w:val="28"/>
          <w:lang w:val="en-US" w:eastAsia="zh-CN" w:bidi="ar"/>
        </w:rPr>
        <w:t>以桥头镇为中心，周边乡镇为载体，打造县级果业产业园1个</w:t>
      </w:r>
      <w:r>
        <w:rPr>
          <w:rFonts w:ascii="Times New Roman" w:hAnsi="Times New Roman" w:eastAsia="仿宋" w:cs="Times New Roman"/>
          <w:snapToGrid w:val="false"/>
          <w:color w:val="000000"/>
          <w:spacing w:val="-6"/>
          <w:kern w:val="0"/>
          <w:sz w:val="28"/>
          <w:szCs w:val="28"/>
          <w:lang w:val="en-US" w:eastAsia="zh-CN" w:bidi="ar"/>
        </w:rPr>
        <w:t>。依托石柱县农特产品冷链物流电商产业服务中心和仓储冷链中转站，</w:t>
      </w:r>
      <w:r>
        <w:rPr>
          <w:rFonts w:hint="eastAsia" w:ascii="Times New Roman" w:hAnsi="Times New Roman" w:eastAsia="仿宋" w:cs="Times New Roman"/>
          <w:snapToGrid w:val="false"/>
          <w:color w:val="000000"/>
          <w:spacing w:val="-6"/>
          <w:kern w:val="0"/>
          <w:sz w:val="28"/>
          <w:szCs w:val="28"/>
          <w:lang w:val="en-US" w:eastAsia="zh-CN" w:bidi="ar"/>
        </w:rPr>
        <w:t>结合产业布局，</w:t>
      </w:r>
      <w:r>
        <w:rPr>
          <w:rFonts w:ascii="Times New Roman" w:hAnsi="Times New Roman" w:eastAsia="仿宋" w:cs="Times New Roman"/>
          <w:snapToGrid w:val="false"/>
          <w:color w:val="000000"/>
          <w:spacing w:val="-6"/>
          <w:kern w:val="0"/>
          <w:sz w:val="28"/>
          <w:szCs w:val="28"/>
          <w:lang w:val="en-US" w:eastAsia="zh-CN" w:bidi="ar"/>
        </w:rPr>
        <w:t>构建</w:t>
      </w:r>
      <w:r>
        <w:rPr>
          <w:rFonts w:hint="eastAsia" w:ascii="Times New Roman" w:hAnsi="Times New Roman" w:eastAsia="仿宋" w:cs="Times New Roman"/>
          <w:snapToGrid w:val="false"/>
          <w:color w:val="000000"/>
          <w:spacing w:val="-6"/>
          <w:kern w:val="0"/>
          <w:sz w:val="28"/>
          <w:szCs w:val="28"/>
          <w:lang w:val="en-US" w:eastAsia="zh-CN" w:bidi="ar"/>
        </w:rPr>
        <w:t>1个</w:t>
      </w:r>
      <w:r>
        <w:rPr>
          <w:rFonts w:ascii="Times New Roman" w:hAnsi="Times New Roman" w:eastAsia="仿宋" w:cs="Times New Roman"/>
          <w:snapToGrid w:val="false"/>
          <w:color w:val="000000"/>
          <w:spacing w:val="-6"/>
          <w:kern w:val="0"/>
          <w:sz w:val="28"/>
          <w:szCs w:val="28"/>
          <w:lang w:val="en-US" w:eastAsia="zh-CN" w:bidi="ar"/>
        </w:rPr>
        <w:t>从产地到市场的冷链物流体系</w:t>
      </w:r>
      <w:r>
        <w:rPr>
          <w:rFonts w:hint="eastAsia" w:ascii="Times New Roman" w:hAnsi="Times New Roman" w:eastAsia="仿宋" w:cs="Times New Roman"/>
          <w:snapToGrid w:val="false"/>
          <w:color w:val="000000"/>
          <w:spacing w:val="-6"/>
          <w:kern w:val="0"/>
          <w:sz w:val="28"/>
          <w:szCs w:val="28"/>
          <w:lang w:val="en-US" w:eastAsia="zh-CN" w:bidi="ar"/>
        </w:rPr>
        <w:t>；采取“一企一策”措施，培育县级重点企业3家</w:t>
      </w:r>
      <w:r>
        <w:rPr>
          <w:rFonts w:ascii="Times New Roman" w:hAnsi="Times New Roman" w:eastAsia="仿宋" w:cs="Times New Roman"/>
          <w:snapToGrid w:val="false"/>
          <w:color w:val="000000"/>
          <w:spacing w:val="-6"/>
          <w:kern w:val="0"/>
          <w:sz w:val="28"/>
          <w:szCs w:val="28"/>
          <w:lang w:val="en-US" w:eastAsia="zh-CN" w:bidi="ar"/>
        </w:rPr>
        <w:t>。</w:t>
      </w:r>
    </w:p>
    <w:p>
      <w:pPr>
        <w:pStyle w:val="000001"/>
        <w:keepNext w:val="false"/>
        <w:keepLines w:val="false"/>
        <w:pageBreakBefore w:val="false"/>
        <w:widowControl w:val="false"/>
        <w:suppressLineNumbers w:val="false"/>
        <w:kinsoku/>
        <w:wordWrap/>
        <w:overflowPunct/>
        <w:topLinePunct w:val="false"/>
        <w:autoSpaceDE w:val="false"/>
        <w:autoSpaceDN w:val="false"/>
        <w:bidi w:val="false"/>
        <w:spacing w:beforeAutospacing="false" w:after="0" w:afterAutospacing="false"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b w:val="false"/>
          <w:bCs w:val="false"/>
          <w:snapToGrid w:val="false"/>
          <w:color w:val="000000"/>
          <w:spacing w:val="-6"/>
          <w:kern w:val="0"/>
          <w:sz w:val="28"/>
          <w:szCs w:val="28"/>
          <w:lang w:val="en-US" w:eastAsia="zh-CN" w:bidi="ar"/>
        </w:rPr>
        <w:t>强化乡土特色品牌培育。</w:t>
      </w:r>
      <w:r>
        <w:rPr>
          <w:rFonts w:ascii="Times New Roman" w:hAnsi="Times New Roman" w:eastAsia="仿宋" w:cs="Times New Roman"/>
          <w:snapToGrid w:val="false"/>
          <w:color w:val="000000"/>
          <w:spacing w:val="-6"/>
          <w:kern w:val="0"/>
          <w:sz w:val="28"/>
          <w:szCs w:val="28"/>
          <w:lang w:val="en-US" w:eastAsia="zh-CN" w:bidi="ar"/>
        </w:rPr>
        <w:t>引导经营主体加强与成渝地区高等院校、科研机构的产学研合作</w:t>
      </w:r>
      <w:r>
        <w:rPr>
          <w:rFonts w:hint="eastAsia" w:ascii="仿宋" w:hAnsi="仿宋" w:eastAsia="仿宋" w:cs="仿宋"/>
          <w:snapToGrid w:val="false"/>
          <w:color w:val="000000"/>
          <w:spacing w:val="-6"/>
          <w:kern w:val="0"/>
          <w:sz w:val="28"/>
          <w:szCs w:val="28"/>
          <w:lang w:val="en-US" w:eastAsia="zh-CN" w:bidi="ar"/>
        </w:rPr>
        <w:t>，共建产业技术创新平台，</w:t>
      </w:r>
      <w:r>
        <w:rPr>
          <w:rFonts w:ascii="Times New Roman" w:hAnsi="Times New Roman" w:eastAsia="仿宋" w:cs="Times New Roman"/>
          <w:snapToGrid w:val="false"/>
          <w:color w:val="000000"/>
          <w:spacing w:val="-6"/>
          <w:kern w:val="0"/>
          <w:sz w:val="28"/>
          <w:szCs w:val="28"/>
          <w:lang w:val="en-US" w:eastAsia="zh-CN" w:bidi="ar"/>
        </w:rPr>
        <w:t>推进脆红李罐头与果酒、柠檬饮料与精油、佛手饼干与精油</w:t>
      </w:r>
      <w:r>
        <w:rPr>
          <w:rFonts w:hint="eastAsia" w:ascii="Times New Roman" w:hAnsi="Times New Roman" w:eastAsia="仿宋" w:cs="Times New Roman"/>
          <w:snapToGrid w:val="false"/>
          <w:color w:val="000000"/>
          <w:spacing w:val="-6"/>
          <w:kern w:val="0"/>
          <w:sz w:val="28"/>
          <w:szCs w:val="28"/>
          <w:lang w:val="en-US" w:eastAsia="zh-CN" w:bidi="ar"/>
        </w:rPr>
        <w:t>、木瓜白兰地和手工皂</w:t>
      </w:r>
      <w:r>
        <w:rPr>
          <w:rFonts w:ascii="Times New Roman" w:hAnsi="Times New Roman" w:eastAsia="仿宋" w:cs="Times New Roman"/>
          <w:snapToGrid w:val="false"/>
          <w:color w:val="000000"/>
          <w:spacing w:val="-6"/>
          <w:kern w:val="0"/>
          <w:sz w:val="28"/>
          <w:szCs w:val="28"/>
          <w:lang w:val="en-US" w:eastAsia="zh-CN" w:bidi="ar"/>
        </w:rPr>
        <w:t>等</w:t>
      </w:r>
      <w:r>
        <w:rPr>
          <w:rFonts w:hint="eastAsia" w:ascii="Times New Roman" w:hAnsi="Times New Roman" w:eastAsia="仿宋" w:cs="Times New Roman"/>
          <w:snapToGrid w:val="false"/>
          <w:color w:val="000000"/>
          <w:spacing w:val="-6"/>
          <w:kern w:val="0"/>
          <w:sz w:val="28"/>
          <w:szCs w:val="28"/>
          <w:lang w:val="en-US" w:eastAsia="zh-CN" w:bidi="ar"/>
        </w:rPr>
        <w:t>8</w:t>
      </w:r>
      <w:r>
        <w:rPr>
          <w:rFonts w:ascii="Times New Roman" w:hAnsi="Times New Roman" w:eastAsia="仿宋" w:cs="Times New Roman"/>
          <w:snapToGrid w:val="false"/>
          <w:color w:val="000000"/>
          <w:spacing w:val="-6"/>
          <w:kern w:val="0"/>
          <w:sz w:val="28"/>
          <w:szCs w:val="28"/>
          <w:lang w:val="en-US" w:eastAsia="zh-CN" w:bidi="ar"/>
        </w:rPr>
        <w:t>个特色产品的研发与生产。</w:t>
      </w:r>
      <w:r>
        <w:rPr>
          <w:rFonts w:ascii="Times New Roman" w:hAnsi="Times New Roman" w:eastAsia="仿宋" w:cs="Times New Roman"/>
          <w:snapToGrid w:val="false"/>
          <w:color w:val="000000"/>
          <w:spacing w:val="-6"/>
          <w:sz w:val="28"/>
          <w:szCs w:val="28"/>
          <w:lang w:val="en-US" w:eastAsia="zh-CN" w:bidi="ar"/>
        </w:rPr>
        <w:t>建立健全产品质量可追溯体系，立足乡土特色优势，培</w:t>
      </w:r>
      <w:r>
        <w:rPr>
          <w:rFonts w:hint="eastAsia" w:ascii="仿宋" w:hAnsi="仿宋" w:eastAsia="仿宋" w:cs="仿宋"/>
          <w:snapToGrid w:val="false"/>
          <w:color w:val="000000"/>
          <w:spacing w:val="-6"/>
          <w:sz w:val="28"/>
          <w:szCs w:val="28"/>
          <w:lang w:val="en-US" w:eastAsia="zh-CN" w:bidi="ar"/>
        </w:rPr>
        <w:t>育“石柱脆李”“木瓜白兰地”品牌，塑造具有高辨</w:t>
      </w:r>
      <w:r>
        <w:rPr>
          <w:rFonts w:ascii="Times New Roman" w:hAnsi="Times New Roman" w:eastAsia="仿宋" w:cs="Times New Roman"/>
          <w:snapToGrid w:val="false"/>
          <w:color w:val="000000"/>
          <w:spacing w:val="-6"/>
          <w:sz w:val="28"/>
          <w:szCs w:val="28"/>
          <w:lang w:val="en-US" w:eastAsia="zh-CN" w:bidi="ar"/>
        </w:rPr>
        <w:t>识度和文化内涵的乡土</w:t>
      </w:r>
      <w:r>
        <w:rPr>
          <w:rFonts w:hint="eastAsia" w:ascii="Times New Roman" w:hAnsi="Times New Roman" w:eastAsia="仿宋" w:cs="Times New Roman"/>
          <w:snapToGrid w:val="false"/>
          <w:color w:val="000000"/>
          <w:spacing w:val="-6"/>
          <w:sz w:val="28"/>
          <w:szCs w:val="28"/>
          <w:lang w:val="en-US" w:eastAsia="zh-CN" w:bidi="ar"/>
        </w:rPr>
        <w:t>特色</w:t>
      </w:r>
      <w:r>
        <w:rPr>
          <w:rFonts w:ascii="Times New Roman" w:hAnsi="Times New Roman" w:eastAsia="仿宋" w:cs="Times New Roman"/>
          <w:snapToGrid w:val="false"/>
          <w:color w:val="000000"/>
          <w:spacing w:val="-6"/>
          <w:sz w:val="28"/>
          <w:szCs w:val="28"/>
          <w:lang w:val="en-US" w:eastAsia="zh-CN" w:bidi="ar"/>
        </w:rPr>
        <w:t>品牌形象。</w:t>
      </w:r>
    </w:p>
    <w:p>
      <w:pPr>
        <w:pStyle w:val="000007"/>
        <w:keepNext w:val="false"/>
        <w:keepLines/>
        <w:pageBreakBefore w:val="false"/>
        <w:widowControl w:val="false"/>
        <w:numPr>
          <w:ilvl w:val="0"/>
          <w:numId w:val="22"/>
        </w:numPr>
        <w:suppressLineNumbers w:val="false"/>
        <w:tabs>
          <w:tab w:val="clear" w:pos="0"/>
        </w:tabs>
        <w:kinsoku/>
        <w:wordWrap/>
        <w:overflowPunct/>
        <w:topLinePunct w:val="false"/>
        <w:autoSpaceDE/>
        <w:autoSpaceDN w:val="false"/>
        <w:bidi w:val="false"/>
        <w:spacing w:before="100" w:beforeAutospacing="false" w:after="100" w:afterAutospacing="false" w:line="560" w:lineRule="exact"/>
        <w:ind w:left="0" w:right="0" w:firstLine="467" w:firstLineChars="150"/>
        <w:rPr>
          <w:rFonts w:ascii="Times New Roman" w:hAnsi="Times New Roman" w:eastAsia="方正楷体_GBK" w:cs="Times New Roman"/>
          <w:color w:val="000000"/>
          <w:spacing w:val="-5"/>
          <w:position w:val="1"/>
          <w:szCs w:val="32"/>
          <w:lang w:val="en-US" w:eastAsia="zh-CN"/>
        </w:rPr>
      </w:pPr>
      <w:r>
        <w:rPr>
          <w:rFonts w:ascii="Times New Roman" w:hAnsi="Times New Roman" w:eastAsia="方正楷体_GBK" w:cs="Times New Roman"/>
          <w:color w:val="000000"/>
          <w:spacing w:val="-5"/>
          <w:position w:val="1"/>
          <w:szCs w:val="32"/>
          <w:lang w:val="en-US" w:eastAsia="zh-CN"/>
        </w:rPr>
        <w:t>加快产业融合发展</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snapToGrid w:val="false"/>
          <w:color w:val="000000"/>
          <w:spacing w:val="-6"/>
          <w:sz w:val="28"/>
          <w:szCs w:val="28"/>
          <w:lang w:val="en-US" w:eastAsia="zh-CN" w:bidi="ar"/>
        </w:rPr>
      </w:pPr>
      <w:r>
        <w:rPr>
          <w:rFonts w:ascii="Times New Roman" w:hAnsi="Times New Roman" w:eastAsia="仿宋" w:cs="Times New Roman"/>
          <w:snapToGrid w:val="false"/>
          <w:color w:val="000000"/>
          <w:spacing w:val="-6"/>
          <w:sz w:val="28"/>
          <w:szCs w:val="28"/>
          <w:lang w:val="en-US" w:eastAsia="zh-CN" w:bidi="ar"/>
        </w:rPr>
        <w:t>立足特色经济林的生态景观与产业价值，</w:t>
      </w:r>
      <w:r>
        <w:rPr>
          <w:rFonts w:hint="eastAsia" w:ascii="仿宋" w:hAnsi="仿宋" w:eastAsia="仿宋" w:cs="仿宋"/>
          <w:snapToGrid w:val="false"/>
          <w:color w:val="000000"/>
          <w:spacing w:val="-6"/>
          <w:sz w:val="28"/>
          <w:szCs w:val="28"/>
          <w:lang w:val="en-US" w:eastAsia="zh-CN" w:bidi="ar"/>
        </w:rPr>
        <w:t>打造集“观光、采摘、体验、科普”于一</w:t>
      </w:r>
      <w:r>
        <w:rPr>
          <w:rFonts w:ascii="Times New Roman" w:hAnsi="Times New Roman" w:eastAsia="仿宋" w:cs="Times New Roman"/>
          <w:snapToGrid w:val="false"/>
          <w:color w:val="000000"/>
          <w:spacing w:val="-6"/>
          <w:sz w:val="28"/>
          <w:szCs w:val="28"/>
          <w:lang w:val="en-US" w:eastAsia="zh-CN" w:bidi="ar"/>
        </w:rPr>
        <w:t>体</w:t>
      </w:r>
      <w:r>
        <w:rPr>
          <w:rFonts w:hint="eastAsia" w:ascii="Times New Roman" w:hAnsi="Times New Roman" w:eastAsia="仿宋" w:cs="Times New Roman"/>
          <w:snapToGrid w:val="false"/>
          <w:color w:val="000000"/>
          <w:spacing w:val="-6"/>
          <w:sz w:val="28"/>
          <w:szCs w:val="28"/>
          <w:lang w:val="en-US" w:eastAsia="zh-CN" w:bidi="ar"/>
        </w:rPr>
        <w:t>的</w:t>
      </w:r>
      <w:r>
        <w:rPr>
          <w:rFonts w:ascii="Times New Roman" w:hAnsi="Times New Roman" w:eastAsia="仿宋" w:cs="Times New Roman"/>
          <w:snapToGrid w:val="false"/>
          <w:color w:val="000000"/>
          <w:spacing w:val="-6"/>
          <w:sz w:val="28"/>
          <w:szCs w:val="28"/>
          <w:lang w:val="en-US" w:eastAsia="zh-CN" w:bidi="ar"/>
        </w:rPr>
        <w:t>特色水果采摘园</w:t>
      </w:r>
      <w:r>
        <w:rPr>
          <w:rFonts w:hint="eastAsia" w:ascii="Times New Roman" w:hAnsi="Times New Roman" w:eastAsia="仿宋" w:cs="Times New Roman"/>
          <w:snapToGrid w:val="false"/>
          <w:color w:val="000000"/>
          <w:spacing w:val="-6"/>
          <w:sz w:val="28"/>
          <w:szCs w:val="28"/>
          <w:lang w:val="en-US" w:eastAsia="zh-CN" w:bidi="ar"/>
        </w:rPr>
        <w:t>3个；联动周边景区、民宿等文旅资源，推出“经济林观光+加工体验+乡村度假”精品旅游线路，实现“卖产品”向“卖风景、卖体验”转变，拓展产业增收空间，</w:t>
      </w:r>
      <w:r>
        <w:rPr>
          <w:rFonts w:ascii="Times New Roman" w:hAnsi="Times New Roman" w:eastAsia="仿宋" w:cs="Times New Roman"/>
          <w:snapToGrid w:val="false"/>
          <w:color w:val="000000"/>
          <w:spacing w:val="-6"/>
          <w:sz w:val="28"/>
          <w:szCs w:val="28"/>
          <w:lang w:val="en-US" w:eastAsia="zh-CN" w:bidi="ar"/>
        </w:rPr>
        <w:t>促进多业态融合发展</w:t>
      </w:r>
      <w:r>
        <w:rPr>
          <w:rFonts w:hint="eastAsia" w:ascii="Times New Roman" w:hAnsi="Times New Roman" w:eastAsia="仿宋" w:cs="Times New Roman"/>
          <w:snapToGrid w:val="false"/>
          <w:color w:val="000000"/>
          <w:spacing w:val="-6"/>
          <w:sz w:val="28"/>
          <w:szCs w:val="28"/>
          <w:lang w:val="en-US" w:eastAsia="zh-CN" w:bidi="ar"/>
        </w:rPr>
        <w:t>，</w:t>
      </w:r>
      <w:r>
        <w:rPr>
          <w:rFonts w:ascii="Times New Roman" w:hAnsi="Times New Roman" w:eastAsia="仿宋" w:cs="Times New Roman"/>
          <w:snapToGrid w:val="false"/>
          <w:color w:val="000000"/>
          <w:spacing w:val="-6"/>
          <w:sz w:val="28"/>
          <w:szCs w:val="28"/>
          <w:lang w:val="en-US" w:eastAsia="zh-CN" w:bidi="ar"/>
        </w:rPr>
        <w:t>提升产品整体附加值和市场竞争力</w:t>
      </w:r>
      <w:r>
        <w:rPr>
          <w:rFonts w:hint="eastAsia" w:ascii="Times New Roman" w:hAnsi="Times New Roman" w:eastAsia="仿宋" w:cs="Times New Roman"/>
          <w:snapToGrid w:val="false"/>
          <w:color w:val="000000"/>
          <w:spacing w:val="-6"/>
          <w:sz w:val="28"/>
          <w:szCs w:val="28"/>
          <w:lang w:val="en-US" w:eastAsia="zh-CN" w:bidi="ar"/>
        </w:rPr>
        <w:t>。</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9" w:hRule="atLeast"/>
          <w:tblHeader/>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.4.1 特色经济林发展重点</w:t>
            </w:r>
          </w:p>
        </w:tc>
      </w:tr>
      <w:tr>
        <w:trPr>
          <w:wBefore/>
          <w:trHeight w:val="327"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建设任务</w:t>
            </w:r>
          </w:p>
        </w:tc>
      </w:tr>
      <w:tr>
        <w:trPr>
          <w:wBefore/>
          <w:trHeight w:val="90"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snapToGrid w:val="false"/>
                <w:color w:val="000000"/>
                <w:spacing w:val="-6"/>
                <w:kern w:val="0"/>
                <w:sz w:val="21"/>
                <w:szCs w:val="21"/>
                <w:lang w:val="en-US" w:eastAsia="zh-CN" w:bidi="ar"/>
              </w:rPr>
              <w:t>1</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right="0"/>
              <w:jc w:val="left"/>
              <w:rPr>
                <w:rFonts w:hint="eastAsia" w:ascii="黑体" w:hAnsi="宋体" w:eastAsia="黑体" w:cs="黑体"/>
                <w:color w:val="000000"/>
                <w:spacing w:val="-6"/>
                <w:lang w:val="en-US"/>
              </w:rPr>
            </w:pPr>
            <w:r>
              <w:rPr>
                <w:rFonts w:hint="eastAsia" w:ascii="黑体" w:hAnsi="宋体" w:eastAsia="黑体" w:cs="黑体"/>
                <w:snapToGrid w:val="false"/>
                <w:color w:val="000000"/>
                <w:spacing w:val="-6"/>
                <w:kern w:val="0"/>
                <w:sz w:val="21"/>
                <w:szCs w:val="21"/>
                <w:lang w:val="en-US" w:eastAsia="zh-CN" w:bidi="ar"/>
              </w:rPr>
              <w:t>特色水果林</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snapToGrid w:val="false"/>
                <w:color w:val="000000"/>
                <w:spacing w:val="-6"/>
                <w:kern w:val="0"/>
                <w:sz w:val="21"/>
                <w:szCs w:val="21"/>
                <w:lang w:val="en-US" w:eastAsia="zh-CN" w:bidi="ar"/>
              </w:rPr>
              <w:t>改培特色水果林总面积5</w:t>
            </w:r>
            <w:r>
              <w:rPr>
                <w:rFonts w:ascii="Times New Roman" w:hAnsi="Times New Roman" w:eastAsia="仿宋" w:cs="Times New Roman"/>
                <w:snapToGrid w:val="false"/>
                <w:color w:val="000000"/>
                <w:spacing w:val="-6"/>
                <w:kern w:val="0"/>
                <w:sz w:val="21"/>
                <w:szCs w:val="21"/>
                <w:lang w:val="en-US" w:eastAsia="zh-CN" w:bidi="ar"/>
              </w:rPr>
              <w:t>.5</w:t>
            </w:r>
            <w:r>
              <w:rPr>
                <w:rFonts w:hint="eastAsia" w:ascii="Times New Roman" w:hAnsi="Times New Roman" w:eastAsia="仿宋" w:cs="Times New Roman"/>
                <w:snapToGrid w:val="false"/>
                <w:color w:val="000000"/>
                <w:spacing w:val="-6"/>
                <w:kern w:val="0"/>
                <w:sz w:val="21"/>
                <w:szCs w:val="21"/>
                <w:lang w:val="en-US" w:eastAsia="zh-CN" w:bidi="ar"/>
              </w:rPr>
              <w:t>万亩。在南宾街道、万安街道、下路街道、三河镇和三星乡等5个镇街提升脆红李4.0万亩；在万朝镇、王场镇、西沱镇和沿溪镇等4个镇提升柑橘类（柑橘、柠檬）1.5万亩。</w:t>
            </w:r>
          </w:p>
        </w:tc>
      </w:tr>
      <w:tr>
        <w:trPr>
          <w:wBefore/>
          <w:trHeight w:val="964"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snapToGrid w:val="false"/>
                <w:color w:val="000000"/>
                <w:spacing w:val="-6"/>
                <w:kern w:val="0"/>
                <w:sz w:val="21"/>
                <w:szCs w:val="21"/>
                <w:lang w:val="en-US" w:eastAsia="zh-CN" w:bidi="ar"/>
              </w:rPr>
              <w:t>2</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right="0"/>
              <w:jc w:val="left"/>
              <w:rPr>
                <w:rFonts w:hint="eastAsia" w:ascii="黑体" w:hAnsi="宋体" w:eastAsia="黑体" w:cs="黑体"/>
                <w:color w:val="000000"/>
                <w:spacing w:val="-6"/>
                <w:lang w:val="en-US"/>
              </w:rPr>
            </w:pPr>
            <w:r>
              <w:rPr>
                <w:rFonts w:hint="eastAsia" w:ascii="黑体" w:hAnsi="宋体" w:eastAsia="黑体" w:cs="黑体"/>
                <w:snapToGrid w:val="false"/>
                <w:color w:val="000000"/>
                <w:spacing w:val="-6"/>
                <w:kern w:val="0"/>
                <w:sz w:val="21"/>
                <w:szCs w:val="21"/>
                <w:lang w:val="en-US" w:eastAsia="zh-CN" w:bidi="ar"/>
              </w:rPr>
              <w:t>木本药材林</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both"/>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snapToGrid w:val="false"/>
                <w:color w:val="000000"/>
                <w:spacing w:val="-6"/>
                <w:kern w:val="0"/>
                <w:sz w:val="21"/>
                <w:szCs w:val="21"/>
                <w:lang w:val="en-US" w:eastAsia="zh-CN" w:bidi="ar"/>
              </w:rPr>
              <w:t>改培木本药材林总面积6.0万亩。在龙潭乡、冷水镇、六塘乡、沙子镇等乡镇巩固发展杜仲、黄柏、厚朴等三木药材4.0万亩；在南宾街道、万安街道、下路街道、三河镇、沿溪镇、三星乡、黎场乡等乡镇发展皱皮木瓜、佛手等木本药材2.0万亩。</w:t>
            </w:r>
          </w:p>
        </w:tc>
      </w:tr>
      <w:tr>
        <w:trPr>
          <w:wBefore/>
          <w:trHeight w:val="964"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snapToGrid w:val="false"/>
                <w:color w:val="000000"/>
                <w:spacing w:val="-6"/>
                <w:kern w:val="0"/>
                <w:sz w:val="21"/>
                <w:szCs w:val="21"/>
                <w:lang w:val="en-US" w:eastAsia="zh-CN" w:bidi="ar"/>
              </w:rPr>
              <w:t>3</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right="0"/>
              <w:jc w:val="left"/>
              <w:rPr>
                <w:rFonts w:hint="eastAsia" w:ascii="黑体" w:hAnsi="宋体" w:eastAsia="黑体" w:cs="黑体"/>
                <w:color w:val="000000"/>
                <w:spacing w:val="-6"/>
                <w:lang w:val="en-US"/>
              </w:rPr>
            </w:pPr>
            <w:r>
              <w:rPr>
                <w:rFonts w:hint="eastAsia" w:ascii="黑体" w:hAnsi="宋体" w:eastAsia="黑体" w:cs="黑体"/>
                <w:snapToGrid w:val="false"/>
                <w:color w:val="000000"/>
                <w:spacing w:val="-6"/>
                <w:kern w:val="0"/>
                <w:sz w:val="21"/>
                <w:szCs w:val="21"/>
                <w:lang w:val="en-US" w:eastAsia="zh-CN" w:bidi="ar"/>
              </w:rPr>
              <w:t>笋用竹</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snapToGrid w:val="false"/>
                <w:color w:val="000000"/>
                <w:spacing w:val="-6"/>
                <w:kern w:val="0"/>
                <w:sz w:val="21"/>
                <w:szCs w:val="21"/>
                <w:lang w:val="en-US" w:eastAsia="zh-CN" w:bidi="ar"/>
              </w:rPr>
              <w:t>改培竹林面积总面积2</w:t>
            </w:r>
            <w:r>
              <w:rPr>
                <w:rFonts w:ascii="Times New Roman" w:hAnsi="Times New Roman" w:eastAsia="仿宋" w:cs="Times New Roman"/>
                <w:snapToGrid w:val="false"/>
                <w:color w:val="000000"/>
                <w:spacing w:val="-6"/>
                <w:kern w:val="0"/>
                <w:sz w:val="21"/>
                <w:szCs w:val="21"/>
                <w:lang w:val="en-US" w:eastAsia="zh-CN" w:bidi="ar"/>
              </w:rPr>
              <w:t>.0</w:t>
            </w:r>
            <w:r>
              <w:rPr>
                <w:rFonts w:hint="eastAsia" w:ascii="Times New Roman" w:hAnsi="Times New Roman" w:eastAsia="仿宋" w:cs="Times New Roman"/>
                <w:snapToGrid w:val="false"/>
                <w:color w:val="000000"/>
                <w:spacing w:val="-6"/>
                <w:kern w:val="0"/>
                <w:sz w:val="21"/>
                <w:szCs w:val="21"/>
                <w:lang w:val="en-US" w:eastAsia="zh-CN" w:bidi="ar"/>
              </w:rPr>
              <w:t>万亩。在黄水镇、枫木镇、沙子镇等3个镇发展方竹1.0万亩；在大歇镇、龙沙镇等2个镇发展白夹竹0.5万亩；在黎场乡、西沱镇、王场镇等3个乡镇发展麻竹0.5万亩。</w:t>
            </w:r>
          </w:p>
        </w:tc>
      </w:tr>
      <w:tr>
        <w:trPr>
          <w:wBefore/>
          <w:trHeight w:val="776"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snapToGrid w:val="false"/>
                <w:color w:val="000000"/>
                <w:spacing w:val="-6"/>
                <w:kern w:val="0"/>
                <w:sz w:val="21"/>
                <w:szCs w:val="21"/>
                <w:lang w:val="en-US" w:eastAsia="zh-CN" w:bidi="ar"/>
              </w:rPr>
              <w:t>4</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right="0"/>
              <w:jc w:val="left"/>
              <w:rPr>
                <w:rFonts w:ascii="黑体" w:hAnsi="宋体" w:eastAsia="黑体" w:cs="黑体"/>
                <w:color w:val="000000"/>
                <w:spacing w:val="-6"/>
                <w:lang w:val="en-US"/>
              </w:rPr>
            </w:pPr>
            <w:r>
              <w:rPr>
                <w:rFonts w:hint="eastAsia" w:ascii="黑体" w:hAnsi="宋体" w:eastAsia="黑体" w:cs="黑体"/>
                <w:snapToGrid w:val="false"/>
                <w:color w:val="000000"/>
                <w:spacing w:val="-6"/>
                <w:kern w:val="0"/>
                <w:sz w:val="21"/>
                <w:szCs w:val="21"/>
                <w:lang w:val="en-US" w:eastAsia="zh-CN" w:bidi="ar"/>
              </w:rPr>
              <w:t>木本油料林</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snapToGrid w:val="false"/>
                <w:color w:val="000000"/>
                <w:spacing w:val="-6"/>
                <w:kern w:val="0"/>
                <w:sz w:val="21"/>
                <w:szCs w:val="21"/>
                <w:lang w:val="en-US" w:eastAsia="zh-CN" w:bidi="ar"/>
              </w:rPr>
              <w:t>改培木本油料林总面积</w:t>
            </w:r>
            <w:r>
              <w:rPr>
                <w:rFonts w:ascii="Times New Roman" w:hAnsi="Times New Roman" w:eastAsia="仿宋" w:cs="Times New Roman"/>
                <w:snapToGrid w:val="false"/>
                <w:color w:val="000000"/>
                <w:spacing w:val="-6"/>
                <w:kern w:val="0"/>
                <w:sz w:val="21"/>
                <w:szCs w:val="21"/>
                <w:lang w:val="en-US" w:eastAsia="zh-CN" w:bidi="ar"/>
              </w:rPr>
              <w:t>1.0</w:t>
            </w:r>
            <w:r>
              <w:rPr>
                <w:rFonts w:hint="eastAsia" w:ascii="Times New Roman" w:hAnsi="Times New Roman" w:eastAsia="仿宋" w:cs="Times New Roman"/>
                <w:snapToGrid w:val="false"/>
                <w:color w:val="000000"/>
                <w:spacing w:val="-6"/>
                <w:kern w:val="0"/>
                <w:sz w:val="21"/>
                <w:szCs w:val="21"/>
                <w:lang w:val="en-US" w:eastAsia="zh-CN" w:bidi="ar"/>
              </w:rPr>
              <w:t>万亩。在石家乡、临溪镇等2个乡镇发展核桃1.0万亩。</w:t>
            </w:r>
          </w:p>
        </w:tc>
      </w:tr>
      <w:tr>
        <w:trPr>
          <w:wBefore/>
          <w:trHeight w:val="964"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jc w:val="center"/>
              <w:rPr>
                <w:rFonts w:ascii="Times New Roman" w:hAnsi="Times New Roman" w:eastAsia="仿宋" w:cs="Times New Roman"/>
                <w:snapToGrid w:val="false"/>
                <w:color w:val="000000"/>
                <w:spacing w:val="-6"/>
                <w:kern w:val="0"/>
                <w:sz w:val="21"/>
                <w:szCs w:val="21"/>
                <w:lang w:val="en-US" w:eastAsia="zh-CN" w:bidi="ar"/>
              </w:rPr>
            </w:pP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right="0" w:rightChars="0"/>
              <w:jc w:val="left"/>
              <w:rPr>
                <w:rFonts w:ascii="黑体" w:hAnsi="宋体" w:eastAsia="黑体" w:cs="黑体"/>
                <w:snapToGrid w:val="false"/>
                <w:color w:val="000000"/>
                <w:spacing w:val="-6"/>
                <w:kern w:val="0"/>
                <w:sz w:val="21"/>
                <w:szCs w:val="21"/>
                <w:lang w:val="en-US" w:eastAsia="zh-CN" w:bidi="ar"/>
              </w:rPr>
            </w:pPr>
            <w:r>
              <w:rPr>
                <w:rFonts w:ascii="黑体" w:hAnsi="宋体" w:eastAsia="黑体" w:cs="黑体"/>
                <w:snapToGrid w:val="false"/>
                <w:color w:val="000000"/>
                <w:spacing w:val="-6"/>
                <w:kern w:val="0"/>
                <w:sz w:val="21"/>
                <w:szCs w:val="21"/>
                <w:lang w:val="en-US" w:eastAsia="zh-CN" w:bidi="ar"/>
              </w:rPr>
              <w:t>高标准特色经济林示范基地</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ascii="Times New Roman" w:hAnsi="Times New Roman" w:eastAsia="仿宋" w:cs="Times New Roman"/>
                <w:snapToGrid w:val="false"/>
                <w:color w:val="000000"/>
                <w:spacing w:val="-6"/>
                <w:kern w:val="0"/>
                <w:sz w:val="21"/>
                <w:szCs w:val="21"/>
                <w:lang w:val="en-US" w:eastAsia="zh-CN" w:bidi="ar"/>
              </w:rPr>
            </w:pPr>
            <w:r>
              <w:rPr>
                <w:rFonts w:hint="eastAsia" w:ascii="Times New Roman" w:hAnsi="Times New Roman" w:eastAsia="仿宋" w:cs="Times New Roman"/>
                <w:snapToGrid w:val="false"/>
                <w:color w:val="000000"/>
                <w:spacing w:val="-6"/>
                <w:kern w:val="0"/>
                <w:sz w:val="21"/>
                <w:szCs w:val="21"/>
                <w:lang w:val="en-US" w:eastAsia="zh-CN" w:bidi="ar"/>
              </w:rPr>
              <w:t>建设3个高标准特色经济林示范基地。</w:t>
            </w:r>
            <w:r>
              <w:rPr>
                <w:rFonts w:ascii="Times New Roman" w:hAnsi="Times New Roman" w:eastAsia="仿宋" w:cs="Times New Roman"/>
                <w:snapToGrid w:val="false"/>
                <w:color w:val="000000"/>
                <w:spacing w:val="-6"/>
                <w:kern w:val="0"/>
                <w:sz w:val="21"/>
                <w:szCs w:val="21"/>
                <w:lang w:val="en-US" w:eastAsia="zh-CN" w:bidi="ar"/>
              </w:rPr>
              <w:t>李子特色经济林示范基地</w:t>
            </w:r>
            <w:r>
              <w:rPr>
                <w:rFonts w:hint="eastAsia" w:ascii="Times New Roman" w:hAnsi="Times New Roman" w:eastAsia="仿宋" w:cs="Times New Roman"/>
                <w:snapToGrid w:val="false"/>
                <w:color w:val="000000"/>
                <w:spacing w:val="-6"/>
                <w:kern w:val="0"/>
                <w:sz w:val="21"/>
                <w:szCs w:val="21"/>
                <w:lang w:val="en-US" w:eastAsia="zh-CN" w:bidi="ar"/>
              </w:rPr>
              <w:t>1个</w:t>
            </w:r>
            <w:r>
              <w:rPr>
                <w:rFonts w:ascii="Times New Roman" w:hAnsi="Times New Roman" w:eastAsia="仿宋" w:cs="Times New Roman"/>
                <w:snapToGrid w:val="false"/>
                <w:color w:val="000000"/>
                <w:spacing w:val="-6"/>
                <w:kern w:val="0"/>
                <w:sz w:val="21"/>
                <w:szCs w:val="21"/>
                <w:lang w:val="en-US" w:eastAsia="zh-CN" w:bidi="ar"/>
              </w:rPr>
              <w:t>、柑橘特色经济林示范基地</w:t>
            </w:r>
            <w:r>
              <w:rPr>
                <w:rFonts w:hint="eastAsia" w:ascii="Times New Roman" w:hAnsi="Times New Roman" w:eastAsia="仿宋" w:cs="Times New Roman"/>
                <w:snapToGrid w:val="false"/>
                <w:color w:val="000000"/>
                <w:spacing w:val="-6"/>
                <w:kern w:val="0"/>
                <w:sz w:val="21"/>
                <w:szCs w:val="21"/>
                <w:lang w:val="en-US" w:eastAsia="zh-CN" w:bidi="ar"/>
              </w:rPr>
              <w:t>1个</w:t>
            </w:r>
            <w:r>
              <w:rPr>
                <w:rFonts w:ascii="Times New Roman" w:hAnsi="Times New Roman" w:eastAsia="仿宋" w:cs="Times New Roman"/>
                <w:snapToGrid w:val="false"/>
                <w:color w:val="000000"/>
                <w:spacing w:val="-6"/>
                <w:kern w:val="0"/>
                <w:sz w:val="21"/>
                <w:szCs w:val="21"/>
                <w:lang w:val="en-US" w:eastAsia="zh-CN" w:bidi="ar"/>
              </w:rPr>
              <w:t>、柠檬特色经济林示范基地</w:t>
            </w:r>
            <w:r>
              <w:rPr>
                <w:rFonts w:hint="eastAsia" w:ascii="Times New Roman" w:hAnsi="Times New Roman" w:eastAsia="仿宋" w:cs="Times New Roman"/>
                <w:snapToGrid w:val="false"/>
                <w:color w:val="000000"/>
                <w:spacing w:val="-6"/>
                <w:kern w:val="0"/>
                <w:sz w:val="21"/>
                <w:szCs w:val="21"/>
                <w:lang w:val="en-US" w:eastAsia="zh-CN" w:bidi="ar"/>
              </w:rPr>
              <w:t>1个</w:t>
            </w:r>
          </w:p>
        </w:tc>
      </w:tr>
      <w:tr>
        <w:trPr>
          <w:wBefore/>
          <w:trHeight w:val="734"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snapToGrid w:val="false"/>
                <w:color w:val="000000"/>
                <w:spacing w:val="-6"/>
                <w:kern w:val="0"/>
                <w:sz w:val="21"/>
                <w:szCs w:val="21"/>
                <w:lang w:val="en-US" w:eastAsia="zh-CN" w:bidi="ar"/>
              </w:rPr>
              <w:t>5</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right="0"/>
              <w:jc w:val="left"/>
              <w:rPr>
                <w:rFonts w:ascii="黑体" w:hAnsi="宋体" w:eastAsia="黑体" w:cs="黑体"/>
                <w:color w:val="000000"/>
                <w:spacing w:val="-6"/>
                <w:lang w:val="en-US"/>
              </w:rPr>
            </w:pPr>
            <w:r>
              <w:rPr>
                <w:rFonts w:hint="eastAsia" w:ascii="黑体" w:hAnsi="宋体" w:eastAsia="黑体" w:cs="黑体"/>
                <w:snapToGrid w:val="false"/>
                <w:color w:val="000000"/>
                <w:spacing w:val="-6"/>
                <w:kern w:val="0"/>
                <w:sz w:val="21"/>
                <w:szCs w:val="21"/>
                <w:lang w:val="en-US" w:eastAsia="zh-CN" w:bidi="ar"/>
              </w:rPr>
              <w:t>重点企业培育</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hint="eastAsia" w:ascii="Times New Roman" w:hAnsi="Times New Roman" w:eastAsia="仿宋" w:cs="Times New Roman"/>
                <w:snapToGrid w:val="false"/>
                <w:color w:val="000000"/>
                <w:spacing w:val="-6"/>
                <w:kern w:val="0"/>
                <w:sz w:val="21"/>
                <w:szCs w:val="21"/>
                <w:lang w:val="en-US" w:eastAsia="zh-CN" w:bidi="ar"/>
              </w:rPr>
            </w:pPr>
            <w:r>
              <w:rPr>
                <w:rFonts w:hint="eastAsia" w:ascii="Times New Roman" w:hAnsi="Times New Roman" w:eastAsia="仿宋" w:cs="Times New Roman"/>
                <w:snapToGrid w:val="false"/>
                <w:color w:val="000000"/>
                <w:spacing w:val="-6"/>
                <w:kern w:val="0"/>
                <w:sz w:val="21"/>
                <w:szCs w:val="21"/>
                <w:lang w:val="en-US" w:eastAsia="zh-CN" w:bidi="ar"/>
              </w:rPr>
              <w:t>培育石柱县兴星农业发展有限公司，建设竹笋精深加工生产线1条。</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培育重庆果本生物科技有限公司，保障木瓜原材料供应，帮助企业拓展销售市场。</w:t>
            </w:r>
          </w:p>
          <w:p>
            <w:pPr>
              <w:pStyle w:val="000001"/>
              <w:keepNext w:val="false"/>
              <w:keepLines w:val="false"/>
              <w:pageBreakBefore w:val="false"/>
              <w:widowControl/>
              <w:suppressLineNumbers w:val="false"/>
              <w:kinsoku/>
              <w:wordWrap/>
              <w:overflowPunct/>
              <w:topLinePunct w:val="false"/>
              <w:autoSpaceDE/>
              <w:autoSpaceDN w:val="false"/>
              <w:bidi w:val="false"/>
              <w:spacing w:before="0" w:beforeAutospacing="false" w:after="0" w:afterAutospacing="false"/>
              <w:ind w:left="0" w:leftChars="0" w:right="0" w:rightChars="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培育重庆果本生物科技有限公司，主要生产精深加工产品木瓜白兰地。</w:t>
            </w:r>
          </w:p>
        </w:tc>
      </w:tr>
    </w:tbl>
    <w:bookmarkStart w:id="145" w:name="_Toc10378"/>
    <w:bookmarkStart w:id="146" w:name="_Toc25793"/>
    <w:bookmarkStart w:id="147" w:name="_Toc18072"/>
    <w:bookmarkStart w:id="148" w:name="_Toc19807"/>
    <w:bookmarkStart w:id="149" w:name="_Toc5533"/>
    <w:p>
      <w:pPr>
        <w:pStyle w:val="000006"/>
        <w:keepNext/>
        <w:keepLines/>
        <w:pageBreakBefore w:val="false"/>
        <w:widowControl w:val="false"/>
        <w:numPr>
          <w:ilvl w:val="0"/>
          <w:numId w:val="18"/>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夯实基础</w:t>
      </w:r>
      <w:bookmarkEnd w:id="145"/>
      <w:bookmarkEnd w:id="146"/>
      <w:bookmarkEnd w:id="147"/>
      <w:r>
        <w:rPr>
          <w:rFonts w:hint="eastAsia" w:ascii="方正楷体_GBK" w:hAnsi="方正楷体_GBK" w:eastAsia="方正楷体_GBK" w:cs="方正楷体_GBK"/>
          <w:b/>
          <w:bCs/>
          <w:snapToGrid/>
          <w:color w:val="000000"/>
          <w:sz w:val="36"/>
          <w:szCs w:val="36"/>
          <w:lang w:val="en-US" w:eastAsia="zh-CN"/>
        </w:rPr>
        <w:t>支撑能力</w:t>
      </w:r>
      <w:bookmarkEnd w:id="148"/>
      <w:bookmarkEnd w:id="149"/>
    </w:p>
    <w:bookmarkStart w:id="150" w:name="_Toc25120"/>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snapToGrid w:val="false"/>
          <w:color w:val="000000"/>
          <w:spacing w:val="-6"/>
          <w:sz w:val="28"/>
          <w:szCs w:val="28"/>
          <w:lang w:val="en-US" w:eastAsia="zh-CN" w:bidi="ar"/>
        </w:rPr>
      </w:pPr>
      <w:r>
        <w:rPr>
          <w:rFonts w:hint="eastAsia" w:ascii="Times New Roman" w:hAnsi="Times New Roman" w:eastAsia="仿宋" w:cs="Times New Roman"/>
          <w:snapToGrid w:val="false"/>
          <w:color w:val="000000"/>
          <w:spacing w:val="-6"/>
          <w:sz w:val="28"/>
          <w:szCs w:val="28"/>
          <w:lang w:val="en-US" w:eastAsia="zh-CN" w:bidi="ar"/>
        </w:rPr>
        <w:t>为系统性破解产业发展的基础瓶颈，拟进一步畅通内外运输网络、夯实产业灌溉基础、强化良种种苗保障等方面，为林草产业现代化提供坚实支撑。规</w:t>
      </w:r>
      <w:r>
        <w:rPr>
          <w:rFonts w:ascii="Times New Roman" w:hAnsi="Times New Roman" w:eastAsia="仿宋" w:cs="Times New Roman"/>
          <w:snapToGrid w:val="false"/>
          <w:color w:val="000000"/>
          <w:spacing w:val="-6"/>
          <w:sz w:val="28"/>
          <w:szCs w:val="28"/>
          <w:lang w:val="en-US" w:eastAsia="zh-CN" w:bidi="ar"/>
        </w:rPr>
        <w:t>划到2030年，完成60%核心产业带的林区道路升级与仓储冷链体系建设，特色经济林与林下种植主产区节水灌溉设施覆盖率超过80%，三级种苗生产供应体系基本建成，林业物联网监测初步覆盖。到2035年，全面建成覆盖全域、高效协同的现代化林区交通与冷链物流</w:t>
      </w:r>
      <w:r>
        <w:rPr>
          <w:rFonts w:hint="eastAsia" w:ascii="Times New Roman" w:hAnsi="Times New Roman" w:eastAsia="仿宋" w:cs="Times New Roman"/>
          <w:snapToGrid w:val="false"/>
          <w:color w:val="000000"/>
          <w:spacing w:val="-6"/>
          <w:sz w:val="28"/>
          <w:szCs w:val="28"/>
          <w:lang w:val="en-US" w:eastAsia="zh-CN" w:bidi="ar"/>
        </w:rPr>
        <w:t>网络，实现节水灌溉设施全域覆盖，建成布局合理、设施先进、产能充足的现代种苗保障体系，以及全域覆盖、智能高效的林业防灾减灾与监测体系。</w:t>
      </w:r>
    </w:p>
    <w:p>
      <w:pPr>
        <w:pStyle w:val="000007"/>
        <w:keepNext/>
        <w:keepLines/>
        <w:pageBreakBefore w:val="false"/>
        <w:widowControl w:val="false"/>
        <w:numPr>
          <w:ilvl w:val="0"/>
          <w:numId w:val="2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畅通内外运输网络</w:t>
      </w:r>
      <w:bookmarkEnd w:id="150"/>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Times New Roman" w:hAnsi="Times New Roman" w:eastAsia="仿宋" w:cs="Times New Roman"/>
          <w:snapToGrid w:val="false"/>
          <w:color w:val="000000"/>
          <w:spacing w:val="-6"/>
          <w:sz w:val="28"/>
          <w:szCs w:val="28"/>
          <w:lang w:val="en-US" w:eastAsia="zh-CN" w:bidi="ar"/>
        </w:rPr>
        <w:t>通过升级外部交通物流基础设施、畅通林区内部交通连接与构建冷链体系协同推进，畅通内外运输网络。</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方正楷体_GBK" w:hAnsi="方正楷体_GBK" w:eastAsia="方正楷体_GBK" w:cs="方正楷体_GBK"/>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升级外部交通基础设施。</w:t>
      </w:r>
      <w:r>
        <w:rPr>
          <w:rFonts w:hint="eastAsia" w:ascii="Times New Roman" w:hAnsi="Times New Roman" w:eastAsia="仿宋" w:cs="Times New Roman"/>
          <w:snapToGrid w:val="false"/>
          <w:color w:val="000000"/>
          <w:spacing w:val="-6"/>
          <w:sz w:val="28"/>
          <w:szCs w:val="28"/>
          <w:lang w:val="en-US" w:eastAsia="zh-CN" w:bidi="ar"/>
        </w:rPr>
        <w:t>推动宜涪高铁配套工程落地，开通运行高铁石柱东站、黄水站，开工建设石柱—彭水、西沱—冷水高速，推进梁平—忠县—西沱等高速前期工作；有序完善城区主干路网，推进G351绕城公路、滨河大道等项目，实施石柱东高速路口改造；完成冷枫路一期改扩建、冷水过境市政路等配套设施项目，推进西沱长江大桥、西沱至黎场至沿溪沿江快速公路等交通物流项目。</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畅通林区内部交通连接网络。</w:t>
      </w:r>
      <w:r>
        <w:rPr>
          <w:rFonts w:ascii="Times New Roman" w:hAnsi="Times New Roman" w:eastAsia="仿宋" w:cs="Times New Roman"/>
          <w:color w:val="000000"/>
          <w:spacing w:val="-6"/>
          <w:sz w:val="28"/>
          <w:szCs w:val="28"/>
          <w:lang w:val="en-US" w:eastAsia="zh-CN"/>
        </w:rPr>
        <w:t>优先推进核心产业带、示范基地与主干道、加工园区、港口码头、物流节点之间的专用连接通道建设，将现有林区道路等级统一提升至四级公路标准，强化物资运输效率与产业联动能力，为林区资源流通和产业发展提供坚实交通支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构建全链条冷链保障体系。</w:t>
      </w:r>
      <w:r>
        <w:rPr>
          <w:rFonts w:ascii="Times New Roman" w:hAnsi="Times New Roman" w:eastAsia="仿宋" w:cs="Times New Roman"/>
          <w:color w:val="000000"/>
          <w:spacing w:val="-6"/>
          <w:sz w:val="28"/>
          <w:szCs w:val="28"/>
          <w:lang w:val="en-US" w:eastAsia="zh-CN"/>
        </w:rPr>
        <w:t>围绕竹笋、鲜果、黄连等鲜活产品主产区，系统规划建设产地预冷库、移动预冷设备及区域性冷链分拨中心，夯实冷链基础设施；针对黄连主产区特色需求，布局产地冷链集配中心和村级预冷贮藏点，配套冷藏运输车辆，构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产地预冷—冷藏运输—冷库贮存</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无缝衔接的冷链实体网络；同时推广应用可循环载具与节能设备，提升冷链体系的绿色化与可持续性，保障鲜活林产品的品质稳定性与供应效率。</w:t>
      </w:r>
    </w:p>
    <w:p>
      <w:pPr>
        <w:pStyle w:val="000007"/>
        <w:keepNext/>
        <w:keepLines/>
        <w:pageBreakBefore w:val="false"/>
        <w:widowControl w:val="false"/>
        <w:numPr>
          <w:ilvl w:val="0"/>
          <w:numId w:val="2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ascii="方正楷体_GBK" w:hAnsi="方正楷体_GBK" w:eastAsia="方正楷体_GBK" w:cs="方正楷体_GBK"/>
          <w:b/>
          <w:bCs w:val="false"/>
          <w:color w:val="000000"/>
          <w:spacing w:val="-5"/>
          <w:position w:val="1"/>
          <w:sz w:val="32"/>
          <w:szCs w:val="32"/>
          <w:lang w:val="en-US" w:eastAsia="zh-CN"/>
        </w:rPr>
      </w:pPr>
      <w:r>
        <w:rPr>
          <w:rFonts w:ascii="方正楷体_GBK" w:hAnsi="方正楷体_GBK" w:eastAsia="方正楷体_GBK" w:cs="方正楷体_GBK"/>
          <w:b/>
          <w:bCs w:val="false"/>
          <w:color w:val="000000"/>
          <w:spacing w:val="-5"/>
          <w:position w:val="1"/>
          <w:sz w:val="32"/>
          <w:szCs w:val="32"/>
          <w:lang w:val="en-US" w:eastAsia="zh-CN"/>
        </w:rPr>
        <w:t>完善林产品现代流通体系</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通过加快物流基础设施数字化升级、构建电商物流服务体系、提档升级实体交易市场与搭建数字化支撑平台协同发力，打造高效、智能、全链条的林产品现代流通网络，全面提升林</w:t>
      </w:r>
      <w:r>
        <w:rPr>
          <w:rFonts w:hint="eastAsia" w:ascii="Times New Roman" w:hAnsi="Times New Roman" w:eastAsia="仿宋" w:cs="Times New Roman"/>
          <w:color w:val="000000"/>
          <w:spacing w:val="-6"/>
          <w:sz w:val="28"/>
          <w:szCs w:val="28"/>
          <w:lang w:val="en-US" w:eastAsia="zh-CN"/>
        </w:rPr>
        <w:t>草</w:t>
      </w:r>
      <w:r>
        <w:rPr>
          <w:rFonts w:ascii="Times New Roman" w:hAnsi="Times New Roman" w:eastAsia="仿宋" w:cs="Times New Roman"/>
          <w:color w:val="000000"/>
          <w:spacing w:val="-6"/>
          <w:sz w:val="28"/>
          <w:szCs w:val="28"/>
          <w:lang w:val="en-US" w:eastAsia="zh-CN"/>
        </w:rPr>
        <w:t>产业市场流通效率与竞争力。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完善物流与实体交易基础设施。</w:t>
      </w:r>
      <w:r>
        <w:rPr>
          <w:rFonts w:ascii="Times New Roman" w:hAnsi="Times New Roman" w:eastAsia="仿宋" w:cs="Times New Roman"/>
          <w:color w:val="000000"/>
          <w:spacing w:val="-6"/>
          <w:sz w:val="28"/>
          <w:szCs w:val="28"/>
          <w:lang w:val="en-US" w:eastAsia="zh-CN"/>
        </w:rPr>
        <w:t>重点推进中药材数字产地仓与区域集散中心布局，建成武陵山区中药材集散中心；同时按照</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分区合理、管理规范、经营合法、市场繁荣</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理念，提档升级中国黄连交易市场，共同打造集仓储、分拣、配送、交易、等级分类、检验检测、智能仓储等于一体的现代化集疏运供应链大平台，构建布局科学、功能完善的实体流通枢纽，辐射带动区域中药材产业实现规模化、标准化流通。</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构建电商物流与数字化交易体系。</w:t>
      </w:r>
      <w:r>
        <w:rPr>
          <w:rFonts w:ascii="Times New Roman" w:hAnsi="Times New Roman" w:eastAsia="仿宋" w:cs="Times New Roman"/>
          <w:color w:val="000000"/>
          <w:spacing w:val="-6"/>
          <w:sz w:val="28"/>
          <w:szCs w:val="28"/>
          <w:lang w:val="en-US" w:eastAsia="zh-CN"/>
        </w:rPr>
        <w:t>以黄连、天麻、佛手、木瓜等特色中药材为核心，建设集物流集配、线上销售、供应链管理于一体的电商服务平台，推动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生产—加工—流通</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全环节数据化整合与高效联动；同步搭建交易共享数字化支撑平台，整合市场交易、仓储物流、供需对接等全链条数据，推动石柱黄连产业流通模式数字化升级，实现交易流程透明化、资源配置高效化、市场服务精准化。针对蜂产品，加强集散地、产地市场建设，构建覆盖收购、贮藏、加工、运输、销售各环节的全程冷链物流体系，保障产品品质与流通效率。</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完善农村电商服务体系。</w:t>
      </w:r>
      <w:r>
        <w:rPr>
          <w:rFonts w:ascii="Times New Roman" w:hAnsi="Times New Roman" w:eastAsia="仿宋" w:cs="Times New Roman"/>
          <w:color w:val="000000"/>
          <w:spacing w:val="-6"/>
          <w:sz w:val="28"/>
          <w:szCs w:val="28"/>
          <w:lang w:val="en-US" w:eastAsia="zh-CN"/>
        </w:rPr>
        <w:t>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国家电子商务进农村综合示范县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升级版创建为契机，全面实施</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互联网+</w:t>
      </w:r>
      <w:r>
        <w:rPr>
          <w:rFonts w:hint="eastAsia" w:ascii="Times New Roman" w:hAnsi="Times New Roman" w:eastAsia="仿宋" w:cs="Times New Roman"/>
          <w:color w:val="000000"/>
          <w:spacing w:val="-6"/>
          <w:sz w:val="28"/>
          <w:szCs w:val="28"/>
          <w:lang w:val="en-US" w:eastAsia="zh-CN"/>
        </w:rPr>
        <w:t>”林</w:t>
      </w:r>
      <w:r>
        <w:rPr>
          <w:rFonts w:ascii="Times New Roman" w:hAnsi="Times New Roman" w:eastAsia="仿宋" w:cs="Times New Roman"/>
          <w:color w:val="000000"/>
          <w:spacing w:val="-6"/>
          <w:sz w:val="28"/>
          <w:szCs w:val="28"/>
          <w:lang w:val="en-US" w:eastAsia="zh-CN"/>
        </w:rPr>
        <w:t>产品进城工程：加快建设集线上线下体验、网货加工、电商孵化、培训、产品展示展销、物流仓储等功能于一体的乡镇电商综合服务中心；鼓励邮政、县供销社等单位在各行政村建立和改造服务网点，引导电商企业拓展乡村业务；推动交通、商贸物流、供销合作、邮政等部门与大型电商、快递企业信息网络共享衔接，整合资源和服务；积极引进知名零售龙头企业在中益乡、沙子镇等乡镇建设生鲜直采基地和区域性农产品冷链集配中心，常态化开展农超对接活动，畅通农产品上行渠道。</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培育电商市场主体。</w:t>
      </w:r>
      <w:r>
        <w:rPr>
          <w:rFonts w:ascii="Times New Roman" w:hAnsi="Times New Roman" w:eastAsia="仿宋" w:cs="Times New Roman"/>
          <w:color w:val="000000"/>
          <w:spacing w:val="-6"/>
          <w:sz w:val="28"/>
          <w:szCs w:val="28"/>
          <w:lang w:val="en-US" w:eastAsia="zh-CN"/>
        </w:rPr>
        <w:t>加强与知名电子商务平台合作，积极培育农村电子商务市场主体，吸引从事电子商务的企业或个人回乡创业，支持有意愿的专业合作社和农户开办网店；鼓励和引导电商及平台企业搭建特色农产品网上销售平台，与合作社、种养大户建立直采直供关系；整合各类培训资源开展分层分类的电商人才培训，打造一支懂信息技术、会电商经营、能带动致富的本土电商人才队伍，为产业发展提供持续动力。</w:t>
      </w:r>
    </w:p>
    <w:bookmarkStart w:id="151" w:name="_Toc28558"/>
    <w:p>
      <w:pPr>
        <w:pStyle w:val="000007"/>
        <w:keepNext/>
        <w:keepLines/>
        <w:pageBreakBefore w:val="false"/>
        <w:widowControl w:val="false"/>
        <w:numPr>
          <w:ilvl w:val="0"/>
          <w:numId w:val="2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夯实产业灌溉基础</w:t>
      </w:r>
      <w:bookmarkEnd w:id="151"/>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通过完善灌溉基础设施与推广智慧灌溉管理两方面协同推进，夯实产业灌溉基础。</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完善产业灌溉基础设施。</w:t>
      </w:r>
      <w:r>
        <w:rPr>
          <w:rFonts w:hint="eastAsia" w:ascii="Times New Roman" w:hAnsi="Times New Roman" w:eastAsia="仿宋" w:cs="Times New Roman"/>
          <w:color w:val="000000"/>
          <w:spacing w:val="-6"/>
          <w:sz w:val="28"/>
          <w:szCs w:val="28"/>
          <w:lang w:val="en-US" w:eastAsia="zh-CN"/>
        </w:rPr>
        <w:t>在特色经济林和林下种植主产区，因地制宜新建蓄水池、铺设灌溉管网，改善产业灌溉条件；同步推广高效节水灌溉技术，配套建设智慧灌溉监测系统，为精准化、智能化灌溉提供硬件支撑。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推广智慧灌溉管理体系。</w:t>
      </w:r>
      <w:r>
        <w:rPr>
          <w:rFonts w:hint="eastAsia" w:ascii="Times New Roman" w:hAnsi="Times New Roman" w:eastAsia="仿宋" w:cs="Times New Roman"/>
          <w:color w:val="000000"/>
          <w:spacing w:val="-6"/>
          <w:sz w:val="28"/>
          <w:szCs w:val="28"/>
          <w:lang w:val="en-US" w:eastAsia="zh-CN"/>
        </w:rPr>
        <w:t>通过部署土壤墒情传感器，采集土壤水分、养分等关键数据，实现数据驱动的精准灌溉与水肥一体化管理，大幅提高水资源和肥料利用率，推动灌溉管理向智能化、高效化转型。</w:t>
      </w:r>
    </w:p>
    <w:bookmarkStart w:id="152" w:name="_Toc30688"/>
    <w:p>
      <w:pPr>
        <w:pStyle w:val="000007"/>
        <w:keepNext/>
        <w:keepLines/>
        <w:pageBreakBefore w:val="false"/>
        <w:widowControl w:val="false"/>
        <w:numPr>
          <w:ilvl w:val="0"/>
          <w:numId w:val="2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强化良种种苗保障</w:t>
      </w:r>
      <w:bookmarkEnd w:id="152"/>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ascii="Times New Roman" w:hAnsi="Times New Roman" w:eastAsia="仿宋" w:cs="Times New Roman"/>
          <w:snapToGrid w:val="false"/>
          <w:color w:val="000000"/>
          <w:spacing w:val="-6"/>
          <w:sz w:val="28"/>
          <w:szCs w:val="28"/>
          <w:lang w:val="en-US" w:eastAsia="zh-CN" w:bidi="ar"/>
        </w:rPr>
        <w:t>通过构建三级供应网络、升级智能化生产设施、强化良种培育能力及布局特色保障基地四方面协同推进，构建优质种苗生产供应体系，为林草产业规模化发展提供坚实支撑。</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snapToGrid w:val="false"/>
          <w:color w:val="000000"/>
          <w:spacing w:val="-6"/>
          <w:sz w:val="28"/>
          <w:szCs w:val="28"/>
          <w:lang w:val="en-US" w:eastAsia="zh-CN" w:bidi="ar"/>
        </w:rPr>
        <w:t>构建三级种苗生产供应网络。</w:t>
      </w:r>
      <w:r>
        <w:rPr>
          <w:rFonts w:ascii="Times New Roman" w:hAnsi="Times New Roman" w:eastAsia="仿宋" w:cs="Times New Roman"/>
          <w:snapToGrid w:val="false"/>
          <w:color w:val="000000"/>
          <w:spacing w:val="-6"/>
          <w:sz w:val="28"/>
          <w:szCs w:val="28"/>
          <w:lang w:val="en-US" w:eastAsia="zh-CN" w:bidi="ar"/>
        </w:rPr>
        <w:t>科学规划布局，构建覆盖林木良种基地、乡土树种采种基地及区域性保障性苗圃的三级种苗生产供应体系，确保优质种苗的源头供给与区域保障，夯实林草产业规模化发展的种苗基础。</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snapToGrid w:val="false"/>
          <w:color w:val="000000"/>
          <w:spacing w:val="-6"/>
          <w:sz w:val="28"/>
          <w:szCs w:val="28"/>
          <w:lang w:val="en-US" w:eastAsia="zh-CN" w:bidi="ar"/>
        </w:rPr>
        <w:t>升级智能化种苗生产设施。</w:t>
      </w:r>
      <w:r>
        <w:rPr>
          <w:rFonts w:ascii="Times New Roman" w:hAnsi="Times New Roman" w:eastAsia="仿宋" w:cs="Times New Roman"/>
          <w:snapToGrid w:val="false"/>
          <w:color w:val="000000"/>
          <w:spacing w:val="-6"/>
          <w:sz w:val="28"/>
          <w:szCs w:val="28"/>
          <w:lang w:val="en-US" w:eastAsia="zh-CN" w:bidi="ar"/>
        </w:rPr>
        <w:t>同步配套建设智能化温室、组培快繁中心、轻型基质生产线及自动化播种嫁接设备，全面提升种苗生产的集约化、标准化与智能化水平，推动种苗生产向高效精准模式转型。</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snapToGrid w:val="false"/>
          <w:color w:val="000000"/>
          <w:spacing w:val="-6"/>
          <w:sz w:val="28"/>
          <w:szCs w:val="28"/>
          <w:lang w:val="en-US" w:eastAsia="zh-CN" w:bidi="ar"/>
        </w:rPr>
        <w:t>强化道地药材良种培育能力。</w:t>
      </w:r>
      <w:r>
        <w:rPr>
          <w:rFonts w:ascii="Times New Roman" w:hAnsi="Times New Roman" w:eastAsia="仿宋" w:cs="Times New Roman"/>
          <w:snapToGrid w:val="false"/>
          <w:color w:val="000000"/>
          <w:spacing w:val="-6"/>
          <w:sz w:val="28"/>
          <w:szCs w:val="28"/>
          <w:lang w:val="en-US" w:eastAsia="zh-CN" w:bidi="ar"/>
        </w:rPr>
        <w:t>聚焦道地药材良种培育，重点推进黄连种质资源圃项目建设，系统开展黄连、黄精、天麻等道地优势中药材品种选育与提纯复壮，抓好黄连种质资源信息基因库的采集与构建，引导相关品种高标准育种育苗，力争实现良种覆盖率达95%，增强道地药材产业核心竞争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snapToGrid w:val="false"/>
          <w:color w:val="000000"/>
          <w:spacing w:val="-6"/>
          <w:sz w:val="28"/>
          <w:szCs w:val="28"/>
          <w:lang w:val="en-US" w:eastAsia="zh-CN" w:bidi="ar"/>
        </w:rPr>
        <w:t>布局特色保障性苗圃基地。</w:t>
      </w:r>
      <w:r>
        <w:rPr>
          <w:rFonts w:ascii="Times New Roman" w:hAnsi="Times New Roman" w:eastAsia="仿宋" w:cs="Times New Roman"/>
          <w:snapToGrid w:val="false"/>
          <w:color w:val="000000"/>
          <w:spacing w:val="-6"/>
          <w:sz w:val="28"/>
          <w:szCs w:val="28"/>
          <w:lang w:val="en-US" w:eastAsia="zh-CN" w:bidi="ar"/>
        </w:rPr>
        <w:t>在</w:t>
      </w:r>
      <w:r>
        <w:rPr>
          <w:rFonts w:hint="eastAsia" w:ascii="Times New Roman" w:hAnsi="Times New Roman" w:eastAsia="仿宋" w:cs="Times New Roman"/>
          <w:snapToGrid w:val="false"/>
          <w:color w:val="000000"/>
          <w:spacing w:val="-6"/>
          <w:sz w:val="28"/>
          <w:szCs w:val="28"/>
          <w:lang w:val="en-US" w:eastAsia="zh-CN" w:bidi="ar"/>
        </w:rPr>
        <w:t>渝东南林草种质资源库</w:t>
      </w:r>
      <w:r>
        <w:rPr>
          <w:rFonts w:ascii="Times New Roman" w:hAnsi="Times New Roman" w:eastAsia="仿宋" w:cs="Times New Roman"/>
          <w:snapToGrid w:val="false"/>
          <w:color w:val="000000"/>
          <w:spacing w:val="-6"/>
          <w:sz w:val="28"/>
          <w:szCs w:val="28"/>
          <w:lang w:val="en-US" w:eastAsia="zh-CN" w:bidi="ar"/>
        </w:rPr>
        <w:t>布局100亩水杉保障性苗圃基地，推动育苗环节工厂化转型，进一步丰富种苗供给品类，全面保障</w:t>
      </w:r>
      <w:r>
        <w:rPr>
          <w:rFonts w:hint="eastAsia" w:ascii="Times New Roman" w:hAnsi="Times New Roman" w:eastAsia="仿宋" w:cs="Times New Roman"/>
          <w:snapToGrid w:val="false"/>
          <w:color w:val="000000"/>
          <w:spacing w:val="-6"/>
          <w:sz w:val="28"/>
          <w:szCs w:val="28"/>
          <w:lang w:val="en-US" w:eastAsia="zh-CN" w:bidi="ar"/>
        </w:rPr>
        <w:t>林草产业</w:t>
      </w:r>
      <w:r>
        <w:rPr>
          <w:rFonts w:ascii="Times New Roman" w:hAnsi="Times New Roman" w:eastAsia="仿宋" w:cs="Times New Roman"/>
          <w:snapToGrid w:val="false"/>
          <w:color w:val="000000"/>
          <w:spacing w:val="-6"/>
          <w:sz w:val="28"/>
          <w:szCs w:val="28"/>
          <w:lang w:val="en-US" w:eastAsia="zh-CN" w:bidi="ar"/>
        </w:rPr>
        <w:t>规模化发展的多样化种苗需求。</w:t>
      </w:r>
    </w:p>
    <w:bookmarkStart w:id="153" w:name="_Toc20997"/>
    <w:p>
      <w:pPr>
        <w:pStyle w:val="000007"/>
        <w:keepNext/>
        <w:keepLines/>
        <w:pageBreakBefore w:val="false"/>
        <w:widowControl w:val="false"/>
        <w:numPr>
          <w:ilvl w:val="0"/>
          <w:numId w:val="23"/>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加强林业灾害防控</w:t>
      </w:r>
      <w:bookmarkEnd w:id="153"/>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ascii="Times New Roman" w:hAnsi="Times New Roman" w:eastAsia="仿宋" w:cs="Times New Roman"/>
          <w:snapToGrid w:val="false"/>
          <w:color w:val="000000"/>
          <w:spacing w:val="-6"/>
          <w:sz w:val="28"/>
          <w:szCs w:val="28"/>
          <w:lang w:val="en-US" w:eastAsia="zh-CN" w:bidi="ar"/>
        </w:rPr>
        <w:t>通过构建</w:t>
      </w:r>
      <w:r>
        <w:rPr>
          <w:rFonts w:hint="eastAsia" w:ascii="Times New Roman" w:hAnsi="Times New Roman" w:eastAsia="仿宋" w:cs="Times New Roman"/>
          <w:snapToGrid w:val="false"/>
          <w:color w:val="000000"/>
          <w:spacing w:val="-6"/>
          <w:sz w:val="28"/>
          <w:szCs w:val="28"/>
          <w:lang w:val="en-US" w:eastAsia="zh-CN" w:bidi="ar"/>
        </w:rPr>
        <w:t>“</w:t>
      </w:r>
      <w:r>
        <w:rPr>
          <w:rFonts w:ascii="Times New Roman" w:hAnsi="Times New Roman" w:eastAsia="仿宋" w:cs="Times New Roman"/>
          <w:snapToGrid w:val="false"/>
          <w:color w:val="000000"/>
          <w:spacing w:val="-6"/>
          <w:sz w:val="28"/>
          <w:szCs w:val="28"/>
          <w:lang w:val="en-US" w:eastAsia="zh-CN" w:bidi="ar"/>
        </w:rPr>
        <w:t>人防+技防</w:t>
      </w:r>
      <w:r>
        <w:rPr>
          <w:rFonts w:hint="eastAsia" w:ascii="Times New Roman" w:hAnsi="Times New Roman" w:eastAsia="仿宋" w:cs="Times New Roman"/>
          <w:snapToGrid w:val="false"/>
          <w:color w:val="000000"/>
          <w:spacing w:val="-6"/>
          <w:sz w:val="28"/>
          <w:szCs w:val="28"/>
          <w:lang w:val="en-US" w:eastAsia="zh-CN" w:bidi="ar"/>
        </w:rPr>
        <w:t>”</w:t>
      </w:r>
      <w:r>
        <w:rPr>
          <w:rFonts w:ascii="Times New Roman" w:hAnsi="Times New Roman" w:eastAsia="仿宋" w:cs="Times New Roman"/>
          <w:snapToGrid w:val="false"/>
          <w:color w:val="000000"/>
          <w:spacing w:val="-6"/>
          <w:sz w:val="28"/>
          <w:szCs w:val="28"/>
          <w:lang w:val="en-US" w:eastAsia="zh-CN" w:bidi="ar"/>
        </w:rPr>
        <w:t>智能综合防控网与建设智能化监测预警体系两方面协同推进，全面提升林业灾害防控能力。</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snapToGrid w:val="false"/>
          <w:color w:val="000000"/>
          <w:spacing w:val="-6"/>
          <w:sz w:val="28"/>
          <w:szCs w:val="28"/>
          <w:lang w:val="en-US" w:eastAsia="zh-CN" w:bidi="ar"/>
        </w:rPr>
        <w:t>构建“人防+技防”智能综合防控网。</w:t>
      </w:r>
      <w:r>
        <w:rPr>
          <w:rFonts w:ascii="Times New Roman" w:hAnsi="Times New Roman" w:eastAsia="仿宋" w:cs="Times New Roman"/>
          <w:snapToGrid w:val="false"/>
          <w:color w:val="000000"/>
          <w:spacing w:val="-6"/>
          <w:sz w:val="28"/>
          <w:szCs w:val="28"/>
          <w:lang w:val="en-US" w:eastAsia="zh-CN" w:bidi="ar"/>
        </w:rPr>
        <w:t>在高效集约产业基地，系统建设生物防火阻隔带、防火通道和瞭望监测点，完善病虫害“网格化”监管体系，配置智能虫情测报系统、松材线虫病分子快速检测仪、物联网杀虫灯、植保无人机等设备设施，有效防控森林火灾与有害生物等传统灾害风险，筑牢林业安全防护的实体屏障。</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snapToGrid w:val="false"/>
          <w:color w:val="000000"/>
          <w:spacing w:val="-6"/>
          <w:sz w:val="28"/>
          <w:szCs w:val="28"/>
          <w:lang w:val="en-US" w:eastAsia="zh-CN" w:bidi="ar"/>
        </w:rPr>
      </w:pPr>
      <w:r>
        <w:rPr>
          <w:rFonts w:hint="eastAsia" w:ascii="方正楷体_GBK" w:hAnsi="方正楷体_GBK" w:eastAsia="方正楷体_GBK" w:cs="方正楷体_GBK"/>
          <w:snapToGrid w:val="false"/>
          <w:color w:val="000000"/>
          <w:spacing w:val="-6"/>
          <w:sz w:val="28"/>
          <w:szCs w:val="28"/>
          <w:lang w:val="en-US" w:eastAsia="zh-CN" w:bidi="ar"/>
        </w:rPr>
        <w:t>建设智能化监测预警体系。</w:t>
      </w:r>
      <w:r>
        <w:rPr>
          <w:rFonts w:ascii="Times New Roman" w:hAnsi="Times New Roman" w:eastAsia="仿宋" w:cs="Times New Roman"/>
          <w:snapToGrid w:val="false"/>
          <w:color w:val="000000"/>
          <w:spacing w:val="-6"/>
          <w:sz w:val="28"/>
          <w:szCs w:val="28"/>
          <w:lang w:val="en-US" w:eastAsia="zh-CN" w:bidi="ar"/>
        </w:rPr>
        <w:t>部署林业物联网监测基站，实时采集林区土壤、气候、林木生长等多维度数据，支撑精准施肥、智能灌溉和病虫害预警，推动灾害防控从被动应对向主动预防转型，提升防控的精准性与前瞻性。</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7" w:hRule="atLeast"/>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.5.1 基础设施建设重点</w:t>
            </w:r>
          </w:p>
        </w:tc>
      </w:tr>
      <w:tr>
        <w:trPr>
          <w:wBefore/>
          <w:trHeight w:val="327"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建设任务</w:t>
            </w:r>
          </w:p>
        </w:tc>
      </w:tr>
      <w:tr>
        <w:trPr>
          <w:wBefore/>
          <w:trHeight w:val="849"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1</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林区道路升级改造</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重点改造300公里等外公路为四级以上硬化路，新建50公里产业路连接偏远林区。</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2</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仓储冷链体系建设</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在沙子镇、黄水镇、枫木镇、六塘乡、</w:t>
            </w:r>
            <w:r>
              <w:rPr>
                <w:rFonts w:hint="eastAsia" w:ascii="Times New Roman" w:hAnsi="Times New Roman" w:eastAsia="仿宋" w:cs="Times New Roman"/>
                <w:color w:val="000000"/>
                <w:spacing w:val="-6"/>
                <w:sz w:val="21"/>
                <w:szCs w:val="21"/>
                <w:lang w:val="en-US" w:eastAsia="zh-CN"/>
              </w:rPr>
              <w:t>金铃</w:t>
            </w:r>
            <w:r>
              <w:rPr>
                <w:rFonts w:ascii="Times New Roman" w:hAnsi="Times New Roman" w:eastAsia="仿宋" w:cs="Times New Roman"/>
                <w:color w:val="000000"/>
                <w:spacing w:val="-6"/>
                <w:sz w:val="21"/>
                <w:szCs w:val="21"/>
                <w:lang w:val="en-US" w:eastAsia="zh-CN"/>
              </w:rPr>
              <w:t>镇、新乐镇、黄鹤镇、马武镇等乡镇布局5个产地冷链集配中心，建设20个村级预冷贮藏点。</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3</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节水灌溉系统建设</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在三星乡</w:t>
            </w:r>
            <w:r>
              <w:rPr>
                <w:rFonts w:hint="eastAsia" w:ascii="Times New Roman" w:hAnsi="Times New Roman" w:eastAsia="仿宋" w:cs="Times New Roman"/>
                <w:color w:val="000000"/>
                <w:spacing w:val="-6"/>
                <w:sz w:val="21"/>
                <w:szCs w:val="21"/>
                <w:lang w:val="en-US" w:eastAsia="zh-CN"/>
              </w:rPr>
              <w:t>、龙潭乡、</w:t>
            </w:r>
            <w:r>
              <w:rPr>
                <w:rFonts w:ascii="Times New Roman" w:hAnsi="Times New Roman" w:eastAsia="仿宋" w:cs="Times New Roman"/>
                <w:color w:val="000000"/>
                <w:spacing w:val="-6"/>
                <w:sz w:val="21"/>
                <w:szCs w:val="21"/>
                <w:lang w:val="en-US" w:eastAsia="zh-CN"/>
              </w:rPr>
              <w:t>沙子镇、黄水镇、枫木镇、六塘乡、</w:t>
            </w:r>
            <w:r>
              <w:rPr>
                <w:rFonts w:hint="eastAsia" w:ascii="Times New Roman" w:hAnsi="Times New Roman" w:eastAsia="仿宋" w:cs="Times New Roman"/>
                <w:color w:val="000000"/>
                <w:spacing w:val="-6"/>
                <w:sz w:val="21"/>
                <w:szCs w:val="21"/>
                <w:lang w:val="en-US" w:eastAsia="zh-CN"/>
              </w:rPr>
              <w:t>金铃</w:t>
            </w:r>
            <w:r>
              <w:rPr>
                <w:rFonts w:ascii="Times New Roman" w:hAnsi="Times New Roman" w:eastAsia="仿宋" w:cs="Times New Roman"/>
                <w:color w:val="000000"/>
                <w:spacing w:val="-6"/>
                <w:sz w:val="21"/>
                <w:szCs w:val="21"/>
                <w:lang w:val="en-US" w:eastAsia="zh-CN"/>
              </w:rPr>
              <w:t>镇、新乐镇、黄鹤镇、马武镇</w:t>
            </w:r>
            <w:r>
              <w:rPr>
                <w:rFonts w:hint="eastAsia" w:ascii="Times New Roman" w:hAnsi="Times New Roman" w:eastAsia="仿宋" w:cs="Times New Roman"/>
                <w:color w:val="000000"/>
                <w:spacing w:val="-6"/>
                <w:sz w:val="21"/>
                <w:szCs w:val="21"/>
                <w:lang w:val="en-US" w:eastAsia="zh-CN"/>
              </w:rPr>
              <w:t>、万朝镇、王场镇、西沱镇和沿溪镇等乡镇</w:t>
            </w:r>
            <w:r>
              <w:rPr>
                <w:rFonts w:ascii="Times New Roman" w:hAnsi="Times New Roman" w:eastAsia="仿宋" w:cs="Times New Roman"/>
                <w:color w:val="000000"/>
                <w:spacing w:val="-6"/>
                <w:sz w:val="21"/>
                <w:szCs w:val="21"/>
                <w:lang w:val="en-US" w:eastAsia="zh-CN"/>
              </w:rPr>
              <w:t>新建蓄水池50座、输水管道3000公里</w:t>
            </w:r>
            <w:r>
              <w:rPr>
                <w:rFonts w:hint="eastAsia" w:ascii="Times New Roman" w:hAnsi="Times New Roman" w:eastAsia="仿宋" w:cs="Times New Roman"/>
                <w:color w:val="000000"/>
                <w:spacing w:val="-6"/>
                <w:sz w:val="21"/>
                <w:szCs w:val="21"/>
                <w:lang w:val="en-US" w:eastAsia="zh-CN"/>
              </w:rPr>
              <w:t>。</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4</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林产品流通体系建设</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提档升级中国黄连交易市场</w:t>
            </w:r>
            <w:r>
              <w:rPr>
                <w:rFonts w:hint="eastAsia" w:ascii="Times New Roman" w:hAnsi="Times New Roman" w:eastAsia="仿宋" w:cs="Times New Roman"/>
                <w:color w:val="000000"/>
                <w:spacing w:val="-6"/>
                <w:sz w:val="21"/>
                <w:szCs w:val="21"/>
                <w:lang w:val="en-US" w:eastAsia="zh-CN"/>
              </w:rPr>
              <w:t>，打造集仓储、分拣、配送、交易、等级分类、检验检测、智能仓储等于一体的现代化集疏运供应链大平台。</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color w:val="000000"/>
                <w:lang w:val="en-US" w:eastAsia="zh-CN"/>
              </w:rPr>
            </w:pPr>
            <w:r>
              <w:rPr>
                <w:rFonts w:ascii="Times New Roman" w:hAnsi="Times New Roman" w:eastAsia="仿宋" w:cs="Times New Roman"/>
                <w:color w:val="000000"/>
                <w:spacing w:val="-6"/>
                <w:sz w:val="21"/>
                <w:szCs w:val="21"/>
                <w:lang w:val="en-US" w:eastAsia="zh-CN"/>
              </w:rPr>
              <w:t>以黄连、天麻、佛手、木瓜等特色中药材为核心，建设集物流集配、线上销售、供应链管理于一体的电商服务平台</w:t>
            </w:r>
            <w:r>
              <w:rPr>
                <w:rFonts w:hint="eastAsia" w:ascii="Times New Roman" w:hAnsi="Times New Roman" w:eastAsia="仿宋" w:cs="Times New Roman"/>
                <w:color w:val="000000"/>
                <w:spacing w:val="-6"/>
                <w:sz w:val="21"/>
                <w:szCs w:val="21"/>
                <w:lang w:val="en-US" w:eastAsia="zh-CN"/>
              </w:rPr>
              <w:t>。</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5</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0" w:firstLineChars="0"/>
              <w:jc w:val="left"/>
              <w:rPr>
                <w:rFonts w:ascii="Times New Roman" w:hAnsi="Times New Roman" w:eastAsia="仿宋" w:cs="Times New Roman"/>
                <w:color w:val="000000"/>
                <w:spacing w:val="-6"/>
                <w:sz w:val="21"/>
                <w:szCs w:val="21"/>
                <w:lang w:val="en-US" w:eastAsia="zh-CN"/>
              </w:rPr>
            </w:pPr>
            <w:r>
              <w:rPr>
                <w:rFonts w:hint="eastAsia" w:ascii="黑体" w:hAnsi="黑体" w:eastAsia="黑体" w:cs="黑体"/>
                <w:color w:val="000000"/>
                <w:spacing w:val="-6"/>
                <w:sz w:val="21"/>
                <w:szCs w:val="21"/>
                <w:lang w:val="en-US" w:eastAsia="zh-CN"/>
              </w:rPr>
              <w:t>种苗保障设施建设</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建设</w:t>
            </w:r>
            <w:r>
              <w:rPr>
                <w:rFonts w:ascii="Times New Roman" w:hAnsi="Times New Roman" w:eastAsia="仿宋" w:cs="Times New Roman"/>
                <w:color w:val="000000"/>
                <w:spacing w:val="-6"/>
                <w:sz w:val="21"/>
                <w:szCs w:val="21"/>
                <w:lang w:val="en-US" w:eastAsia="zh-CN"/>
              </w:rPr>
              <w:t>黄连种质资源圃</w:t>
            </w:r>
            <w:r>
              <w:rPr>
                <w:rFonts w:hint="eastAsia" w:ascii="Times New Roman" w:hAnsi="Times New Roman" w:eastAsia="仿宋" w:cs="Times New Roman"/>
                <w:color w:val="000000"/>
                <w:spacing w:val="-6"/>
                <w:sz w:val="21"/>
                <w:szCs w:val="21"/>
                <w:lang w:val="en-US" w:eastAsia="zh-CN"/>
              </w:rPr>
              <w:t>1个；</w:t>
            </w:r>
            <w:r>
              <w:rPr>
                <w:rFonts w:ascii="Times New Roman" w:hAnsi="Times New Roman" w:eastAsia="仿宋" w:cs="Times New Roman"/>
                <w:color w:val="000000"/>
                <w:spacing w:val="-6"/>
                <w:sz w:val="21"/>
                <w:szCs w:val="21"/>
                <w:lang w:val="en-US" w:eastAsia="zh-CN"/>
              </w:rPr>
              <w:t>在悦崃镇布局水杉保障性苗圃基地</w:t>
            </w:r>
            <w:r>
              <w:rPr>
                <w:rFonts w:hint="eastAsia" w:ascii="Times New Roman" w:hAnsi="Times New Roman" w:eastAsia="仿宋" w:cs="Times New Roman"/>
                <w:color w:val="000000"/>
                <w:spacing w:val="-6"/>
                <w:sz w:val="21"/>
                <w:szCs w:val="21"/>
                <w:lang w:val="en-US" w:eastAsia="zh-CN"/>
              </w:rPr>
              <w:t>1个，面积约100亩</w:t>
            </w:r>
            <w:r>
              <w:rPr>
                <w:rFonts w:ascii="Times New Roman" w:hAnsi="Times New Roman" w:eastAsia="仿宋" w:cs="Times New Roman"/>
                <w:color w:val="000000"/>
                <w:spacing w:val="-6"/>
                <w:sz w:val="21"/>
                <w:szCs w:val="21"/>
                <w:lang w:val="en-US" w:eastAsia="zh-CN"/>
              </w:rPr>
              <w:t>。</w:t>
            </w:r>
          </w:p>
        </w:tc>
      </w:tr>
    </w:tbl>
    <w:bookmarkStart w:id="154" w:name="_Toc7032"/>
    <w:bookmarkStart w:id="155" w:name="_Toc15601"/>
    <w:bookmarkStart w:id="156" w:name="_Toc4379"/>
    <w:bookmarkStart w:id="157" w:name="_Toc22972"/>
    <w:bookmarkStart w:id="158" w:name="_Toc16030"/>
    <w:p>
      <w:pPr>
        <w:pStyle w:val="000006"/>
        <w:keepNext/>
        <w:keepLines/>
        <w:pageBreakBefore w:val="false"/>
        <w:widowControl w:val="false"/>
        <w:numPr>
          <w:ilvl w:val="0"/>
          <w:numId w:val="18"/>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深化重大改革</w:t>
      </w:r>
      <w:bookmarkEnd w:id="154"/>
      <w:bookmarkEnd w:id="155"/>
      <w:bookmarkEnd w:id="156"/>
      <w:bookmarkEnd w:id="157"/>
      <w:r>
        <w:rPr>
          <w:rFonts w:hint="eastAsia" w:ascii="方正楷体_GBK" w:hAnsi="方正楷体_GBK" w:eastAsia="方正楷体_GBK" w:cs="方正楷体_GBK"/>
          <w:b/>
          <w:bCs/>
          <w:snapToGrid/>
          <w:color w:val="000000"/>
          <w:sz w:val="36"/>
          <w:szCs w:val="36"/>
          <w:lang w:val="en-US" w:eastAsia="zh-CN"/>
        </w:rPr>
        <w:t>支撑能力</w:t>
      </w:r>
      <w:bookmarkEnd w:id="158"/>
    </w:p>
    <w:bookmarkStart w:id="159" w:name="_Toc2790"/>
    <w:bookmarkStart w:id="160" w:name="_Toc19646"/>
    <w:bookmarkStart w:id="161" w:name="_Toc25581"/>
    <w:bookmarkStart w:id="162" w:name="_Toc28381"/>
    <w:bookmarkStart w:id="163" w:name="_Toc13739"/>
    <w:bookmarkStart w:id="164" w:name="_Toc11041"/>
    <w:bookmarkStart w:id="165" w:name="_Toc8934"/>
    <w:p>
      <w:pPr>
        <w:pStyle w:val="000007"/>
        <w:keepNext/>
        <w:keepLines/>
        <w:pageBreakBefore w:val="false"/>
        <w:widowControl w:val="false"/>
        <w:numPr>
          <w:ilvl w:val="0"/>
          <w:numId w:val="2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天然林与公益林并轨管理</w:t>
      </w:r>
      <w:bookmarkEnd w:id="159"/>
      <w:bookmarkEnd w:id="160"/>
      <w:bookmarkEnd w:id="161"/>
      <w:bookmarkEnd w:id="162"/>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全面推行天然林与公益林“四统一分”（统一基础数据、统一规划布局、统一管护制度、统一补偿政策、分区经营利用）并轨管理，系统提升森林资源保护与经营质效。</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snapToGrid w:val="false"/>
          <w:color w:val="000000"/>
          <w:spacing w:val="-6"/>
          <w:sz w:val="28"/>
          <w:szCs w:val="28"/>
          <w:lang w:val="en-US" w:eastAsia="zh-CN" w:bidi="ar"/>
        </w:rPr>
        <w:t>一是夯实数据基础。</w:t>
      </w:r>
      <w:r>
        <w:rPr>
          <w:rFonts w:hint="eastAsia" w:ascii="Times New Roman" w:hAnsi="Times New Roman" w:eastAsia="仿宋" w:cs="Times New Roman"/>
          <w:color w:val="000000"/>
          <w:spacing w:val="-6"/>
          <w:sz w:val="28"/>
          <w:szCs w:val="28"/>
          <w:lang w:val="en-US" w:eastAsia="zh-CN"/>
        </w:rPr>
        <w:t>整合2024年林草湿荒普查、“三区三线”、公益林现状、国土变更调查等多源底图数据，构建林地基础数据库，以小班为单元完成全县林地资源全覆盖核查校准，形成精准统一的林业资源“一张图”。</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snapToGrid w:val="false"/>
          <w:color w:val="000000"/>
          <w:spacing w:val="-6"/>
          <w:sz w:val="28"/>
          <w:szCs w:val="28"/>
          <w:lang w:val="en-US" w:eastAsia="zh-CN" w:bidi="ar"/>
        </w:rPr>
        <w:t>二是科学区划界定。</w:t>
      </w:r>
      <w:r>
        <w:rPr>
          <w:rFonts w:hint="eastAsia" w:ascii="Times New Roman" w:hAnsi="Times New Roman" w:eastAsia="仿宋" w:cs="Times New Roman"/>
          <w:color w:val="000000"/>
          <w:spacing w:val="-6"/>
          <w:sz w:val="28"/>
          <w:szCs w:val="28"/>
          <w:lang w:val="en-US" w:eastAsia="zh-CN"/>
        </w:rPr>
        <w:t>出台《石柱县天然林起源认定办法》，结合资源禀赋、历史沿革和经营现状科学认定天然林起源，同步编制《公益林优化调整方案》，按照“生态优先、确保重点、集中连片、合理布局”原则，充分尊重林权主体意愿，完成全县国家级、地方公益林优化调整。</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snapToGrid w:val="false"/>
          <w:color w:val="000000"/>
          <w:spacing w:val="-6"/>
          <w:sz w:val="28"/>
          <w:szCs w:val="28"/>
          <w:lang w:val="en-US" w:eastAsia="zh-CN" w:bidi="ar"/>
        </w:rPr>
        <w:t>三是统一规划布局</w:t>
      </w:r>
      <w:r>
        <w:rPr>
          <w:rFonts w:hint="eastAsia" w:ascii="Times New Roman" w:hAnsi="Times New Roman" w:eastAsia="仿宋" w:cs="Times New Roman"/>
          <w:color w:val="000000"/>
          <w:spacing w:val="-6"/>
          <w:sz w:val="28"/>
          <w:szCs w:val="28"/>
          <w:lang w:val="en-US" w:eastAsia="zh-CN"/>
        </w:rPr>
        <w:t>。统筹调整林地保护等级，通过协商置换等方式归并分散林地、平衡林权利益，保障功能分区和保护等级的完整性、连贯性，结合生态区位划设重点、一般保护区域实行分级管控：重点保护区域严格落实封禁保护措施，一般保护区域在严格保护的基础上适度开展科学经营，提升森林质量。</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snapToGrid w:val="false"/>
          <w:color w:val="000000"/>
          <w:spacing w:val="-6"/>
          <w:sz w:val="28"/>
          <w:szCs w:val="28"/>
          <w:lang w:val="en-US" w:eastAsia="zh-CN" w:bidi="ar"/>
        </w:rPr>
        <w:t>四是健全并轨机制</w:t>
      </w:r>
      <w:r>
        <w:rPr>
          <w:rFonts w:hint="eastAsia" w:ascii="Times New Roman" w:hAnsi="Times New Roman" w:eastAsia="仿宋" w:cs="Times New Roman"/>
          <w:color w:val="000000"/>
          <w:spacing w:val="-6"/>
          <w:sz w:val="28"/>
          <w:szCs w:val="28"/>
          <w:lang w:val="en-US" w:eastAsia="zh-CN"/>
        </w:rPr>
        <w:t>。制定《天然林与公益林并轨管理办法》，实现两类资源管护、补偿、修复、管理全链条统一：管护实行“公共管护+自主管护”相结合模式，重点区域由政府统一聘用专职护林员开展专业管护，一般区域由林权权利人签订自主管护承诺书落实管护责任；补偿拓宽资金筹措渠道，探索林业碳汇价值实现路径，构建多元化、市场化补偿机制，逐步提高补偿标准。</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snapToGrid w:val="false"/>
          <w:color w:val="000000"/>
          <w:spacing w:val="-6"/>
          <w:sz w:val="28"/>
          <w:szCs w:val="28"/>
          <w:lang w:val="en-US" w:eastAsia="zh-CN" w:bidi="ar"/>
        </w:rPr>
        <w:t>五是推动转型发展。</w:t>
      </w:r>
      <w:r>
        <w:rPr>
          <w:rFonts w:hint="eastAsia" w:ascii="Times New Roman" w:hAnsi="Times New Roman" w:eastAsia="仿宋" w:cs="Times New Roman"/>
          <w:color w:val="000000"/>
          <w:spacing w:val="-6"/>
          <w:sz w:val="28"/>
          <w:szCs w:val="28"/>
          <w:lang w:val="en-US" w:eastAsia="zh-CN"/>
        </w:rPr>
        <w:t>配套出台《林地非木质化资源培育利用导则》《林下经济生产服务设施登记管理办法》，明确林下种养、生态旅游、碳汇开发等业态的准入标准、技术规范和生态管控要求，支持经营主体因地制宜发展林药、林菌等特色林下种植，巩固黄连等道地中药材产业优势，培育森林康养、研学旅行等新业态，打造特色生态品牌，推动林区绿色转型、林农稳定增收。</w:t>
      </w:r>
    </w:p>
    <w:tbl>
      <w:tblPr>
        <w:tblStyle w:val="000016"/>
        <w:tblW w:w="0" w:type="auto"/>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7" w:hRule="atLeast"/>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专栏</w:t>
            </w:r>
            <w:r>
              <w:rPr>
                <w:rFonts w:hint="eastAsia" w:ascii="黑体" w:hAnsi="黑体" w:eastAsia="黑体" w:cs="黑体"/>
                <w:color w:val="000000"/>
                <w:spacing w:val="-6"/>
                <w:sz w:val="21"/>
                <w:szCs w:val="21"/>
                <w:lang w:val="en-US" w:eastAsia="zh-CN"/>
              </w:rPr>
              <w:t>4</w:t>
            </w:r>
            <w:r>
              <w:rPr>
                <w:rFonts w:ascii="黑体" w:hAnsi="黑体" w:eastAsia="黑体" w:cs="黑体"/>
                <w:color w:val="000000"/>
                <w:spacing w:val="-6"/>
                <w:sz w:val="21"/>
                <w:szCs w:val="21"/>
                <w:lang w:val="en-US" w:eastAsia="zh-CN"/>
              </w:rPr>
              <w:t>.</w:t>
            </w:r>
            <w:r>
              <w:rPr>
                <w:rFonts w:hint="eastAsia" w:ascii="黑体" w:hAnsi="黑体" w:eastAsia="黑体" w:cs="黑体"/>
                <w:color w:val="000000"/>
                <w:spacing w:val="-6"/>
                <w:sz w:val="21"/>
                <w:szCs w:val="21"/>
                <w:lang w:val="en-US" w:eastAsia="zh-CN"/>
              </w:rPr>
              <w:t>6</w:t>
            </w:r>
            <w:r>
              <w:rPr>
                <w:rFonts w:ascii="黑体" w:hAnsi="黑体" w:eastAsia="黑体" w:cs="黑体"/>
                <w:color w:val="000000"/>
                <w:spacing w:val="-6"/>
                <w:sz w:val="21"/>
                <w:szCs w:val="21"/>
                <w:lang w:val="en-US" w:eastAsia="zh-CN"/>
              </w:rPr>
              <w:t xml:space="preserve">.1 </w:t>
            </w:r>
            <w:r>
              <w:rPr>
                <w:rFonts w:hint="eastAsia" w:ascii="黑体" w:hAnsi="黑体" w:eastAsia="黑体" w:cs="黑体"/>
                <w:color w:val="000000"/>
                <w:spacing w:val="-6"/>
                <w:sz w:val="21"/>
                <w:szCs w:val="21"/>
                <w:lang w:val="en-US" w:eastAsia="zh-CN"/>
              </w:rPr>
              <w:t>天然林与公益林并轨管理改革</w:t>
            </w:r>
            <w:r>
              <w:rPr>
                <w:rFonts w:ascii="黑体" w:hAnsi="黑体" w:eastAsia="黑体" w:cs="黑体"/>
                <w:color w:val="000000"/>
                <w:spacing w:val="-6"/>
                <w:sz w:val="21"/>
                <w:szCs w:val="21"/>
                <w:lang w:val="en-US" w:eastAsia="zh-CN"/>
              </w:rPr>
              <w:t>重点</w:t>
            </w:r>
          </w:p>
        </w:tc>
      </w:tr>
      <w:tr>
        <w:trPr>
          <w:wBefore/>
          <w:trHeight w:val="327"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建设任务</w:t>
            </w:r>
          </w:p>
        </w:tc>
      </w:tr>
      <w:tr>
        <w:trPr>
          <w:wBefore/>
          <w:trHeight w:val="609"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1</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构建林地基础数据库</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构建</w:t>
            </w:r>
            <w:r>
              <w:rPr>
                <w:rFonts w:ascii="Times New Roman" w:hAnsi="Times New Roman" w:eastAsia="仿宋" w:cs="Times New Roman"/>
                <w:color w:val="000000"/>
                <w:spacing w:val="-6"/>
                <w:sz w:val="21"/>
                <w:szCs w:val="21"/>
                <w:lang w:val="en-US" w:eastAsia="zh-CN"/>
              </w:rPr>
              <w:t>全县林地数据库，为并轨管理试点工作提供基础支撑。</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2</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科学区划界定林地</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制定出台《石柱县天然林起源认定办法》，在保障林农权益和收益前提下，结合林地现状等，对天然林起源开展认定工作。</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结合全县实际，编制《石柱县公益林优化调整方案》，开展全县公益林优化调整工作。</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及时开展公益林优化调整后的不动产权登记变更工作。</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3</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统一天然林与公益林规划布局</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根据天然林认定和公益林优化调整结果，在尊重林农及林业经营者的权益与意愿下，通过合理归并与功能调整，对林地进行区划，划分为重点保护区域与一般保护区域。</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明确林地分区管控要求，对林地进行分区管控。</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hint="eastAsia"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4</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ascii="黑体" w:hAnsi="黑体" w:eastAsia="黑体" w:cs="黑体"/>
                <w:color w:val="000000"/>
                <w:spacing w:val="-6"/>
                <w:sz w:val="21"/>
                <w:szCs w:val="21"/>
                <w:lang w:val="en-US" w:eastAsia="zh-CN"/>
              </w:rPr>
            </w:pPr>
            <w:r>
              <w:rPr>
                <w:rFonts w:ascii="黑体" w:hAnsi="黑体" w:eastAsia="黑体" w:cs="黑体"/>
                <w:color w:val="000000"/>
                <w:spacing w:val="-6"/>
                <w:sz w:val="21"/>
                <w:szCs w:val="21"/>
                <w:lang w:val="en-US" w:eastAsia="zh-CN"/>
              </w:rPr>
              <w:t>探索天然林与公益林并轨管理机制</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探索建立天然林和公益林在管护、修复、</w:t>
            </w:r>
            <w:r>
              <w:rPr>
                <w:rFonts w:hint="eastAsia" w:ascii="Times New Roman" w:hAnsi="Times New Roman" w:eastAsia="仿宋" w:cs="Times New Roman"/>
                <w:color w:val="000000"/>
                <w:spacing w:val="-6"/>
                <w:sz w:val="21"/>
                <w:szCs w:val="21"/>
                <w:lang w:val="en-US" w:eastAsia="zh-CN"/>
              </w:rPr>
              <w:t>补偿、森林保险</w:t>
            </w:r>
            <w:r>
              <w:rPr>
                <w:rFonts w:ascii="Times New Roman" w:hAnsi="Times New Roman" w:eastAsia="仿宋" w:cs="Times New Roman"/>
                <w:color w:val="000000"/>
                <w:spacing w:val="-6"/>
                <w:sz w:val="21"/>
                <w:szCs w:val="21"/>
                <w:lang w:val="en-US" w:eastAsia="zh-CN"/>
              </w:rPr>
              <w:t>等方面并轨管理工作机制，制定出台《石柱县天然林与公益林并轨管理办法》。</w:t>
            </w:r>
          </w:p>
        </w:tc>
      </w:tr>
      <w:bookmarkStart w:id="166" w:name="_Toc22224"/>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仿宋" w:hAnsi="仿宋" w:eastAsia="仿宋" w:cs="仿宋"/>
                <w:color w:val="000000"/>
                <w:spacing w:val="-6"/>
                <w:sz w:val="21"/>
                <w:szCs w:val="21"/>
                <w:lang w:val="en-US" w:eastAsia="zh-CN"/>
              </w:rPr>
            </w:pPr>
            <w:r>
              <w:rPr>
                <w:rFonts w:hint="eastAsia" w:ascii="仿宋" w:hAnsi="仿宋" w:eastAsia="仿宋" w:cs="仿宋"/>
                <w:color w:val="000000"/>
                <w:spacing w:val="-6"/>
                <w:sz w:val="21"/>
                <w:szCs w:val="21"/>
                <w:lang w:val="en-US" w:eastAsia="zh-CN"/>
              </w:rPr>
              <w:t>5</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促进林区转型发展</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制定出台《石柱县林地非木质化资源培育利用导则》和《石柱县林下经济生产服务设施登记管理办法》，精准管控，科学利用，积极探索开展林地非木质化资源利用，大力发展“林木复合+”模式，促进林区转型发展。</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统筹政策、资金、项目支持天然林与公益林并轨管理试点工作。</w:t>
            </w:r>
          </w:p>
        </w:tc>
      </w:tr>
    </w:tbl>
    <w:bookmarkEnd w:id="163"/>
    <w:bookmarkEnd w:id="164"/>
    <w:bookmarkEnd w:id="165"/>
    <w:bookmarkEnd w:id="166"/>
    <w:p>
      <w:pPr>
        <w:pStyle w:val="000007"/>
        <w:keepNext/>
        <w:keepLines/>
        <w:pageBreakBefore w:val="false"/>
        <w:widowControl w:val="false"/>
        <w:numPr>
          <w:ilvl w:val="0"/>
          <w:numId w:val="2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推动“三兴”行动</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以</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林草兴生态兴文明兴</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行动为抓手，依托康养小镇、历史文化名镇、国家森林乡村、乡村旅游重点村及康养度假资源富集乡村，深入推进集体林权制度改革先行区建设，构建人与自然和谐共生新格局，实现林草保护、环境提升、生态富民、文明浸润协同发展。</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强化生态安全守护机制。</w:t>
      </w:r>
      <w:r>
        <w:rPr>
          <w:rFonts w:ascii="Times New Roman" w:hAnsi="Times New Roman" w:eastAsia="仿宋" w:cs="Times New Roman"/>
          <w:color w:val="000000"/>
          <w:spacing w:val="-6"/>
          <w:sz w:val="28"/>
          <w:szCs w:val="28"/>
          <w:lang w:val="en-US" w:eastAsia="zh-CN"/>
        </w:rPr>
        <w:t>聚焦生态安全核心目标，激活林农主体意识</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组建村社联防小组，建立森林防火、有害生物防治</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双联防</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机制；推广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智慧林长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数智林权</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数字化应用，实现林情动态监测与林权高效管理；探索古树名木精准保护模式，将其纳入村规民约并打造</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古树名木+村庄院落</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乡愁场景；开展</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守护青山</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志愿服务活动，扩大生态保护品牌影响力，形成全民参与的生态守护格局。</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推进生态品质优化工程。</w:t>
      </w:r>
      <w:r>
        <w:rPr>
          <w:rFonts w:ascii="Times New Roman" w:hAnsi="Times New Roman" w:eastAsia="仿宋" w:cs="Times New Roman"/>
          <w:color w:val="000000"/>
          <w:spacing w:val="-6"/>
          <w:sz w:val="28"/>
          <w:szCs w:val="28"/>
          <w:lang w:val="en-US" w:eastAsia="zh-CN"/>
        </w:rPr>
        <w:t>围绕生态品质提升，实施山水林田湖草一体化治理</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保护原生植被，将低质林改造为混交林、复层林、景观林，优化林分结构；推行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一村一策</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绿化美化方案，采用环保建材建设村级公共空间，推动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小微湿地+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生态融合项目落地；引导林农共建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小菜园、小果园、小花园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，实现绿美家园共管共享，打造生态宜居乡村样板。</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激活绿色经济发展动能。</w:t>
      </w:r>
      <w:r>
        <w:rPr>
          <w:rFonts w:ascii="Times New Roman" w:hAnsi="Times New Roman" w:eastAsia="仿宋" w:cs="Times New Roman"/>
          <w:color w:val="000000"/>
          <w:spacing w:val="-6"/>
          <w:sz w:val="28"/>
          <w:szCs w:val="28"/>
          <w:lang w:val="en-US" w:eastAsia="zh-CN"/>
        </w:rPr>
        <w:t>以盘活集体资产为抓手，构建利益共享的绿色经济模式</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建立</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林农委托、集体收储、招商联营、利益分成</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机制，鼓励林农以林地、劳务入股发展规模经营；引导培育</w:t>
      </w:r>
      <w:r>
        <w:rPr>
          <w:rFonts w:hint="eastAsia" w:ascii="Times New Roman" w:hAnsi="Times New Roman" w:eastAsia="仿宋" w:cs="Times New Roman"/>
          <w:color w:val="000000"/>
          <w:spacing w:val="-6"/>
          <w:sz w:val="28"/>
          <w:szCs w:val="28"/>
          <w:lang w:val="en-US" w:eastAsia="zh-CN"/>
        </w:rPr>
        <w:t>脆红李</w:t>
      </w:r>
      <w:r>
        <w:rPr>
          <w:rFonts w:ascii="Times New Roman" w:hAnsi="Times New Roman" w:eastAsia="仿宋" w:cs="Times New Roman"/>
          <w:color w:val="000000"/>
          <w:spacing w:val="-6"/>
          <w:sz w:val="28"/>
          <w:szCs w:val="28"/>
          <w:lang w:val="en-US" w:eastAsia="zh-CN"/>
        </w:rPr>
        <w:t>、中药材等土特产产业，拓展林下经济、森林康养等新业态；通过技能培训、直播电商赋能、融资政策支持，拓宽林农增收渠道，实现生态资源向经济价值转化。</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厚植生态文明理念氛围。</w:t>
      </w:r>
      <w:r>
        <w:rPr>
          <w:rFonts w:ascii="Times New Roman" w:hAnsi="Times New Roman" w:eastAsia="仿宋" w:cs="Times New Roman"/>
          <w:color w:val="000000"/>
          <w:spacing w:val="-6"/>
          <w:sz w:val="28"/>
          <w:szCs w:val="28"/>
          <w:lang w:val="en-US" w:eastAsia="zh-CN"/>
        </w:rPr>
        <w:t>开展多层次生态文化传播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组织林草科普进校园、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森林小卫士</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实践活动，提升青少年生态意识；邀请专家开展普法宣教，充实农村生态书屋；宣传</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三兴</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村、林业大户、</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兴星</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之家等典型案例，营造浓厚生态文化氛围；</w:t>
      </w:r>
      <w:r>
        <w:rPr>
          <w:rFonts w:ascii="Times New Roman" w:hAnsi="Times New Roman" w:eastAsia="仿宋" w:cs="Times New Roman"/>
          <w:color w:val="000000"/>
          <w:spacing w:val="-6"/>
          <w:sz w:val="28"/>
          <w:szCs w:val="28"/>
          <w:lang w:eastAsia="zh-CN"/>
        </w:rPr>
        <w:t>协同推进林草保护、环境提升、生态富民、文明浸润、示范培育“五大行动”</w:t>
      </w:r>
      <w:r>
        <w:rPr>
          <w:rFonts w:ascii="Times New Roman" w:hAnsi="Times New Roman" w:eastAsia="仿宋" w:cs="Times New Roman"/>
          <w:color w:val="000000"/>
          <w:spacing w:val="-6"/>
          <w:sz w:val="28"/>
          <w:szCs w:val="28"/>
          <w:lang w:val="en-US" w:eastAsia="zh-CN"/>
        </w:rPr>
        <w:t>，加快形成</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林草夯基、生态固本、文明铸魂</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的和谐共生格局。</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完善协同推进保障体系。</w:t>
      </w:r>
      <w:r>
        <w:rPr>
          <w:rFonts w:ascii="Times New Roman" w:hAnsi="Times New Roman" w:eastAsia="仿宋" w:cs="Times New Roman"/>
          <w:color w:val="000000"/>
          <w:spacing w:val="-6"/>
          <w:sz w:val="28"/>
          <w:szCs w:val="28"/>
          <w:lang w:val="en-US" w:eastAsia="zh-CN"/>
        </w:rPr>
        <w:t>出台集体林权改革配套政策，建立</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机制活、产业优、百姓富、生态美</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的评价体系</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将改革成效纳入乡镇绩效考核，强化责任落实；依托数字化平台实现林权流转、生态保护、产业发展全流程监管；通过乡镇集市咨询点、短视频等方式宣传政策，确保改革措施落地见效，推动先行区建设成为人与自然和谐共生的示范样板。</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1146"/>
        <w:gridCol w:w="2816"/>
        <w:gridCol w:w="1529"/>
        <w:gridCol w:w="3204"/>
      </w:tblGrid>
      <w:tr>
        <w:trPr>
          <w:wBefore/>
          <w:trHeight w:val="327" w:hRule="atLeast"/>
          <w:tblCellSpacing w:w="28" w:type="dxa"/>
        </w:trPr>
        <w:tc>
          <w:tcPr>
            <w:tcW w:w="8695" w:type="dxa"/>
            <w:gridSpan w:val="4"/>
            <w:tcBorders>
              <w:top w:val="single" w:color="auto" w:sz="4" w:space="0"/>
              <w:left w:val="single" w:color="auto" w:sz="4" w:space="0"/>
              <w:bottom w:val="single" w:color="auto" w:sz="4" w:space="0"/>
              <w:right w:val="single" w:color="auto" w:sz="4" w:space="0"/>
            </w:tcBorders>
            <w:shd w:val="clear" w:color="auto" w:fill="d7d7d7"/>
            <w:textDirection w:val="lrTb"/>
            <w:vAlign w:val="center"/>
          </w:tcPr>
          <w:p>
            <w:pPr>
              <w:pStyle w:val="000001"/>
              <w:keepNext w:val="false"/>
              <w:keepLines w:val="false"/>
              <w:widowControl/>
              <w:suppressLineNumbers w:val="false"/>
              <w:kinsoku/>
              <w:autoSpaceDE/>
              <w:autoSpaceDN/>
              <w:spacing w:before="0" w:beforeAutospacing="false" w:after="0" w:afterAutospacing="false"/>
              <w:ind w:left="0" w:right="0" w:firstLine="396" w:firstLineChars="200"/>
              <w:jc w:val="center"/>
              <w:rPr>
                <w:rFonts w:ascii="Times New Roman" w:hAnsi="Times New Roman" w:eastAsia="仿宋" w:cs="Times New Roman"/>
                <w:color w:val="000000"/>
                <w:spacing w:val="-6"/>
                <w:kern w:val="0"/>
                <w:sz w:val="21"/>
                <w:szCs w:val="21"/>
                <w:lang w:eastAsia="zh-CN"/>
              </w:rPr>
            </w:pPr>
            <w:r>
              <w:rPr>
                <w:rFonts w:ascii="黑体" w:hAnsi="黑体" w:eastAsia="黑体" w:cs="黑体"/>
                <w:snapToGrid w:val="false"/>
                <w:color w:val="000000"/>
                <w:spacing w:val="-6"/>
                <w:kern w:val="0"/>
                <w:sz w:val="21"/>
                <w:szCs w:val="21"/>
                <w:lang w:val="en-US" w:eastAsia="zh-CN" w:bidi="ar"/>
              </w:rPr>
              <w:t>专栏4.6.1 石柱县“三兴”行动培育工作目标清单</w:t>
            </w:r>
          </w:p>
        </w:tc>
      </w:tr>
      <w:tr>
        <w:trPr>
          <w:wBefore/>
          <w:trHeight w:val="90" w:hRule="atLeast"/>
          <w:tblCellSpacing w:w="28" w:type="dxa"/>
        </w:trPr>
        <w:tc>
          <w:tcPr>
            <w:tcW w:w="1146"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left="0" w:right="0"/>
              <w:jc w:val="center"/>
              <w:rPr>
                <w:rFonts w:hint="eastAsia" w:ascii="仿宋" w:hAnsi="仿宋" w:eastAsia="仿宋" w:cs="仿宋"/>
                <w:color w:val="000000"/>
                <w:spacing w:val="-6"/>
                <w:kern w:val="0"/>
                <w:sz w:val="21"/>
                <w:szCs w:val="21"/>
                <w:lang w:eastAsia="zh-CN"/>
              </w:rPr>
            </w:pPr>
            <w:r>
              <w:rPr>
                <w:rFonts w:hint="eastAsia" w:ascii="仿宋" w:hAnsi="仿宋" w:eastAsia="仿宋" w:cs="仿宋"/>
                <w:snapToGrid w:val="false"/>
                <w:color w:val="000000"/>
                <w:spacing w:val="-6"/>
                <w:kern w:val="0"/>
                <w:sz w:val="21"/>
                <w:szCs w:val="21"/>
                <w:lang w:val="en-US" w:eastAsia="zh-CN" w:bidi="ar"/>
              </w:rPr>
              <w:t>序号</w:t>
            </w:r>
          </w:p>
        </w:tc>
        <w:tc>
          <w:tcPr>
            <w:tcW w:w="2816"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right="0"/>
              <w:jc w:val="center"/>
              <w:rPr>
                <w:rFonts w:hint="eastAsia" w:ascii="Times New Roman" w:hAnsi="Times New Roman" w:eastAsia="仿宋" w:cs="Times New Roman"/>
                <w:color w:val="000000"/>
                <w:spacing w:val="-6"/>
                <w:kern w:val="0"/>
                <w:sz w:val="21"/>
                <w:szCs w:val="21"/>
                <w:lang w:eastAsia="zh-CN"/>
              </w:rPr>
            </w:pPr>
            <w:r>
              <w:rPr>
                <w:rFonts w:hint="eastAsia" w:ascii="Times New Roman" w:hAnsi="Times New Roman" w:eastAsia="仿宋" w:cs="Times New Roman"/>
                <w:snapToGrid w:val="false"/>
                <w:color w:val="000000"/>
                <w:spacing w:val="-6"/>
                <w:kern w:val="0"/>
                <w:sz w:val="21"/>
                <w:szCs w:val="21"/>
                <w:lang w:val="en-US" w:eastAsia="zh-CN" w:bidi="ar"/>
              </w:rPr>
              <w:t>名称</w:t>
            </w:r>
          </w:p>
        </w:tc>
        <w:tc>
          <w:tcPr>
            <w:tcW w:w="1529"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类型</w:t>
            </w:r>
          </w:p>
        </w:tc>
        <w:tc>
          <w:tcPr>
            <w:tcW w:w="3204"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建设目标</w:t>
            </w:r>
          </w:p>
        </w:tc>
      </w:tr>
      <w:tr>
        <w:trPr>
          <w:wBefore/>
          <w:trHeight w:val="340" w:hRule="exact"/>
          <w:tblCellSpacing w:w="28" w:type="dxa"/>
        </w:trPr>
        <w:tc>
          <w:tcPr>
            <w:tcW w:w="1146"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left="0" w:right="0"/>
              <w:jc w:val="center"/>
              <w:rPr>
                <w:rFonts w:hint="eastAsia" w:ascii="仿宋" w:hAnsi="仿宋" w:eastAsia="仿宋" w:cs="仿宋"/>
                <w:color w:val="000000"/>
                <w:spacing w:val="-6"/>
                <w:kern w:val="0"/>
                <w:sz w:val="21"/>
                <w:szCs w:val="21"/>
                <w:lang w:eastAsia="zh-CN"/>
              </w:rPr>
            </w:pPr>
            <w:r>
              <w:rPr>
                <w:rFonts w:hint="eastAsia" w:ascii="仿宋" w:hAnsi="仿宋" w:eastAsia="仿宋" w:cs="仿宋"/>
                <w:snapToGrid w:val="false"/>
                <w:color w:val="000000"/>
                <w:spacing w:val="-6"/>
                <w:kern w:val="0"/>
                <w:sz w:val="21"/>
                <w:szCs w:val="21"/>
                <w:lang w:val="en-US" w:eastAsia="zh-CN" w:bidi="ar"/>
              </w:rPr>
              <w:t>1</w:t>
            </w:r>
          </w:p>
        </w:tc>
        <w:tc>
          <w:tcPr>
            <w:tcW w:w="2816"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hint="eastAsia" w:ascii="Times New Roman" w:hAnsi="Times New Roman" w:eastAsia="仿宋" w:cs="Times New Roman"/>
                <w:color w:val="000000"/>
                <w:spacing w:val="-6"/>
                <w:kern w:val="0"/>
                <w:sz w:val="21"/>
                <w:szCs w:val="21"/>
                <w:lang w:eastAsia="zh-CN"/>
              </w:rPr>
            </w:pPr>
            <w:r>
              <w:rPr>
                <w:rFonts w:hint="eastAsia" w:ascii="Times New Roman" w:hAnsi="Times New Roman" w:eastAsia="仿宋" w:cs="Times New Roman"/>
                <w:snapToGrid w:val="false"/>
                <w:color w:val="000000"/>
                <w:spacing w:val="-6"/>
                <w:kern w:val="0"/>
                <w:sz w:val="21"/>
                <w:szCs w:val="21"/>
                <w:lang w:val="en-US" w:eastAsia="zh-CN" w:bidi="ar"/>
              </w:rPr>
              <w:t>“三兴”乡</w:t>
            </w:r>
          </w:p>
        </w:tc>
        <w:tc>
          <w:tcPr>
            <w:tcW w:w="1529"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w:t>
            </w:r>
          </w:p>
        </w:tc>
        <w:tc>
          <w:tcPr>
            <w:tcW w:w="3204"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共5个。</w:t>
            </w:r>
          </w:p>
        </w:tc>
      </w:tr>
      <w:tr>
        <w:trPr>
          <w:wBefore/>
          <w:trHeight w:val="340" w:hRule="exact"/>
          <w:tblCellSpacing w:w="28" w:type="dxa"/>
        </w:trPr>
        <w:tc>
          <w:tcPr>
            <w:tcW w:w="1146"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left="0" w:right="0"/>
              <w:jc w:val="center"/>
              <w:rPr>
                <w:rFonts w:hint="eastAsia" w:ascii="仿宋" w:hAnsi="仿宋" w:eastAsia="仿宋" w:cs="仿宋"/>
                <w:color w:val="000000"/>
                <w:spacing w:val="-6"/>
                <w:kern w:val="0"/>
                <w:sz w:val="21"/>
                <w:szCs w:val="21"/>
                <w:lang w:eastAsia="zh-CN"/>
              </w:rPr>
            </w:pPr>
            <w:r>
              <w:rPr>
                <w:rFonts w:hint="eastAsia" w:ascii="仿宋" w:hAnsi="仿宋" w:eastAsia="仿宋" w:cs="仿宋"/>
                <w:snapToGrid w:val="false"/>
                <w:color w:val="000000"/>
                <w:spacing w:val="-6"/>
                <w:kern w:val="0"/>
                <w:sz w:val="21"/>
                <w:szCs w:val="21"/>
                <w:lang w:val="en-US" w:eastAsia="zh-CN" w:bidi="ar"/>
              </w:rPr>
              <w:t>2</w:t>
            </w:r>
          </w:p>
        </w:tc>
        <w:tc>
          <w:tcPr>
            <w:tcW w:w="2816"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hint="eastAsia" w:ascii="Times New Roman" w:hAnsi="Times New Roman" w:eastAsia="仿宋" w:cs="Times New Roman"/>
                <w:color w:val="000000"/>
                <w:spacing w:val="-6"/>
                <w:kern w:val="0"/>
                <w:sz w:val="21"/>
                <w:szCs w:val="21"/>
                <w:lang w:eastAsia="zh-CN"/>
              </w:rPr>
            </w:pPr>
            <w:r>
              <w:rPr>
                <w:rFonts w:hint="eastAsia" w:ascii="Times New Roman" w:hAnsi="Times New Roman" w:eastAsia="仿宋" w:cs="Times New Roman"/>
                <w:snapToGrid w:val="false"/>
                <w:color w:val="000000"/>
                <w:spacing w:val="-6"/>
                <w:kern w:val="0"/>
                <w:sz w:val="21"/>
                <w:szCs w:val="21"/>
                <w:lang w:val="en-US" w:eastAsia="zh-CN" w:bidi="ar"/>
              </w:rPr>
              <w:t>“三兴”村</w:t>
            </w:r>
          </w:p>
          <w:p>
            <w:pPr>
              <w:pStyle w:val="000001"/>
              <w:keepNext w:val="false"/>
              <w:keepLines w:val="false"/>
              <w:widowControl/>
              <w:suppressLineNumbers w:val="false"/>
              <w:kinsoku/>
              <w:autoSpaceDE/>
              <w:autoSpaceDN/>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kern w:val="0"/>
                <w:sz w:val="21"/>
                <w:szCs w:val="21"/>
                <w:lang w:eastAsia="zh-CN"/>
              </w:rPr>
            </w:pPr>
          </w:p>
        </w:tc>
        <w:tc>
          <w:tcPr>
            <w:tcW w:w="1529"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w:t>
            </w:r>
          </w:p>
        </w:tc>
        <w:tc>
          <w:tcPr>
            <w:tcW w:w="3204"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共20个。</w:t>
            </w:r>
          </w:p>
        </w:tc>
      </w:tr>
      <w:tr>
        <w:trPr>
          <w:wBefore/>
          <w:trHeight w:val="340" w:hRule="exact"/>
          <w:tblCellSpacing w:w="28" w:type="dxa"/>
        </w:trPr>
        <w:tc>
          <w:tcPr>
            <w:tcW w:w="1146" w:type="dxa"/>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left="0" w:right="0"/>
              <w:jc w:val="center"/>
              <w:rPr>
                <w:rFonts w:hint="eastAsia" w:ascii="仿宋" w:hAnsi="仿宋" w:eastAsia="仿宋" w:cs="仿宋"/>
                <w:color w:val="000000"/>
                <w:spacing w:val="-6"/>
                <w:kern w:val="0"/>
                <w:sz w:val="21"/>
                <w:szCs w:val="21"/>
                <w:lang w:eastAsia="zh-CN"/>
              </w:rPr>
            </w:pPr>
            <w:r>
              <w:rPr>
                <w:rFonts w:hint="eastAsia" w:ascii="仿宋" w:hAnsi="仿宋" w:eastAsia="仿宋" w:cs="仿宋"/>
                <w:snapToGrid w:val="false"/>
                <w:color w:val="000000"/>
                <w:spacing w:val="-6"/>
                <w:kern w:val="0"/>
                <w:sz w:val="21"/>
                <w:szCs w:val="21"/>
                <w:lang w:val="en-US" w:eastAsia="zh-CN" w:bidi="ar"/>
              </w:rPr>
              <w:t>3</w:t>
            </w:r>
          </w:p>
        </w:tc>
        <w:tc>
          <w:tcPr>
            <w:tcW w:w="2816"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val="en-US" w:eastAsia="zh-CN"/>
              </w:rPr>
            </w:pPr>
            <w:r>
              <w:rPr>
                <w:rFonts w:hint="eastAsia" w:ascii="Times New Roman" w:hAnsi="Times New Roman" w:eastAsia="仿宋" w:cs="Times New Roman"/>
                <w:color w:val="000000"/>
                <w:spacing w:val="-6"/>
                <w:kern w:val="0"/>
                <w:sz w:val="21"/>
                <w:szCs w:val="21"/>
                <w:lang w:val="en-US" w:eastAsia="zh-CN"/>
              </w:rPr>
              <w:t>林业大户</w:t>
            </w:r>
          </w:p>
          <w:p>
            <w:pPr>
              <w:pStyle w:val="000001"/>
              <w:keepNext w:val="false"/>
              <w:keepLines w:val="false"/>
              <w:widowControl/>
              <w:suppressLineNumbers w:val="false"/>
              <w:kinsoku/>
              <w:autoSpaceDE/>
              <w:autoSpaceDN/>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kern w:val="0"/>
                <w:sz w:val="21"/>
                <w:szCs w:val="21"/>
                <w:lang w:eastAsia="zh-CN"/>
              </w:rPr>
            </w:pPr>
            <w:r>
              <w:rPr>
                <w:rFonts w:hint="eastAsia" w:ascii="Times New Roman" w:hAnsi="Times New Roman" w:eastAsia="仿宋" w:cs="Times New Roman"/>
                <w:snapToGrid w:val="false"/>
                <w:color w:val="000000"/>
                <w:spacing w:val="-6"/>
                <w:kern w:val="0"/>
                <w:sz w:val="21"/>
                <w:szCs w:val="21"/>
                <w:lang w:val="en-US" w:eastAsia="zh-CN" w:bidi="ar"/>
              </w:rPr>
              <w:t>林业大户</w:t>
            </w:r>
          </w:p>
          <w:p>
            <w:pPr>
              <w:pStyle w:val="000001"/>
              <w:keepNext w:val="false"/>
              <w:keepLines w:val="false"/>
              <w:widowControl/>
              <w:suppressLineNumbers w:val="false"/>
              <w:kinsoku/>
              <w:autoSpaceDE/>
              <w:autoSpaceDN/>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kern w:val="0"/>
                <w:sz w:val="21"/>
                <w:szCs w:val="21"/>
                <w:lang w:eastAsia="zh-CN"/>
              </w:rPr>
            </w:pPr>
          </w:p>
        </w:tc>
        <w:tc>
          <w:tcPr>
            <w:tcW w:w="1529"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w:t>
            </w:r>
          </w:p>
          <w:p>
            <w:pPr>
              <w:pStyle w:val="000001"/>
              <w:keepNext w:val="false"/>
              <w:keepLines w:val="false"/>
              <w:widowControl/>
              <w:suppressLineNumbers w:val="false"/>
              <w:kinsoku/>
              <w:autoSpaceDE/>
              <w:autoSpaceDN/>
              <w:spacing w:before="0" w:beforeAutospacing="false" w:after="0" w:afterAutospacing="false"/>
              <w:ind w:left="0" w:right="0" w:firstLine="396" w:firstLineChars="20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w:t>
            </w:r>
          </w:p>
        </w:tc>
        <w:tc>
          <w:tcPr>
            <w:tcW w:w="3204"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共50个。</w:t>
            </w:r>
          </w:p>
        </w:tc>
      </w:tr>
      <w:tr>
        <w:trPr>
          <w:wBefore/>
          <w:trHeight w:val="340" w:hRule="exact"/>
          <w:tblCellSpacing w:w="28" w:type="dxa"/>
        </w:trPr>
        <w:tc>
          <w:tcPr>
            <w:tcW w:w="1146" w:type="dxa"/>
            <w:vMerge w:val="restart"/>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left="0" w:right="0"/>
              <w:jc w:val="center"/>
              <w:rPr>
                <w:rFonts w:hint="eastAsia" w:ascii="仿宋" w:hAnsi="仿宋" w:eastAsia="仿宋" w:cs="仿宋"/>
                <w:color w:val="000000"/>
                <w:spacing w:val="-6"/>
                <w:kern w:val="0"/>
                <w:sz w:val="21"/>
                <w:szCs w:val="21"/>
                <w:lang w:eastAsia="zh-CN"/>
              </w:rPr>
            </w:pPr>
            <w:r>
              <w:rPr>
                <w:rFonts w:hint="eastAsia" w:ascii="仿宋" w:hAnsi="仿宋" w:eastAsia="仿宋" w:cs="仿宋"/>
                <w:snapToGrid w:val="false"/>
                <w:color w:val="000000"/>
                <w:spacing w:val="-6"/>
                <w:kern w:val="0"/>
                <w:sz w:val="21"/>
                <w:szCs w:val="21"/>
                <w:lang w:val="en-US" w:eastAsia="zh-CN" w:bidi="ar"/>
              </w:rPr>
              <w:t>4</w:t>
            </w:r>
          </w:p>
        </w:tc>
        <w:tc>
          <w:tcPr>
            <w:tcW w:w="2816" w:type="dxa"/>
            <w:vMerge w:val="restart"/>
            <w:tcBorders>
              <w:top w:val="single" w:color="auto" w:sz="4" w:space="0"/>
              <w:left w:val="single" w:color="auto" w:sz="4" w:space="0"/>
              <w:bottom w:val="single" w:color="auto" w:sz="4" w:space="0"/>
              <w:right w:val="single" w:color="auto" w:sz="4" w:space="0"/>
            </w:tcBorders>
            <w:textDirection w:val="lrTb"/>
            <w:vAlign w:val="center"/>
          </w:tcPr>
          <w:p>
            <w:pPr>
              <w:pStyle w:val="000001"/>
              <w:keepNext w:val="false"/>
              <w:keepLines w:val="false"/>
              <w:widowControl/>
              <w:suppressLineNumbers w:val="false"/>
              <w:kinsoku/>
              <w:autoSpaceDE/>
              <w:autoSpaceDN/>
              <w:spacing w:before="0" w:beforeAutospacing="false" w:after="0" w:afterAutospacing="false"/>
              <w:ind w:right="0"/>
              <w:jc w:val="center"/>
              <w:rPr>
                <w:rFonts w:hint="eastAsia" w:ascii="Times New Roman" w:hAnsi="Times New Roman" w:eastAsia="仿宋" w:cs="Times New Roman"/>
                <w:color w:val="000000"/>
                <w:spacing w:val="-6"/>
                <w:kern w:val="0"/>
                <w:sz w:val="21"/>
                <w:szCs w:val="21"/>
                <w:lang w:eastAsia="zh-CN"/>
              </w:rPr>
            </w:pPr>
            <w:r>
              <w:rPr>
                <w:rFonts w:hint="eastAsia" w:ascii="Times New Roman" w:hAnsi="Times New Roman" w:eastAsia="仿宋" w:cs="Times New Roman"/>
                <w:snapToGrid w:val="false"/>
                <w:color w:val="000000"/>
                <w:spacing w:val="-6"/>
                <w:kern w:val="0"/>
                <w:sz w:val="21"/>
                <w:szCs w:val="21"/>
                <w:lang w:val="en-US" w:eastAsia="zh-CN" w:bidi="ar"/>
              </w:rPr>
              <w:t>“兴星”之家</w:t>
            </w:r>
          </w:p>
        </w:tc>
        <w:tc>
          <w:tcPr>
            <w:tcW w:w="1529"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林草星</w:t>
            </w:r>
          </w:p>
        </w:tc>
        <w:tc>
          <w:tcPr>
            <w:tcW w:w="3204"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共100个。</w:t>
            </w:r>
          </w:p>
        </w:tc>
      </w:tr>
      <w:tr>
        <w:trPr>
          <w:wBefore/>
          <w:trHeight w:val="340" w:hRule="exact"/>
          <w:tblCellSpacing w:w="28" w:type="dxa"/>
        </w:trPr>
        <w:tc>
          <w:tcPr>
            <w:tcW w:w="1146"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kinsoku/>
              <w:autoSpaceDE/>
              <w:autoSpaceDN/>
              <w:ind w:firstLine="396" w:firstLineChars="200"/>
              <w:jc w:val="left"/>
              <w:rPr>
                <w:rFonts w:ascii="Times New Roman" w:hAnsi="Times New Roman" w:eastAsia="仿宋" w:cs="Times New Roman"/>
                <w:color w:val="000000"/>
                <w:spacing w:val="-6"/>
                <w:sz w:val="21"/>
                <w:szCs w:val="21"/>
                <w:lang w:eastAsia="zh-CN"/>
              </w:rPr>
            </w:pPr>
          </w:p>
        </w:tc>
        <w:tc>
          <w:tcPr>
            <w:tcW w:w="2816" w:type="dxa"/>
            <w:vMerge w:val="continue"/>
            <w:tcBorders>
              <w:top w:val="single" w:color="auto" w:sz="4" w:space="0"/>
              <w:left w:val="single" w:color="auto" w:sz="4" w:space="0"/>
              <w:bottom w:val="single" w:color="auto" w:sz="4" w:space="0"/>
              <w:right w:val="single" w:color="auto" w:sz="4" w:space="0"/>
            </w:tcBorders>
            <w:textDirection w:val="lrTb"/>
            <w:vAlign w:val="top"/>
          </w:tcPr>
          <w:p>
            <w:pPr>
              <w:pStyle w:val="000001"/>
              <w:kinsoku/>
              <w:autoSpaceDE/>
              <w:autoSpaceDN/>
              <w:ind w:firstLine="396" w:firstLineChars="200"/>
              <w:jc w:val="left"/>
              <w:rPr>
                <w:rFonts w:ascii="Times New Roman" w:hAnsi="Times New Roman" w:eastAsia="仿宋" w:cs="Times New Roman"/>
                <w:color w:val="000000"/>
                <w:spacing w:val="-6"/>
                <w:sz w:val="21"/>
                <w:szCs w:val="21"/>
                <w:lang w:eastAsia="zh-CN"/>
              </w:rPr>
            </w:pPr>
          </w:p>
        </w:tc>
        <w:tc>
          <w:tcPr>
            <w:tcW w:w="1529"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生态星</w:t>
            </w:r>
          </w:p>
        </w:tc>
        <w:tc>
          <w:tcPr>
            <w:tcW w:w="3204"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共100个。</w:t>
            </w:r>
          </w:p>
        </w:tc>
      </w:tr>
      <w:tr>
        <w:trPr>
          <w:wBefore/>
          <w:trHeight w:val="340" w:hRule="exact"/>
          <w:tblCellSpacing w:w="28" w:type="dxa"/>
        </w:trPr>
        <w:tc>
          <w:tcPr>
            <w:tcW w:w="1146" w:type="dxa"/>
            <w:vMerge w:val="continue"/>
            <w:tcBorders>
              <w:top w:val="single" w:color="auto" w:sz="4" w:space="0"/>
              <w:left w:val="single" w:color="auto" w:sz="4" w:space="0"/>
              <w:bottom w:val="single" w:color="auto" w:sz="4" w:space="0"/>
              <w:right w:val="single" w:color="auto" w:sz="4" w:space="0"/>
            </w:tcBorders>
            <w:textDirection w:val="lrTb"/>
            <w:vAlign w:val="center"/>
          </w:tcPr>
          <w:p>
            <w:pPr>
              <w:pStyle w:val="000001"/>
              <w:kinsoku/>
              <w:autoSpaceDE/>
              <w:autoSpaceDN/>
              <w:ind w:firstLine="396" w:firstLineChars="200"/>
              <w:jc w:val="left"/>
              <w:rPr>
                <w:rFonts w:ascii="Times New Roman" w:hAnsi="Times New Roman" w:eastAsia="仿宋" w:cs="Times New Roman"/>
                <w:color w:val="000000"/>
                <w:spacing w:val="-6"/>
                <w:sz w:val="21"/>
                <w:szCs w:val="21"/>
                <w:lang w:eastAsia="zh-CN"/>
              </w:rPr>
            </w:pPr>
          </w:p>
        </w:tc>
        <w:tc>
          <w:tcPr>
            <w:tcW w:w="2816" w:type="dxa"/>
            <w:vMerge w:val="continue"/>
            <w:tcBorders>
              <w:top w:val="single" w:color="auto" w:sz="4" w:space="0"/>
              <w:left w:val="single" w:color="auto" w:sz="4" w:space="0"/>
              <w:bottom w:val="single" w:color="auto" w:sz="4" w:space="0"/>
              <w:right w:val="single" w:color="auto" w:sz="4" w:space="0"/>
            </w:tcBorders>
            <w:textDirection w:val="lrTb"/>
            <w:vAlign w:val="top"/>
          </w:tcPr>
          <w:p>
            <w:pPr>
              <w:pStyle w:val="000001"/>
              <w:kinsoku/>
              <w:autoSpaceDE/>
              <w:autoSpaceDN/>
              <w:ind w:firstLine="396" w:firstLineChars="200"/>
              <w:jc w:val="left"/>
              <w:rPr>
                <w:rFonts w:ascii="Times New Roman" w:hAnsi="Times New Roman" w:eastAsia="仿宋" w:cs="Times New Roman"/>
                <w:color w:val="000000"/>
                <w:spacing w:val="-6"/>
                <w:sz w:val="21"/>
                <w:szCs w:val="21"/>
                <w:lang w:eastAsia="zh-CN"/>
              </w:rPr>
            </w:pPr>
          </w:p>
        </w:tc>
        <w:tc>
          <w:tcPr>
            <w:tcW w:w="1529"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文明星</w:t>
            </w:r>
          </w:p>
        </w:tc>
        <w:tc>
          <w:tcPr>
            <w:tcW w:w="3204" w:type="dxa"/>
            <w:tcBorders>
              <w:top w:val="single" w:color="auto" w:sz="4" w:space="0"/>
              <w:left w:val="single" w:color="auto" w:sz="4" w:space="0"/>
              <w:bottom w:val="single" w:color="auto" w:sz="4" w:space="0"/>
              <w:right w:val="single" w:color="auto" w:sz="4" w:space="0"/>
            </w:tcBorders>
            <w:textDirection w:val="lrTb"/>
            <w:vAlign w:val="top"/>
          </w:tcPr>
          <w:p>
            <w:pPr>
              <w:pStyle w:val="000001"/>
              <w:keepNext w:val="false"/>
              <w:keepLines w:val="false"/>
              <w:widowControl/>
              <w:suppressLineNumbers w:val="false"/>
              <w:kinsoku/>
              <w:autoSpaceDE/>
              <w:autoSpaceDN/>
              <w:spacing w:before="0" w:beforeAutospacing="false" w:after="0" w:afterAutospacing="false"/>
              <w:ind w:right="0"/>
              <w:jc w:val="center"/>
              <w:rPr>
                <w:rFonts w:ascii="Times New Roman" w:hAnsi="Times New Roman" w:eastAsia="仿宋" w:cs="Times New Roman"/>
                <w:color w:val="000000"/>
                <w:spacing w:val="-6"/>
                <w:kern w:val="0"/>
                <w:sz w:val="21"/>
                <w:szCs w:val="21"/>
                <w:lang w:eastAsia="zh-CN"/>
              </w:rPr>
            </w:pPr>
            <w:r>
              <w:rPr>
                <w:rFonts w:ascii="Times New Roman" w:hAnsi="Times New Roman" w:eastAsia="仿宋" w:cs="Times New Roman"/>
                <w:snapToGrid w:val="false"/>
                <w:color w:val="000000"/>
                <w:spacing w:val="-6"/>
                <w:kern w:val="0"/>
                <w:sz w:val="21"/>
                <w:szCs w:val="21"/>
                <w:lang w:val="en-US" w:eastAsia="zh-CN" w:bidi="ar"/>
              </w:rPr>
              <w:t>共50个。</w:t>
            </w:r>
          </w:p>
        </w:tc>
      </w:tr>
    </w:tbl>
    <w:bookmarkStart w:id="167" w:name="_Toc25037"/>
    <w:bookmarkStart w:id="168" w:name="_Toc3743"/>
    <w:bookmarkStart w:id="169" w:name="_Toc24058"/>
    <w:bookmarkStart w:id="170" w:name="_Toc32291"/>
    <w:p>
      <w:pPr>
        <w:pStyle w:val="000007"/>
        <w:keepNext/>
        <w:keepLines/>
        <w:pageBreakBefore w:val="false"/>
        <w:widowControl w:val="false"/>
        <w:numPr>
          <w:ilvl w:val="0"/>
          <w:numId w:val="2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林业标准地建设</w:t>
      </w:r>
      <w:bookmarkEnd w:id="167"/>
      <w:bookmarkEnd w:id="168"/>
      <w:bookmarkEnd w:id="169"/>
      <w:bookmarkEnd w:id="170"/>
    </w:p>
    <w:bookmarkStart w:id="171" w:name="_Toc28110"/>
    <w:bookmarkStart w:id="172" w:name="_Toc13402"/>
    <w:bookmarkStart w:id="173" w:name="_Toc22300"/>
    <w:bookmarkStart w:id="174" w:name="_Toc19866"/>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以尊重林农意愿、保障农民利益为前提，依托</w:t>
      </w:r>
      <w:r>
        <w:rPr>
          <w:rFonts w:hint="eastAsia" w:ascii="Times New Roman" w:hAnsi="Times New Roman" w:eastAsia="仿宋" w:cs="Times New Roman"/>
          <w:color w:val="000000"/>
          <w:spacing w:val="-6"/>
          <w:sz w:val="28"/>
          <w:szCs w:val="28"/>
          <w:lang w:val="en-US" w:eastAsia="zh-CN"/>
        </w:rPr>
        <w:t>石柱县</w:t>
      </w:r>
      <w:r>
        <w:rPr>
          <w:rFonts w:ascii="Times New Roman" w:hAnsi="Times New Roman" w:eastAsia="仿宋" w:cs="Times New Roman"/>
          <w:color w:val="000000"/>
          <w:spacing w:val="-6"/>
          <w:sz w:val="28"/>
          <w:szCs w:val="28"/>
          <w:lang w:val="en-US" w:eastAsia="zh-CN"/>
        </w:rPr>
        <w:t>森林资源构建</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流转</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收储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利用</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保障</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一体化林地高效利用体系，通过精准打造</w:t>
      </w:r>
      <w:r>
        <w:rPr>
          <w:rFonts w:hint="eastAsia" w:ascii="Times New Roman" w:hAnsi="Times New Roman" w:eastAsia="仿宋" w:cs="Times New Roman"/>
          <w:color w:val="000000"/>
          <w:spacing w:val="-6"/>
          <w:sz w:val="28"/>
          <w:szCs w:val="28"/>
          <w:lang w:val="en-US" w:eastAsia="zh-CN"/>
        </w:rPr>
        <w:t>林业</w:t>
      </w:r>
      <w:r>
        <w:rPr>
          <w:rFonts w:ascii="Times New Roman" w:hAnsi="Times New Roman" w:eastAsia="仿宋" w:cs="Times New Roman"/>
          <w:color w:val="000000"/>
          <w:spacing w:val="-6"/>
          <w:sz w:val="28"/>
          <w:szCs w:val="28"/>
          <w:lang w:val="en-US" w:eastAsia="zh-CN"/>
        </w:rPr>
        <w:t>标准地、统一配套基础设施、完善社会资本参与机制，实现集体经济壮大与生态保护双赢。</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林地规模化流转与收储平台建设。</w:t>
      </w:r>
      <w:r>
        <w:rPr>
          <w:rFonts w:ascii="Times New Roman" w:hAnsi="Times New Roman" w:eastAsia="仿宋" w:cs="Times New Roman"/>
          <w:color w:val="000000"/>
          <w:spacing w:val="-6"/>
          <w:sz w:val="28"/>
          <w:szCs w:val="28"/>
          <w:lang w:val="en-US" w:eastAsia="zh-CN"/>
        </w:rPr>
        <w:t>打造县级林地经营权集中收储平台，重点收储多功能利用区和国土绿化增补区的林地经营权；在充分尊重林农意愿、保障其合法利益的基础上，推动林地</w:t>
      </w:r>
      <w:r>
        <w:rPr>
          <w:rFonts w:hint="eastAsia" w:ascii="Times New Roman" w:hAnsi="Times New Roman" w:eastAsia="仿宋" w:cs="Times New Roman"/>
          <w:color w:val="000000"/>
          <w:spacing w:val="-6"/>
          <w:sz w:val="28"/>
          <w:szCs w:val="28"/>
          <w:lang w:val="en-US" w:eastAsia="zh-CN"/>
        </w:rPr>
        <w:t>按村（社）集体整体</w:t>
      </w:r>
      <w:r>
        <w:rPr>
          <w:rFonts w:ascii="Times New Roman" w:hAnsi="Times New Roman" w:eastAsia="仿宋" w:cs="Times New Roman"/>
          <w:color w:val="000000"/>
          <w:spacing w:val="-6"/>
          <w:sz w:val="28"/>
          <w:szCs w:val="28"/>
          <w:lang w:val="en-US" w:eastAsia="zh-CN"/>
        </w:rPr>
        <w:t>规模化流转，壮大村集体经济；配套建设生产服务设施与加工用地，以租赁、入股等灵活形式吸引社会资本参与林下经济、森林康养等产业项目，激活林地资源价值。</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林业标准地精准打造。</w:t>
      </w:r>
      <w:r>
        <w:rPr>
          <w:rFonts w:ascii="Times New Roman" w:hAnsi="Times New Roman" w:eastAsia="仿宋" w:cs="Times New Roman"/>
          <w:color w:val="000000"/>
          <w:spacing w:val="-6"/>
          <w:sz w:val="28"/>
          <w:szCs w:val="28"/>
          <w:lang w:val="en-US" w:eastAsia="zh-CN"/>
        </w:rPr>
        <w:t>按照</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重庆市村级林地空间利用实施方案编制指南</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试行</w:t>
      </w:r>
      <w:r>
        <w:rPr>
          <w:rFonts w:hint="eastAsia" w:ascii="Times New Roman" w:hAnsi="Times New Roman" w:eastAsia="仿宋" w:cs="Times New Roman"/>
          <w:color w:val="000000"/>
          <w:spacing w:val="-6"/>
          <w:sz w:val="28"/>
          <w:szCs w:val="28"/>
          <w:lang w:val="en-US" w:eastAsia="zh-CN"/>
        </w:rPr>
        <w:t>）》和重庆市林业局关于印发《重庆市林业标准地建设指引》的通知渝林改〔2025〕8号，结合石柱县</w:t>
      </w:r>
      <w:r>
        <w:rPr>
          <w:rFonts w:ascii="Times New Roman" w:hAnsi="Times New Roman" w:eastAsia="仿宋" w:cs="Times New Roman"/>
          <w:color w:val="000000"/>
          <w:spacing w:val="-6"/>
          <w:sz w:val="28"/>
          <w:szCs w:val="28"/>
          <w:lang w:val="en-US" w:eastAsia="zh-CN"/>
        </w:rPr>
        <w:t>林业发展规划与林地空间利用布局，精准建设</w:t>
      </w:r>
      <w:r>
        <w:rPr>
          <w:rFonts w:hint="eastAsia" w:ascii="Times New Roman" w:hAnsi="Times New Roman" w:eastAsia="仿宋" w:cs="Times New Roman"/>
          <w:color w:val="000000"/>
          <w:spacing w:val="-6"/>
          <w:sz w:val="28"/>
          <w:szCs w:val="28"/>
          <w:lang w:val="en-US" w:eastAsia="zh-CN"/>
        </w:rPr>
        <w:t>森林康养和林下经济等2</w:t>
      </w:r>
      <w:r>
        <w:rPr>
          <w:rFonts w:ascii="Times New Roman" w:hAnsi="Times New Roman" w:eastAsia="仿宋" w:cs="Times New Roman"/>
          <w:color w:val="000000"/>
          <w:spacing w:val="-6"/>
          <w:sz w:val="28"/>
          <w:szCs w:val="28"/>
          <w:lang w:val="en-US" w:eastAsia="zh-CN"/>
        </w:rPr>
        <w:t>类林业标准地</w:t>
      </w:r>
      <w:r>
        <w:rPr>
          <w:rFonts w:hint="eastAsia" w:ascii="Times New Roman" w:hAnsi="Times New Roman" w:eastAsia="仿宋" w:cs="Times New Roman"/>
          <w:color w:val="000000"/>
          <w:spacing w:val="-6"/>
          <w:sz w:val="28"/>
          <w:szCs w:val="28"/>
          <w:lang w:val="en-US" w:eastAsia="zh-CN"/>
        </w:rPr>
        <w:t>。</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基础设施统一配套。</w:t>
      </w:r>
      <w:r>
        <w:rPr>
          <w:rFonts w:ascii="Times New Roman" w:hAnsi="Times New Roman" w:eastAsia="仿宋" w:cs="Times New Roman"/>
          <w:color w:val="000000"/>
          <w:spacing w:val="-6"/>
          <w:sz w:val="28"/>
          <w:szCs w:val="28"/>
          <w:lang w:val="en-US" w:eastAsia="zh-CN"/>
        </w:rPr>
        <w:t>对林业标准地及周边核心区域，设置用地规模、生态保护等控制性指标，</w:t>
      </w:r>
      <w:r>
        <w:rPr>
          <w:rFonts w:hint="eastAsia" w:ascii="Times New Roman" w:hAnsi="Times New Roman" w:eastAsia="仿宋" w:cs="Times New Roman"/>
          <w:color w:val="000000"/>
          <w:spacing w:val="-6"/>
          <w:sz w:val="28"/>
          <w:szCs w:val="28"/>
          <w:lang w:val="en-US" w:eastAsia="zh-CN"/>
        </w:rPr>
        <w:t>道路、给排水</w:t>
      </w:r>
      <w:r>
        <w:rPr>
          <w:rFonts w:ascii="Times New Roman" w:hAnsi="Times New Roman" w:eastAsia="仿宋" w:cs="Times New Roman"/>
          <w:color w:val="000000"/>
          <w:spacing w:val="-6"/>
          <w:sz w:val="28"/>
          <w:szCs w:val="28"/>
          <w:lang w:val="en-US" w:eastAsia="zh-CN"/>
        </w:rPr>
        <w:t>、电</w:t>
      </w:r>
      <w:r>
        <w:rPr>
          <w:rFonts w:hint="eastAsia" w:ascii="Times New Roman" w:hAnsi="Times New Roman" w:eastAsia="仿宋" w:cs="Times New Roman"/>
          <w:color w:val="000000"/>
          <w:spacing w:val="-6"/>
          <w:sz w:val="28"/>
          <w:szCs w:val="28"/>
          <w:lang w:val="en-US" w:eastAsia="zh-CN"/>
        </w:rPr>
        <w:t>力</w:t>
      </w:r>
      <w:r>
        <w:rPr>
          <w:rFonts w:ascii="Times New Roman" w:hAnsi="Times New Roman" w:eastAsia="仿宋" w:cs="Times New Roman"/>
          <w:color w:val="000000"/>
          <w:spacing w:val="-6"/>
          <w:sz w:val="28"/>
          <w:szCs w:val="28"/>
          <w:lang w:val="en-US" w:eastAsia="zh-CN"/>
        </w:rPr>
        <w:t>、</w:t>
      </w:r>
      <w:r>
        <w:rPr>
          <w:rFonts w:hint="eastAsia" w:ascii="Times New Roman" w:hAnsi="Times New Roman" w:eastAsia="仿宋" w:cs="Times New Roman"/>
          <w:color w:val="000000"/>
          <w:spacing w:val="-6"/>
          <w:sz w:val="28"/>
          <w:szCs w:val="28"/>
          <w:lang w:val="en-US" w:eastAsia="zh-CN"/>
        </w:rPr>
        <w:t>通讯</w:t>
      </w:r>
      <w:r>
        <w:rPr>
          <w:rFonts w:ascii="Times New Roman" w:hAnsi="Times New Roman" w:eastAsia="仿宋" w:cs="Times New Roman"/>
          <w:color w:val="000000"/>
          <w:spacing w:val="-6"/>
          <w:sz w:val="28"/>
          <w:szCs w:val="28"/>
          <w:lang w:val="en-US" w:eastAsia="zh-CN"/>
        </w:rPr>
        <w:t>、</w:t>
      </w:r>
      <w:r>
        <w:rPr>
          <w:rFonts w:hint="eastAsia" w:ascii="Times New Roman" w:hAnsi="Times New Roman" w:eastAsia="仿宋" w:cs="Times New Roman"/>
          <w:color w:val="000000"/>
          <w:spacing w:val="-6"/>
          <w:sz w:val="28"/>
          <w:szCs w:val="28"/>
          <w:lang w:val="en-US" w:eastAsia="zh-CN"/>
        </w:rPr>
        <w:t>信息化</w:t>
      </w:r>
      <w:r>
        <w:rPr>
          <w:rFonts w:ascii="Times New Roman" w:hAnsi="Times New Roman" w:eastAsia="仿宋" w:cs="Times New Roman"/>
          <w:color w:val="000000"/>
          <w:spacing w:val="-6"/>
          <w:sz w:val="28"/>
          <w:szCs w:val="28"/>
          <w:lang w:val="en-US" w:eastAsia="zh-CN"/>
        </w:rPr>
        <w:t>等基础设施</w:t>
      </w:r>
      <w:r>
        <w:rPr>
          <w:rFonts w:hint="eastAsia" w:ascii="Times New Roman" w:hAnsi="Times New Roman" w:eastAsia="仿宋" w:cs="Times New Roman"/>
          <w:color w:val="000000"/>
          <w:spacing w:val="-6"/>
          <w:sz w:val="28"/>
          <w:szCs w:val="28"/>
          <w:lang w:val="en-US" w:eastAsia="zh-CN"/>
        </w:rPr>
        <w:t>建设指导标准</w:t>
      </w:r>
      <w:r>
        <w:rPr>
          <w:rFonts w:ascii="Times New Roman" w:hAnsi="Times New Roman" w:eastAsia="仿宋" w:cs="Times New Roman"/>
          <w:color w:val="000000"/>
          <w:spacing w:val="-6"/>
          <w:sz w:val="28"/>
          <w:szCs w:val="28"/>
          <w:lang w:val="en-US" w:eastAsia="zh-CN"/>
        </w:rPr>
        <w:t>，优化产业发展硬件条件，满足社会资本开展林业</w:t>
      </w:r>
      <w:r>
        <w:rPr>
          <w:rFonts w:hint="eastAsia" w:ascii="Times New Roman" w:hAnsi="Times New Roman" w:eastAsia="仿宋" w:cs="Times New Roman"/>
          <w:color w:val="000000"/>
          <w:spacing w:val="-6"/>
          <w:sz w:val="28"/>
          <w:szCs w:val="28"/>
          <w:lang w:val="en-US" w:eastAsia="zh-CN"/>
        </w:rPr>
        <w:t>一二三产业融合</w:t>
      </w:r>
      <w:r>
        <w:rPr>
          <w:rFonts w:ascii="Times New Roman" w:hAnsi="Times New Roman" w:eastAsia="仿宋" w:cs="Times New Roman"/>
          <w:color w:val="000000"/>
          <w:spacing w:val="-6"/>
          <w:sz w:val="28"/>
          <w:szCs w:val="28"/>
          <w:lang w:val="en-US" w:eastAsia="zh-CN"/>
        </w:rPr>
        <w:t>的用地需求，降低投资门槛与运营成本。</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生态与合规保障机制。</w:t>
      </w:r>
      <w:r>
        <w:rPr>
          <w:rFonts w:ascii="Times New Roman" w:hAnsi="Times New Roman" w:eastAsia="仿宋" w:cs="Times New Roman"/>
          <w:color w:val="000000"/>
          <w:spacing w:val="-6"/>
          <w:sz w:val="28"/>
          <w:szCs w:val="28"/>
          <w:lang w:val="en-US" w:eastAsia="zh-CN"/>
        </w:rPr>
        <w:t>林业标准地建设</w:t>
      </w:r>
      <w:r>
        <w:rPr>
          <w:rFonts w:hint="eastAsia" w:ascii="Times New Roman" w:hAnsi="Times New Roman" w:eastAsia="仿宋" w:cs="Times New Roman"/>
          <w:color w:val="000000"/>
          <w:spacing w:val="-6"/>
          <w:sz w:val="28"/>
          <w:szCs w:val="28"/>
          <w:lang w:val="en-US" w:eastAsia="zh-CN"/>
        </w:rPr>
        <w:t>须</w:t>
      </w:r>
      <w:r>
        <w:rPr>
          <w:rFonts w:ascii="Times New Roman" w:hAnsi="Times New Roman" w:eastAsia="仿宋" w:cs="Times New Roman"/>
          <w:color w:val="000000"/>
          <w:spacing w:val="-6"/>
          <w:sz w:val="28"/>
          <w:szCs w:val="28"/>
          <w:lang w:val="en-US" w:eastAsia="zh-CN"/>
        </w:rPr>
        <w:t>符合国土空间规划和用途管制的要求，不得用于别墅庄园、商品住宅等各类房地产开发，不得擅自改变用途，严禁在生态红线内自然保护地核心保护区、国家一级公益林和林地保护等级为I级的林地、天然林重点保护区域内的林地、饮用水水源一级和二级保护区范围内的林地、珍稀濒危野生动植物重要栖息地（生境）及生物廊道内的林地等区域开展林业标准地建设。在生态红线内自然保护地一般控制区开展林业标准地建设必须符合相关规定。建立标准地建设合规性审查机制，确保所有项目不损害区域生态系统完整性与生态功能；同步完善监督管理体系，保障林地利用全过程合规有序。</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7" w:hRule="atLeast"/>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Times New Roman" w:hAnsi="Times New Roman" w:eastAsia="仿宋" w:cs="Times New Roman"/>
                <w:color w:val="000000"/>
                <w:spacing w:val="-6"/>
                <w:sz w:val="21"/>
                <w:szCs w:val="21"/>
                <w:lang w:val="en-US" w:eastAsia="zh-CN"/>
              </w:rPr>
            </w:pPr>
            <w:r>
              <w:rPr>
                <w:rFonts w:hint="eastAsia" w:ascii="黑体" w:hAnsi="黑体" w:eastAsia="黑体" w:cs="黑体"/>
                <w:color w:val="000000"/>
                <w:spacing w:val="-6"/>
                <w:sz w:val="21"/>
                <w:szCs w:val="21"/>
                <w:lang w:val="en-US" w:eastAsia="zh-CN"/>
              </w:rPr>
              <w:t>专栏4.6.1 林业标准地打造重点</w:t>
            </w:r>
          </w:p>
        </w:tc>
      </w:tr>
      <w:tr>
        <w:trPr>
          <w:wBefore/>
          <w:trHeight w:val="327"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建设任务</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1</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森林康养标准地</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在沙子镇、六塘乡、鱼池镇、桥头镇建设4个森林康养标准地，满足森林康养产业“拎包入住”的用地需求。</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2</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林下经济标准地</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在冷水镇、枫木镇、黄水镇、沙子镇建设33个林下种养殖标准地。其中在沙子镇、冷水镇重点建设林连互利共生为主的林下种植标准地；在枫木镇、黄水镇重点建设多元林下种养殖标准地，推动林下经济规模化、标准化发展。</w:t>
            </w:r>
          </w:p>
        </w:tc>
      </w:tr>
    </w:tbl>
    <w:bookmarkEnd w:id="171"/>
    <w:bookmarkEnd w:id="172"/>
    <w:bookmarkEnd w:id="173"/>
    <w:bookmarkEnd w:id="174"/>
    <w:p>
      <w:pPr>
        <w:pStyle w:val="000007"/>
        <w:keepNext/>
        <w:keepLines/>
        <w:pageBreakBefore w:val="false"/>
        <w:widowControl w:val="false"/>
        <w:numPr>
          <w:ilvl w:val="0"/>
          <w:numId w:val="2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hint="eastAsia" w:ascii="方正楷体_GBK" w:hAnsi="方正楷体_GBK" w:eastAsia="方正楷体_GBK" w:cs="方正楷体_GBK"/>
          <w:b/>
          <w:bCs w:val="false"/>
          <w:color w:val="000000"/>
          <w:spacing w:val="-5"/>
          <w:position w:val="1"/>
          <w:sz w:val="32"/>
          <w:szCs w:val="32"/>
          <w:lang w:val="en-US" w:eastAsia="zh-CN"/>
        </w:rPr>
      </w:pPr>
      <w:r>
        <w:rPr>
          <w:rFonts w:hint="eastAsia" w:ascii="方正楷体_GBK" w:hAnsi="方正楷体_GBK" w:eastAsia="方正楷体_GBK" w:cs="方正楷体_GBK"/>
          <w:b/>
          <w:bCs w:val="false"/>
          <w:color w:val="000000"/>
          <w:spacing w:val="-5"/>
          <w:position w:val="1"/>
          <w:sz w:val="32"/>
          <w:szCs w:val="32"/>
          <w:lang w:val="en-US" w:eastAsia="zh-CN"/>
        </w:rPr>
        <w:t>疫木规范处置与高质化利用</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以保障生态安全与促进资源循环利用为核心，立足石柱县松材线虫病疫情防控工作实际，构建疫木“收集—处置—利用”一体化监管与利用体系。通过建设专业化处置生产线、完善技术支撑体系、规范收集网络布局、扶持市场主体发展、强化行政监管力度，实现疫木无害化规范处置与高质化利用的双重目标。</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建设松材线虫疫木无害化处置生产线。</w:t>
      </w:r>
      <w:r>
        <w:rPr>
          <w:rFonts w:hint="eastAsia" w:ascii="Times New Roman" w:hAnsi="Times New Roman" w:eastAsia="仿宋" w:cs="Times New Roman"/>
          <w:color w:val="000000"/>
          <w:spacing w:val="-6"/>
          <w:sz w:val="28"/>
          <w:szCs w:val="28"/>
          <w:lang w:val="en-US" w:eastAsia="zh-CN"/>
        </w:rPr>
        <w:t>建设1条松材线虫疫木处置生产线，通过引进重庆林投疫木热处理技术体系，企业年处置疫木可达4.3万立方米，前期预处理可将疫木进行锯切加工，为后续热处理环节做好准备。</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构建疫木规范处置与高质转化技术体系。</w:t>
      </w:r>
      <w:r>
        <w:rPr>
          <w:rFonts w:hint="eastAsia" w:ascii="Times New Roman" w:hAnsi="Times New Roman" w:eastAsia="仿宋" w:cs="Times New Roman"/>
          <w:color w:val="000000"/>
          <w:spacing w:val="-6"/>
          <w:sz w:val="28"/>
          <w:szCs w:val="28"/>
          <w:lang w:val="en-US" w:eastAsia="zh-CN"/>
        </w:rPr>
        <w:t>建立热处理技术体系，根据标准工艺要求，处理温度设定为65℃、持续时间为4小时，以确保松材线虫被彻底杀灭，达到无害化处理效果；在高质化利用方面开发通过国家级阻燃认证的集成材用于乡村民宿，生产生物颗粒替代化石能源，采用低温炭化技术制作园艺用炭、提取木质素制成环保包装材料，联合西南大学、重庆市林科院共建实验室重点突破木质素高效提取技术。</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设立疫木定点收集站。</w:t>
      </w:r>
      <w:r>
        <w:rPr>
          <w:rFonts w:hint="eastAsia" w:ascii="Times New Roman" w:hAnsi="Times New Roman" w:eastAsia="仿宋" w:cs="Times New Roman"/>
          <w:color w:val="000000"/>
          <w:spacing w:val="-6"/>
          <w:sz w:val="28"/>
          <w:szCs w:val="28"/>
          <w:lang w:val="en-US" w:eastAsia="zh-CN"/>
        </w:rPr>
        <w:t>在西沱镇、王场镇、沿溪镇、万朝镇、大歇镇等松材线虫病疫点区域，统一规划建设标准化疫木定点收集站。疫点全域实行“专业队伍闭环作业”机制，所有疫木排查、采伐、转运工作由属地政府统筹的具备专业资质的防治队伍统一实施，全过程严格遵照《松材线虫病防治技术方案》规范操作，采伐后的疫木由作业队伍直接转运至定点收集站集中存放、统一处置，从源头杜绝疫木流失、疫情扩散风险。</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仿宋" w:hAnsi="仿宋" w:eastAsia="仿宋" w:cs="仿宋"/>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扶持疫木加工试点企业。</w:t>
      </w:r>
      <w:r>
        <w:rPr>
          <w:rFonts w:hint="eastAsia" w:ascii="仿宋" w:hAnsi="仿宋" w:eastAsia="仿宋" w:cs="仿宋"/>
          <w:color w:val="000000"/>
          <w:spacing w:val="-6"/>
          <w:sz w:val="28"/>
          <w:szCs w:val="28"/>
          <w:lang w:val="en-US" w:eastAsia="zh-CN"/>
        </w:rPr>
        <w:t>立足松材线虫病疫木处置需求与本地产业基础，通过全链条配套支持引导中小企业转型生产疫木高附加值产品，一方面由县级林业主管部门牵头协调各疫木定点收集站与转型企业签订长期保底收购协议，明确疫木供应规格、数量和价格机制，优先保障本地企业原料需求，降低原材料采购成本与供应波动风险；另一方面对成功开发疫木加工新产品、获得相关实用新型专利或发明专利的企业，优先推荐申报省级林业产业龙头企业、绿色产品认证，切实降低企业转型门槛，推动疫木规范处置与本地产业升级协同发展。</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健全政策监管体系。</w:t>
      </w:r>
      <w:r>
        <w:rPr>
          <w:rFonts w:hint="eastAsia" w:ascii="Times New Roman" w:hAnsi="Times New Roman" w:eastAsia="仿宋" w:cs="Times New Roman"/>
          <w:color w:val="000000"/>
          <w:spacing w:val="-6"/>
          <w:sz w:val="28"/>
          <w:szCs w:val="28"/>
          <w:lang w:eastAsia="zh-CN"/>
        </w:rPr>
        <w:t>严格落实《重庆市松材线虫病疫木处置利用管理细则》等地方标准规范，</w:t>
      </w:r>
      <w:r>
        <w:rPr>
          <w:rFonts w:hint="eastAsia" w:ascii="Times New Roman" w:hAnsi="Times New Roman" w:eastAsia="仿宋" w:cs="Times New Roman"/>
          <w:color w:val="000000"/>
          <w:spacing w:val="-6"/>
          <w:sz w:val="28"/>
          <w:szCs w:val="28"/>
          <w:lang w:val="en-US" w:eastAsia="zh-CN"/>
        </w:rPr>
        <w:t>建立疫木利用企业准入制度、“疫木溯源系统”实现全流程二维码追踪，将企业纳入林业信用体系实施黑名单管理，通过短视频、乡镇集市咨询点等方式宣传政策确保落地与产业链安全。</w:t>
      </w:r>
    </w:p>
    <w:tbl>
      <w:tblPr>
        <w:tblStyle w:val="000016"/>
        <w:tblW w:w="0" w:type="auto"/>
        <w:jc w:val="center"/>
        <w:tblCellSpacing w:w="28" w:type="dxa"/>
        <w:tblInd w:w="-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9"/>
        <w:gridCol w:w="7787"/>
      </w:tblGrid>
      <w:tr>
        <w:trPr>
          <w:wBefore/>
          <w:trHeight w:val="327" w:hRule="atLeast"/>
          <w:tblCellSpacing w:w="28" w:type="dxa"/>
        </w:trPr>
        <w:tc>
          <w:tcPr>
            <w:tcW w:w="8696" w:type="dxa"/>
            <w:gridSpan w:val="2"/>
            <w:shd w:val="clear" w:color="auto" w:fill="d7d7d7"/>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center"/>
              <w:rPr>
                <w:rFonts w:ascii="Times New Roman" w:hAnsi="Times New Roman" w:eastAsia="仿宋" w:cs="Times New Roman"/>
                <w:color w:val="000000"/>
                <w:spacing w:val="-6"/>
                <w:sz w:val="21"/>
                <w:szCs w:val="21"/>
                <w:lang w:val="en-US" w:eastAsia="zh-CN"/>
              </w:rPr>
            </w:pPr>
            <w:r>
              <w:rPr>
                <w:rFonts w:hint="eastAsia" w:ascii="黑体" w:hAnsi="黑体" w:eastAsia="黑体" w:cs="黑体"/>
                <w:color w:val="000000"/>
                <w:spacing w:val="-6"/>
                <w:sz w:val="21"/>
                <w:szCs w:val="21"/>
                <w:lang w:val="en-US" w:eastAsia="zh-CN"/>
              </w:rPr>
              <w:t>专栏4.6.1 疫木高质化利用改革重点</w:t>
            </w:r>
          </w:p>
        </w:tc>
      </w:tr>
      <w:tr>
        <w:trPr>
          <w:wBefore/>
          <w:trHeight w:val="327" w:hRule="atLeas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ascii="Times New Roman" w:hAnsi="Times New Roman" w:eastAsia="仿宋" w:cs="Times New Roman"/>
                <w:color w:val="000000"/>
                <w:spacing w:val="-6"/>
                <w:sz w:val="21"/>
                <w:szCs w:val="21"/>
                <w:lang w:val="en-US" w:eastAsia="zh-CN"/>
              </w:rPr>
              <w:t>序号</w:t>
            </w:r>
          </w:p>
        </w:tc>
        <w:tc>
          <w:tcPr>
            <w:tcW w:w="7787"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建设任务</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1</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扶持疫木加工企业</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扶持重庆绿洲木业有限公司为疫木加工试点企业。重点从以下方面给予扶持：</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一是支持企业新建/改扩建松材线虫病疫木标准化处置生产线，对标疫木处置环保与安全标准升级工艺设备，全面提升疫木无害化处置和高值化加工能力。</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二是推动企业与西南大学等科研院校共建疫木加工利用联合实验室，定向开展疫木除害技术优化、高附加值产品研发等产学研合作，强化技术支撑能力。</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三是由县林业主管部门统筹协调各疫木定点收集站与企业签订长期保底收购协议，明确疫木供应的数量、规格、价格及调运机制，优先保障试点企业原料稳定供给。</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四是建立加工量阶梯激励机制，对企业年度疫木加工量超出约定保底任务的部分，按一定标准给予超额处置奖励，充分激励企业增产增效。</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五是对企业成功研发疫木加工新产品、获得相关实用新型专利或发明专利的，在申报省级林业产业龙头企业、绿色产品认证等资质时予以优先推荐，提升企业品牌价值。</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六是将企业纳入林业产业信用白名单管理，在项目申报、行业评优、对接金融支持等方面给予信用激励，切实增强企业市场竞争力与政策获得感。</w:t>
            </w:r>
          </w:p>
        </w:tc>
      </w:tr>
      <w:tr>
        <w:trPr>
          <w:wBefore/>
          <w:trHeight/>
          <w:tblCellSpacing w:w="28" w:type="dxa"/>
        </w:trPr>
        <w:tc>
          <w:tcPr>
            <w:tcW w:w="909" w:type="dxa"/>
            <w:textDirection w:val="lrTb"/>
            <w:vAlign w:val="center"/>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center"/>
              <w:rPr>
                <w:rFonts w:ascii="Times New Roman" w:hAnsi="Times New Roman" w:eastAsia="仿宋" w:cs="Times New Roman"/>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2</w:t>
            </w:r>
          </w:p>
        </w:tc>
        <w:tc>
          <w:tcPr>
            <w:tcW w:w="7787" w:type="dxa"/>
            <w:textDirection w:val="lrTb"/>
            <w:vAlign w:val="top"/>
          </w:tcPr>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right="0"/>
              <w:jc w:val="left"/>
              <w:rPr>
                <w:rFonts w:hint="eastAsia" w:ascii="黑体" w:hAnsi="黑体" w:eastAsia="黑体" w:cs="黑体"/>
                <w:color w:val="000000"/>
                <w:spacing w:val="-6"/>
                <w:sz w:val="21"/>
                <w:szCs w:val="21"/>
                <w:lang w:val="en-US" w:eastAsia="zh-CN"/>
              </w:rPr>
            </w:pPr>
            <w:r>
              <w:rPr>
                <w:rFonts w:hint="eastAsia" w:ascii="黑体" w:hAnsi="黑体" w:eastAsia="黑体" w:cs="黑体"/>
                <w:color w:val="000000"/>
                <w:spacing w:val="-6"/>
                <w:sz w:val="21"/>
                <w:szCs w:val="21"/>
                <w:lang w:val="en-US" w:eastAsia="zh-CN"/>
              </w:rPr>
              <w:t>设立疫木定点收集站</w:t>
            </w:r>
          </w:p>
          <w:p>
            <w:pPr>
              <w:pStyle w:val="000001"/>
              <w:keepNext w:val="false"/>
              <w:keepLines w:val="false"/>
              <w:pageBreakBefore w:val="false"/>
              <w:widowControl/>
              <w:suppressLineNumbers w:val="false"/>
              <w:kinsoku/>
              <w:wordWrap/>
              <w:overflowPunct/>
              <w:topLinePunct w:val="false"/>
              <w:autoSpaceDE/>
              <w:autoSpaceDN/>
              <w:bidi w:val="false"/>
              <w:spacing w:before="0" w:beforeAutospacing="false" w:after="0" w:afterAutospacing="false"/>
              <w:ind w:left="0" w:right="0" w:firstLine="396" w:firstLineChars="200"/>
              <w:jc w:val="left"/>
              <w:rPr>
                <w:rFonts w:hint="eastAsia" w:ascii="黑体" w:hAnsi="黑体" w:eastAsia="黑体" w:cs="黑体"/>
                <w:color w:val="000000"/>
                <w:spacing w:val="-6"/>
                <w:sz w:val="21"/>
                <w:szCs w:val="21"/>
                <w:lang w:val="en-US" w:eastAsia="zh-CN"/>
              </w:rPr>
            </w:pPr>
            <w:r>
              <w:rPr>
                <w:rFonts w:hint="eastAsia" w:ascii="Times New Roman" w:hAnsi="Times New Roman" w:eastAsia="仿宋" w:cs="Times New Roman"/>
                <w:color w:val="000000"/>
                <w:spacing w:val="-6"/>
                <w:sz w:val="21"/>
                <w:szCs w:val="21"/>
                <w:lang w:val="en-US" w:eastAsia="zh-CN"/>
              </w:rPr>
              <w:t>按照每个疫区乡镇建设1个疫木定点收集站的标准，共建设5个，覆盖石柱县目前所有松材线虫疫点乡镇，实现疫木就地就近收购和规范化管理。</w:t>
            </w:r>
          </w:p>
        </w:tc>
      </w:tr>
    </w:tbl>
    <w:p>
      <w:pPr>
        <w:sectPr>
          <w:footerReference r:id="rId20" w:type="default"/>
          <w:type w:val="nextPage"/>
          <w:pgSz w:w="11905" w:h="16840"/>
          <w:pgMar w:top="1440" w:right="1797" w:bottom="1440" w:left="1797" w:header="1134" w:footer="1191" w:gutter="0"/>
          <w:pgNumType/>
          <w:cols/>
          <w:docGrid/>
        </w:sectPr>
      </w:pPr>
    </w:p>
    <w:bookmarkStart w:id="175" w:name="_Toc22615"/>
    <w:bookmarkStart w:id="176" w:name="_Toc4399"/>
    <w:bookmarkStart w:id="177" w:name="_Toc28903"/>
    <w:bookmarkStart w:id="178" w:name="_Toc3047"/>
    <w:p>
      <w:pPr>
        <w:pStyle w:val="000007"/>
        <w:keepNext/>
        <w:keepLines/>
        <w:pageBreakBefore w:val="false"/>
        <w:widowControl w:val="false"/>
        <w:numPr>
          <w:ilvl w:val="0"/>
          <w:numId w:val="24"/>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467" w:firstLineChars="150"/>
        <w:rPr>
          <w:rFonts w:ascii="方正楷体_GBK" w:hAnsi="方正楷体_GBK" w:eastAsia="方正楷体_GBK" w:cs="方正楷体_GBK"/>
          <w:b/>
          <w:bCs w:val="false"/>
          <w:color w:val="000000"/>
          <w:spacing w:val="-5"/>
          <w:position w:val="1"/>
          <w:sz w:val="32"/>
          <w:szCs w:val="32"/>
          <w:lang w:val="en-US" w:eastAsia="zh-CN"/>
        </w:rPr>
      </w:pPr>
      <w:r>
        <w:rPr>
          <w:rFonts w:ascii="方正楷体_GBK" w:hAnsi="方正楷体_GBK" w:eastAsia="方正楷体_GBK" w:cs="方正楷体_GBK"/>
          <w:b/>
          <w:bCs w:val="false"/>
          <w:color w:val="000000"/>
          <w:spacing w:val="-5"/>
          <w:position w:val="1"/>
          <w:sz w:val="32"/>
          <w:szCs w:val="32"/>
          <w:lang w:val="en-US" w:eastAsia="zh-CN"/>
        </w:rPr>
        <w:t>探索林业碳汇价值实现路径</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以林业资源“一张图”为核心基础，系统推进森林生态价值转化与绿色金融赋能，为林业高质量发展提供制度支撑</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一是建立生态价值动态核算机制，定期开展森林固碳释氧、水源涵养、生物多样性保护等核心生态服务价值评估</w:t>
      </w:r>
      <w:r>
        <w:rPr>
          <w:rFonts w:hint="eastAsia" w:ascii="Times New Roman" w:hAnsi="Times New Roman" w:eastAsia="仿宋" w:cs="Times New Roman"/>
          <w:color w:val="000000"/>
          <w:spacing w:val="-6"/>
          <w:sz w:val="28"/>
          <w:szCs w:val="28"/>
          <w:lang w:val="en-US" w:eastAsia="zh-CN"/>
        </w:rPr>
        <w:t>，将</w:t>
      </w:r>
      <w:r>
        <w:rPr>
          <w:rFonts w:ascii="Times New Roman" w:hAnsi="Times New Roman" w:eastAsia="仿宋" w:cs="Times New Roman"/>
          <w:color w:val="000000"/>
          <w:spacing w:val="-6"/>
          <w:sz w:val="28"/>
          <w:szCs w:val="28"/>
          <w:lang w:val="en-US" w:eastAsia="zh-CN"/>
        </w:rPr>
        <w:t>核算结果纳入全县自然资源资产负债表，作为生态补偿标准制定、项目申报、碳汇交易的法定依据，推动生态价值显性化、量化可交易。二是构建县域特色绿色金融支持体系，加强与农业发展银行、重庆农商行等驻县金融机构及保险机构常态化对接，定向推出公益林经营权质押、林业碳汇收益权质押、林下经济项目贴息贷等专属信贷产品，将林业信用白名单企业全部纳入全县绿色企业名录，享受贷款利率下调、审批绿色通道等优惠政策，切实降低林业经营主体融资成本；优化林业保险政策，将全县天然林、公益林全部纳入政策性保险保障范围，提高自然灾害、松材线虫病等有害生物致损的赔付标准，建立“县级财政补贴+经营主体合理分担”的保费分摊机制，构建多层次林业风险防控体系。三是探索生态产品价值实现路径，依托生态价值核算成果申报国家林业碳汇试点县，梳理符合条件的公益林、天然林资源建立碳汇项目储备库，推动成熟项目纳入全国、全市碳汇交易市场，引导经营主体将碳汇收益优先用于森林管护与质量提升；搭建县域生态产品供需对接平台，引导县内水泥、建材等重点碳排放企业及文旅开发企业优先采购本地林业碳汇、生态产品服务，打通“生态保护</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价值变现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反哺提升”的良性循环，为全县天然林与公益林长效保护、林区绿色转型发展提供持续改革动能。</w:t>
      </w:r>
    </w:p>
    <w:p>
      <w:pPr>
        <w:sectPr>
          <w:footerReference r:id="rId21" w:type="default"/>
          <w:type w:val="nextPage"/>
          <w:pgSz w:w="11905" w:h="16840"/>
          <w:pgMar w:top="1440" w:right="1797" w:bottom="1440" w:left="1797" w:header="1134" w:footer="1191" w:gutter="0"/>
          <w:pgNumType w:start="1"/>
          <w:cols/>
          <w:docGrid/>
        </w:sectPr>
      </w:pPr>
    </w:p>
    <w:bookmarkStart w:id="179" w:name="_Toc32676"/>
    <w:p>
      <w:pPr>
        <w:pStyle w:val="000004"/>
        <w:keepNext/>
        <w:keepLines/>
        <w:pageBreakBefore w:val="false"/>
        <w:widowControl w:val="false"/>
        <w:numPr>
          <w:ilvl w:val="0"/>
          <w:numId w:val="1"/>
        </w:numPr>
        <w:shd w:val="clear" w:color="auto" w:fill="auto"/>
        <w:tabs>
          <w:tab w:val="clear" w:pos="0"/>
        </w:tabs>
        <w:kinsoku/>
        <w:wordWrap/>
        <w:overflowPunct/>
        <w:topLinePunct w:val="false"/>
        <w:autoSpaceDE/>
        <w:autoSpaceDN/>
        <w:bidi w:val="false"/>
        <w:spacing w:before="0" w:after="0" w:line="240" w:lineRule="auto"/>
        <w:ind w:left="0" w:leftChars="0" w:firstLine="0" w:firstLineChars="0"/>
        <w:rPr>
          <w:rFonts w:ascii="Times New Roman" w:hAnsi="Times New Roman" w:eastAsia="方正小标宋_GBK" w:cs="Times New Roman"/>
          <w:bCs/>
          <w:snapToGrid/>
          <w:color w:val="000000"/>
          <w:szCs w:val="28"/>
          <w:lang w:val="en-US" w:eastAsia="zh-CN"/>
        </w:rPr>
      </w:pPr>
      <w:r>
        <w:rPr>
          <w:rFonts w:ascii="Times New Roman" w:hAnsi="Times New Roman" w:eastAsia="方正小标宋_GBK" w:cs="Times New Roman"/>
          <w:bCs/>
          <w:snapToGrid/>
          <w:color w:val="000000"/>
          <w:szCs w:val="28"/>
          <w:lang w:val="en-US" w:eastAsia="zh-CN"/>
        </w:rPr>
        <w:t>保障措施</w:t>
      </w:r>
      <w:bookmarkEnd w:id="175"/>
      <w:bookmarkEnd w:id="176"/>
      <w:bookmarkEnd w:id="177"/>
      <w:bookmarkEnd w:id="178"/>
      <w:bookmarkEnd w:id="179"/>
    </w:p>
    <w:bookmarkStart w:id="180" w:name="_Toc376"/>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组织保障</w:t>
      </w:r>
      <w:bookmarkEnd w:id="180"/>
    </w:p>
    <w:bookmarkStart w:id="181" w:name="_Toc24531"/>
    <w:bookmarkStart w:id="182" w:name="_Toc6340"/>
    <w:bookmarkStart w:id="183" w:name="_Toc15475"/>
    <w:bookmarkStart w:id="184" w:name="_Toc1787"/>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坚持党对林草工作的全面领导，强化党委决策和监督作用。以深化落实林长制为牵引，整合各方资源，形成统一高效的议事决策和协调推动机制，将林草产业发展的目标任务和重大事项落到实处。建立定期工作调度机制，统筹推进重大政策审议、重大事项调度和重大问题解决。有关部门、乡镇（街道）、国有企业落实主体责任，组建专班、落实专人、明确职责，对照任务、倒排工期、挂图作战，全力以赴推动林草产业高质量发展。</w:t>
      </w:r>
    </w:p>
    <w:bookmarkStart w:id="185" w:name="_Toc21863"/>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法治保障</w:t>
      </w:r>
      <w:bookmarkEnd w:id="185"/>
    </w:p>
    <w:bookmarkEnd w:id="181"/>
    <w:bookmarkEnd w:id="182"/>
    <w:bookmarkEnd w:id="183"/>
    <w:bookmarkEnd w:id="184"/>
    <w:bookmarkStart w:id="186" w:name="bookmark24"/>
    <w:bookmarkEnd w:id="186"/>
    <w:bookmarkStart w:id="187" w:name="bookmark109"/>
    <w:bookmarkEnd w:id="187"/>
    <w:bookmarkStart w:id="188" w:name="bookmark133"/>
    <w:bookmarkEnd w:id="188"/>
    <w:bookmarkStart w:id="189" w:name="bookmark49"/>
    <w:bookmarkEnd w:id="189"/>
    <w:bookmarkStart w:id="190" w:name="bookmark121"/>
    <w:bookmarkEnd w:id="190"/>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严格落实《中华人民共和国民法典》《中华人民共和国长江保护法》《中华人民共和国森林法》等上位法律法规规定，主动衔接重庆市涉林草地方性法规、政府规章修订动态，紧盯《重庆市绿化条例》《重庆市林地保护管理条例》《重庆市森林防火条例》《重庆市风景名胜区条例》《重庆市植物检疫条例》《重庆市公益林管理办法》等修订内容，严守生态保护红线和“三线一单”管控制度，及时修订完善县级配套政策文件；同步出台林下经济产业准入负面清单、林地利用审批指南等配套制度；健全林地分级分类管理、森林防火层级责任、野生动植物保护、林业有害生物防控等资源管护机制，规范生态保护补偿资金分配、发放及全流程监管；整合林草、公安、生态环境、规划自然资源等部门执法力量建立常态化联合执法机制，严格落实行政执法公示、执法全过程记录、重大执法决定法制审核“三项制度”，强化执法监督制约；常态化开展林草法治进乡村、进企业、进林区宣传教育，全面提升各级干部和林农群众法治意识，切实以法治思维和法治方式规范林草资源保护利用行为，有效防范林草领域法律风险，为全县林草产业高质量发展筑牢坚实法治屏障。</w:t>
      </w:r>
    </w:p>
    <w:bookmarkStart w:id="191" w:name="_Toc13882"/>
    <w:bookmarkStart w:id="192" w:name="_Toc1991"/>
    <w:bookmarkStart w:id="193" w:name="_Toc9939"/>
    <w:bookmarkStart w:id="194" w:name="_Toc7726"/>
    <w:bookmarkStart w:id="195" w:name="_Toc17225"/>
    <w:bookmarkStart w:id="196" w:name="_Toc20235"/>
    <w:bookmarkStart w:id="197" w:name="_Toc17666"/>
    <w:bookmarkStart w:id="198" w:name="_Toc15210"/>
    <w:bookmarkStart w:id="199" w:name="_Toc16179"/>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政策保障</w:t>
      </w:r>
      <w:bookmarkEnd w:id="191"/>
      <w:bookmarkEnd w:id="192"/>
      <w:bookmarkEnd w:id="193"/>
      <w:bookmarkEnd w:id="194"/>
      <w:bookmarkEnd w:id="195"/>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积极争取将森林康养、林下经济、国家储备林等林草重点项目纳入市级、国家级产业布局和试点示范。持续深化集体林权制度改革，完善集体林地</w:t>
      </w:r>
      <w:r>
        <w:rPr>
          <w:rFonts w:hint="eastAsia" w:ascii="Times New Roman" w:hAnsi="Times New Roman" w:eastAsia="仿宋" w:cs="Times New Roman"/>
          <w:color w:val="000000"/>
          <w:spacing w:val="-6"/>
          <w:sz w:val="28"/>
          <w:szCs w:val="28"/>
          <w:lang w:val="en-US" w:eastAsia="zh-CN"/>
        </w:rPr>
        <w:t>“三权”分置</w:t>
      </w:r>
      <w:r>
        <w:rPr>
          <w:rFonts w:ascii="Times New Roman" w:hAnsi="Times New Roman" w:eastAsia="仿宋" w:cs="Times New Roman"/>
          <w:color w:val="000000"/>
          <w:spacing w:val="-6"/>
          <w:sz w:val="28"/>
          <w:szCs w:val="28"/>
          <w:lang w:val="en-US" w:eastAsia="zh-CN"/>
        </w:rPr>
        <w:t>实现形式和运行机制，放活经营权，提升林权价值预期和保障，激活林农、经营主体发展林草产业的积极性</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推动家庭经营、集体经营、企业经营、合作经营、委托经营等多种方式共同发展</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落实对经营主体的各项扶持政策，简化审批流程，优化营商环境。优化林下经济</w:t>
      </w:r>
      <w:r>
        <w:rPr>
          <w:rFonts w:hint="eastAsia" w:ascii="Times New Roman" w:hAnsi="Times New Roman" w:eastAsia="仿宋" w:cs="Times New Roman"/>
          <w:color w:val="000000"/>
          <w:spacing w:val="-6"/>
          <w:sz w:val="28"/>
          <w:szCs w:val="28"/>
          <w:lang w:val="en-US" w:eastAsia="zh-CN"/>
        </w:rPr>
        <w:t>建设机制，</w:t>
      </w:r>
      <w:r>
        <w:rPr>
          <w:rFonts w:ascii="Times New Roman" w:hAnsi="Times New Roman" w:eastAsia="仿宋" w:cs="Times New Roman"/>
          <w:color w:val="000000"/>
          <w:spacing w:val="-6"/>
          <w:sz w:val="28"/>
          <w:szCs w:val="28"/>
          <w:lang w:val="en-US" w:eastAsia="zh-CN"/>
        </w:rPr>
        <w:t>构建全流程监管体系，强化事前合规性审查、事中</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卫星遥感+实地巡查+智慧平台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动态监控、事后绩效评估与退出机制</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编制审批指南并开展培训，搭建林下经济审批一件事平台实现</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一网通办</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，强化生态保护硬约束，严禁在生态保护红线核心区开展违规项目，限制设施建设规模并采用生态友好型技术</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全面推动</w:t>
      </w:r>
      <w:r>
        <w:rPr>
          <w:rFonts w:hint="eastAsia" w:ascii="Times New Roman" w:hAnsi="Times New Roman" w:eastAsia="仿宋" w:cs="Times New Roman"/>
          <w:color w:val="000000"/>
          <w:spacing w:val="-6"/>
          <w:sz w:val="28"/>
          <w:szCs w:val="28"/>
          <w:lang w:val="en-US" w:eastAsia="zh-CN"/>
        </w:rPr>
        <w:t>林草产业</w:t>
      </w:r>
      <w:r>
        <w:rPr>
          <w:rFonts w:ascii="Times New Roman" w:hAnsi="Times New Roman" w:eastAsia="仿宋" w:cs="Times New Roman"/>
          <w:color w:val="000000"/>
          <w:spacing w:val="-6"/>
          <w:sz w:val="28"/>
          <w:szCs w:val="28"/>
          <w:lang w:val="en-US" w:eastAsia="zh-CN"/>
        </w:rPr>
        <w:t>健康可持续发展</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简化林下种植、养殖、康养、加工等项目审批流程，对生态影响小的备案类项目实行线上即时备案，对涉及设施建设的许可类项目推行</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一窗受理、并联审批</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完善林业、农业农村、</w:t>
      </w:r>
      <w:r>
        <w:rPr>
          <w:rFonts w:hint="eastAsia" w:ascii="Times New Roman" w:hAnsi="Times New Roman" w:eastAsia="仿宋" w:cs="Times New Roman"/>
          <w:color w:val="000000"/>
          <w:spacing w:val="-6"/>
          <w:sz w:val="28"/>
          <w:szCs w:val="28"/>
          <w:lang w:val="en-US" w:eastAsia="zh-CN"/>
        </w:rPr>
        <w:t>规划自然资源、</w:t>
      </w:r>
      <w:r>
        <w:rPr>
          <w:rFonts w:ascii="Times New Roman" w:hAnsi="Times New Roman" w:eastAsia="仿宋" w:cs="Times New Roman"/>
          <w:color w:val="000000"/>
          <w:spacing w:val="-6"/>
          <w:sz w:val="28"/>
          <w:szCs w:val="28"/>
          <w:lang w:val="en-US" w:eastAsia="zh-CN"/>
        </w:rPr>
        <w:t>生态环境等部门联合审批执法机制，实现信息共享，公开项目审批结果与监管动态，开通举报渠道，建立经营主体信用档案实施奖惩</w:t>
      </w:r>
      <w:r>
        <w:rPr>
          <w:rFonts w:hint="eastAsia" w:ascii="Times New Roman" w:hAnsi="Times New Roman" w:eastAsia="仿宋" w:cs="Times New Roman"/>
          <w:color w:val="000000"/>
          <w:spacing w:val="-6"/>
          <w:sz w:val="28"/>
          <w:szCs w:val="28"/>
          <w:lang w:val="en-US" w:eastAsia="zh-CN"/>
        </w:rPr>
        <w:t>。定期</w:t>
      </w:r>
      <w:r>
        <w:rPr>
          <w:rFonts w:ascii="Times New Roman" w:hAnsi="Times New Roman" w:eastAsia="仿宋" w:cs="Times New Roman"/>
          <w:color w:val="000000"/>
          <w:spacing w:val="-6"/>
          <w:sz w:val="28"/>
          <w:szCs w:val="28"/>
          <w:lang w:val="en-US" w:eastAsia="zh-CN"/>
        </w:rPr>
        <w:t>向龙头企业、专业合作社等经营主体进行政策精准推送与解读，帮助其用好财政补贴、税收优惠、土地供给、技术创新、人才队伍建设等各类政策。</w:t>
      </w:r>
    </w:p>
    <w:bookmarkStart w:id="200" w:name="_Toc30418"/>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723" w:firstLineChars="20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资金</w:t>
      </w:r>
      <w:bookmarkEnd w:id="196"/>
      <w:bookmarkEnd w:id="197"/>
      <w:bookmarkEnd w:id="198"/>
      <w:bookmarkEnd w:id="199"/>
      <w:r>
        <w:rPr>
          <w:rFonts w:hint="eastAsia" w:ascii="方正楷体_GBK" w:hAnsi="方正楷体_GBK" w:eastAsia="方正楷体_GBK" w:cs="方正楷体_GBK"/>
          <w:b/>
          <w:bCs/>
          <w:snapToGrid/>
          <w:color w:val="000000"/>
          <w:sz w:val="36"/>
          <w:szCs w:val="36"/>
          <w:lang w:val="en-US" w:eastAsia="zh-CN"/>
        </w:rPr>
        <w:t>保障</w:t>
      </w:r>
      <w:bookmarkEnd w:id="200"/>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Times New Roman" w:hAnsi="Times New Roman" w:eastAsia="仿宋" w:cs="Times New Roman"/>
          <w:color w:val="000000"/>
          <w:spacing w:val="-6"/>
          <w:sz w:val="28"/>
          <w:szCs w:val="28"/>
          <w:lang w:val="en-US" w:eastAsia="zh-CN"/>
        </w:rPr>
        <w:t>构建“政府引导、市场主导、社会参与”的多元化资金投入机制。完善财政投入机制，统筹生态建设与产业发展，将林草重点工程项目资金与产业发展有效融合。充分发挥政府投资撬动作用，探索通过设立林草产业发展基金、股权投资等模式，引导工商资本、民间资本有序投入林草产业。创新林业草原产权模式和投融资机制，支持金融机构开发适合林草特色的信贷产品，鼓励社保基金、保险基金等大型机构投资者投资林草业，搭建社会资本投资林草业的投融资平台，探索研究建立林业信托基金制度，建立多种形式的林业担保机制。加大税收优惠力度，对林草生态产品、林农、专合组织、林草企业等单位，实行税收优惠政策，对林木种植等所得依法免征或减征企业所得税，建立政府扶持性林草保险机制，逐步提高政策性森林保险、涉林特色保险保费的补贴规模、范围和标准，鼓励形成政策性保险与商业保险相结合的森林保险体系。</w:t>
      </w:r>
    </w:p>
    <w:bookmarkStart w:id="201" w:name="_Toc9503"/>
    <w:bookmarkStart w:id="202" w:name="_Toc32559"/>
    <w:bookmarkStart w:id="203" w:name="_Toc11568"/>
    <w:bookmarkStart w:id="204" w:name="_Toc1263"/>
    <w:bookmarkStart w:id="205" w:name="_Toc19857"/>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空间保障</w:t>
      </w:r>
      <w:bookmarkEnd w:id="201"/>
      <w:bookmarkEnd w:id="202"/>
      <w:bookmarkEnd w:id="203"/>
      <w:bookmarkEnd w:id="204"/>
      <w:bookmarkEnd w:id="205"/>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深化拓展增绿空间。</w:t>
      </w:r>
      <w:r>
        <w:rPr>
          <w:rFonts w:hint="eastAsia" w:ascii="Times New Roman" w:hAnsi="Times New Roman" w:eastAsia="仿宋" w:cs="Times New Roman"/>
          <w:color w:val="000000"/>
          <w:spacing w:val="-6"/>
          <w:sz w:val="28"/>
          <w:szCs w:val="28"/>
          <w:lang w:val="en-US" w:eastAsia="zh-CN"/>
        </w:rPr>
        <w:t>一是利用“四旁”隙地，发展围村林、护路护堤林、庭院林、水口林、游憩林和环村林带，努力打造村在林中、房在绿中、人在画中的森林乡村典范；在农田周边营造防护林网，结合农村种植业结构调整，发展特色经济林、采摘林业和林下经济，助推乡村振兴；鼓励将农村建设用地复垦为宜林宜草地。二是努力拓展城镇绿化空间，因地制宜，留白增绿，大力推进城市公园建设、城市屋顶绿化、城镇道路及边坡绿化、厂区及小区环境景观绿化美化等城市绿化行动，改善城市人居环境。三是积极争取对25度以上的坡耕地、15度以上的生态脆弱耕地，15度以下零星分散林地实施“耕地下山、林地上山”，助推林草产业立体化发展。</w:t>
      </w:r>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hint="eastAsia" w:ascii="Times New Roman" w:hAnsi="Times New Roman" w:eastAsia="仿宋" w:cs="Times New Roman"/>
          <w:color w:val="000000"/>
          <w:spacing w:val="-6"/>
          <w:sz w:val="28"/>
          <w:szCs w:val="28"/>
          <w:lang w:val="en-US" w:eastAsia="zh-CN"/>
        </w:rPr>
      </w:pPr>
      <w:r>
        <w:rPr>
          <w:rFonts w:hint="eastAsia" w:ascii="方正楷体_GBK" w:hAnsi="方正楷体_GBK" w:eastAsia="方正楷体_GBK" w:cs="方正楷体_GBK"/>
          <w:color w:val="000000"/>
          <w:spacing w:val="-6"/>
          <w:sz w:val="28"/>
          <w:szCs w:val="28"/>
          <w:lang w:val="en-US" w:eastAsia="zh-CN"/>
        </w:rPr>
        <w:t>深化拓展“提质”空间。</w:t>
      </w:r>
      <w:r>
        <w:rPr>
          <w:rFonts w:hint="eastAsia" w:ascii="Times New Roman" w:hAnsi="Times New Roman" w:eastAsia="仿宋" w:cs="Times New Roman"/>
          <w:color w:val="000000"/>
          <w:spacing w:val="-6"/>
          <w:sz w:val="28"/>
          <w:szCs w:val="28"/>
          <w:lang w:val="en-US" w:eastAsia="zh-CN"/>
        </w:rPr>
        <w:t>一是围绕增强森林生态综合功能和森林产出效益，在公益林和近年营造的用材林、经济林中，通过采取森林抚育、低效林改造、退化林修复、森林改培等措施，实施针叶林改阔叶林、单层林改复层林、纯林改混交林、低效林改高效林以及景观林彩化、美化等工程，培育稳定健康优质高效森林。二是利用好平台和政策，加快推进国家储备林建设，在营造林基地建设中，对现有林实施改培、中幼林抚育，持续提高乡土珍贵树种、大径材比例，实现森林质量和效益两提升。三是充分利用森林资源、林下空间和森林生态环境优势，大力发展森林旅游、森林康养、笋竹、林下经济、自然教育等特色产业，不断提高森林产出效益，变绿水青山为金山银山。</w:t>
      </w:r>
    </w:p>
    <w:bookmarkStart w:id="206" w:name="_Toc30147"/>
    <w:bookmarkStart w:id="207" w:name="_Toc28910"/>
    <w:bookmarkStart w:id="208" w:name="_Toc7298"/>
    <w:bookmarkStart w:id="209" w:name="_Toc15926"/>
    <w:bookmarkStart w:id="210" w:name="_Toc15897"/>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科技</w:t>
      </w:r>
      <w:bookmarkEnd w:id="206"/>
      <w:bookmarkEnd w:id="207"/>
      <w:bookmarkEnd w:id="208"/>
      <w:bookmarkEnd w:id="209"/>
      <w:r>
        <w:rPr>
          <w:rFonts w:hint="eastAsia" w:ascii="方正楷体_GBK" w:hAnsi="方正楷体_GBK" w:eastAsia="方正楷体_GBK" w:cs="方正楷体_GBK"/>
          <w:b/>
          <w:bCs/>
          <w:snapToGrid/>
          <w:color w:val="000000"/>
          <w:sz w:val="36"/>
          <w:szCs w:val="36"/>
          <w:lang w:val="en-US" w:eastAsia="zh-CN"/>
        </w:rPr>
        <w:t>保障</w:t>
      </w:r>
      <w:bookmarkEnd w:id="210"/>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聚焦产业链关键环节，围绕产业共性技术、前瞻性技术进行攻关研究， 在良种培育、机械化采收等关键核心技术方面取得突破。加</w:t>
      </w:r>
      <w:r>
        <w:rPr>
          <w:rFonts w:hint="eastAsia" w:ascii="Times New Roman" w:hAnsi="Times New Roman" w:eastAsia="仿宋" w:cs="Times New Roman"/>
          <w:color w:val="000000"/>
          <w:spacing w:val="-6"/>
          <w:sz w:val="28"/>
          <w:szCs w:val="28"/>
          <w:lang w:val="en-US" w:eastAsia="zh-CN"/>
        </w:rPr>
        <w:t>大</w:t>
      </w:r>
      <w:r>
        <w:rPr>
          <w:rFonts w:ascii="Times New Roman" w:hAnsi="Times New Roman" w:eastAsia="仿宋" w:cs="Times New Roman"/>
          <w:color w:val="000000"/>
          <w:spacing w:val="-6"/>
          <w:sz w:val="28"/>
          <w:szCs w:val="28"/>
          <w:lang w:val="en-US" w:eastAsia="zh-CN"/>
        </w:rPr>
        <w:t>林草实用技术推广示范力度，建设林草科技推广基地，将先进实用技术推广到林草生产每一个环节。积极组织开展形式多样、 内容丰富的技术培训、 技术指导和技术咨询等工作，助力技术推广示范的有效实施。 健全完善科研单位、推广机</w:t>
      </w:r>
      <w:r>
        <w:rPr>
          <w:rFonts w:hint="eastAsia" w:ascii="Times New Roman" w:hAnsi="Times New Roman" w:eastAsia="仿宋" w:cs="Times New Roman"/>
          <w:color w:val="000000"/>
          <w:spacing w:val="-6"/>
          <w:sz w:val="28"/>
          <w:szCs w:val="28"/>
          <w:lang w:val="en-US" w:eastAsia="zh-CN"/>
        </w:rPr>
        <w:t>构和</w:t>
      </w:r>
      <w:r>
        <w:rPr>
          <w:rFonts w:ascii="Times New Roman" w:hAnsi="Times New Roman" w:eastAsia="仿宋" w:cs="Times New Roman"/>
          <w:color w:val="000000"/>
          <w:spacing w:val="-6"/>
          <w:sz w:val="28"/>
          <w:szCs w:val="28"/>
          <w:lang w:val="en-US" w:eastAsia="zh-CN"/>
        </w:rPr>
        <w:t>企业之间的沟通合作机制， 建立产学研用合作机制， 促进科技成果推广转化应用。 加强林草质检机构能力建设，建立林草产品质量监管体系，保障产品质量和安全。建立健全专家智库和林草专业技术人员人才信息库，加强林业技术人才引进，培育一批懂技术、会经营、善管理的林草能手，打造多层次、专业化人才队伍。</w:t>
      </w:r>
    </w:p>
    <w:bookmarkStart w:id="211" w:name="_Toc1273"/>
    <w:p>
      <w:pPr>
        <w:pStyle w:val="000006"/>
        <w:keepNext/>
        <w:keepLines/>
        <w:pageBreakBefore w:val="false"/>
        <w:widowControl w:val="false"/>
        <w:numPr>
          <w:ilvl w:val="0"/>
          <w:numId w:val="25"/>
        </w:numPr>
        <w:shd w:val="clear" w:color="auto" w:fill="auto"/>
        <w:tabs>
          <w:tab w:val="clear" w:pos="0"/>
        </w:tabs>
        <w:kinsoku/>
        <w:wordWrap/>
        <w:overflowPunct/>
        <w:topLinePunct w:val="false"/>
        <w:autoSpaceDE/>
        <w:autoSpaceDN/>
        <w:bidi w:val="false"/>
        <w:spacing w:before="100" w:beforeAutospacing="false" w:after="100" w:afterAutospacing="false" w:line="560" w:lineRule="exact"/>
        <w:ind w:left="0" w:leftChars="0" w:firstLine="0" w:firstLineChars="0"/>
        <w:jc w:val="center"/>
        <w:rPr>
          <w:rFonts w:hint="eastAsia" w:ascii="方正楷体_GBK" w:hAnsi="方正楷体_GBK" w:eastAsia="方正楷体_GBK" w:cs="方正楷体_GBK"/>
          <w:b/>
          <w:bCs/>
          <w:snapToGrid/>
          <w:color w:val="000000"/>
          <w:sz w:val="36"/>
          <w:szCs w:val="36"/>
          <w:lang w:val="en-US" w:eastAsia="zh-CN"/>
        </w:rPr>
      </w:pPr>
      <w:r>
        <w:rPr>
          <w:rFonts w:hint="eastAsia" w:ascii="方正楷体_GBK" w:hAnsi="方正楷体_GBK" w:eastAsia="方正楷体_GBK" w:cs="方正楷体_GBK"/>
          <w:b/>
          <w:bCs/>
          <w:snapToGrid/>
          <w:color w:val="000000"/>
          <w:sz w:val="36"/>
          <w:szCs w:val="36"/>
          <w:lang w:val="en-US" w:eastAsia="zh-CN"/>
        </w:rPr>
        <w:t>实施保障</w:t>
      </w:r>
      <w:bookmarkEnd w:id="211"/>
    </w:p>
    <w:p>
      <w:pPr>
        <w:pStyle w:val="000001"/>
        <w:keepNext w:val="false"/>
        <w:keepLines w:val="false"/>
        <w:pageBreakBefore w:val="false"/>
        <w:widowControl/>
        <w:kinsoku/>
        <w:wordWrap/>
        <w:overflowPunct/>
        <w:topLinePunct w:val="false"/>
        <w:autoSpaceDE w:val="false"/>
        <w:autoSpaceDN w:val="false"/>
        <w:bidi w:val="false"/>
        <w:spacing w:line="560" w:lineRule="exact"/>
        <w:ind w:left="0" w:right="0" w:firstLine="536" w:firstLineChars="200"/>
        <w:jc w:val="both"/>
        <w:rPr>
          <w:rFonts w:ascii="Times New Roman" w:hAnsi="Times New Roman" w:eastAsia="仿宋" w:cs="Times New Roman"/>
          <w:color w:val="000000"/>
          <w:spacing w:val="-6"/>
          <w:sz w:val="28"/>
          <w:szCs w:val="28"/>
          <w:lang w:val="en-US" w:eastAsia="zh-CN"/>
        </w:rPr>
      </w:pPr>
      <w:r>
        <w:rPr>
          <w:rFonts w:ascii="Times New Roman" w:hAnsi="Times New Roman" w:eastAsia="仿宋" w:cs="Times New Roman"/>
          <w:color w:val="000000"/>
          <w:spacing w:val="-6"/>
          <w:sz w:val="28"/>
          <w:szCs w:val="28"/>
          <w:lang w:val="en-US" w:eastAsia="zh-CN"/>
        </w:rPr>
        <w:t>建立规划衔接协调机制，确保相关规划与本规划协调一致。细化任务分工，制定责任清单，将规划目标任务纳入年度计划。强化林长制责任体系，做实</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县、乡、村三级林长+执法人员、技术服务人员、网格护林员+山林警长、检察长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的</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3+3+2</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网格化责任体系，将林草产业发展指标纳入各级林长考核。强化监督考核评估，建立规划实施监测、评估和监督机制，开展规划定期评估。迭代升级</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石柱智慧林长</w:t>
      </w:r>
      <w:r>
        <w:rPr>
          <w:rFonts w:hint="eastAsia" w:ascii="Times New Roman" w:hAnsi="Times New Roman" w:eastAsia="仿宋" w:cs="Times New Roman"/>
          <w:color w:val="000000"/>
          <w:spacing w:val="-6"/>
          <w:sz w:val="28"/>
          <w:szCs w:val="28"/>
          <w:lang w:val="en-US" w:eastAsia="zh-CN"/>
        </w:rPr>
        <w:t>”</w:t>
      </w:r>
      <w:r>
        <w:rPr>
          <w:rFonts w:ascii="Times New Roman" w:hAnsi="Times New Roman" w:eastAsia="仿宋" w:cs="Times New Roman"/>
          <w:color w:val="000000"/>
          <w:spacing w:val="-6"/>
          <w:sz w:val="28"/>
          <w:szCs w:val="28"/>
          <w:lang w:val="en-US" w:eastAsia="zh-CN"/>
        </w:rPr>
        <w:t>系统，实现从项目申报、施工建设到采收复绿的全过程线上线下一体化闭环监管。依托已有的生态检察官办公室等机制，针对开展非法占用林地、破坏森林资源等行为的专项联合执法行动，为产业健康发展保驾护航。</w:t>
      </w:r>
    </w:p>
    <w:sectPr>
      <w:type w:val="nextPage"/>
      <w:pgSz w:w="11905" w:h="16840"/>
      <w:pgMar w:top="1440" w:right="1797" w:bottom="1440" w:left="1797" w:header="1134" w:footer="1191" w:gutter="0"/>
      <w:pgNumType w:start="1"/>
      <w:cols/>
      <w:docGrid/>
    </w:sectPr>
  </w:body>
</w:document>
</file>

<file path=word/fontTable.xml><?xml version="1.0" encoding="utf-8"?>
<w:fonts xmlns:w="http://schemas.openxmlformats.org/wordprocessingml/2006/main">
  <w:font w:name="方正楷体_GBK">
    <w:panose1 w:val="03000509000000000000"/>
    <w:charset w:val="86" w:characterSet="ISO-8859-1"/>
    <w:family w:val="auto"/>
    <w:pitch w:val="default"/>
    <w:sig w:usb0="00000001" w:usb1="080E0000" w:usb2="00000000" w:usb3="00000000" w:csb0="00040000" w:csb1="00000000"/>
  </w:font>
  <w:font w:name="仿宋">
    <w:panose1 w:val="02010609060101010101"/>
    <w:charset w:val="86" w:characterSet="ISO-8859-1"/>
    <w:family w:val="auto"/>
    <w:pitch w:val="default"/>
    <w:sig w:usb0="800002BF" w:usb1="38CF7CFA" w:usb2="00000016" w:usb3="00000000" w:csb0="00040001" w:csb1="00000000"/>
  </w:font>
  <w:font w:name="Arial">
    <w:panose1 w:val="020b0604020202020204"/>
    <w:charset w:val="00" w:characterSet="ISO-8859-1"/>
    <w:family w:val="swiss"/>
    <w:pitch w:val="default"/>
    <w:sig w:usb0="E0002EFF" w:usb1="C000785B" w:usb2="00000009" w:usb3="00000000" w:csb0="400001FF" w:csb1="FFFF0000"/>
  </w:font>
  <w:font w:name="华文行楷">
    <w:panose1 w:val="02010800040101010101"/>
    <w:charset w:val="86" w:characterSet="ISO-8859-1"/>
    <w:family w:val="auto"/>
    <w:pitch w:val="default"/>
    <w:sig w:usb0="00000001" w:usb1="080F0000" w:usb2="00000000" w:usb3="00000000" w:csb0="00040000" w:csb1="00000000"/>
  </w:font>
  <w:font w:name="黑体">
    <w:panose1 w:val="02010609060101010101"/>
    <w:charset w:val="86" w:characterSet="ISO-8859-1"/>
    <w:family w:val="auto"/>
    <w:pitch w:val="default"/>
    <w:sig w:usb0="800002BF" w:usb1="38CF7CFA" w:usb2="00000016" w:usb3="00000000" w:csb0="00040001" w:csb1="00000000"/>
  </w:font>
  <w:font w:name="方正仿宋_GB2312">
    <w:panose1 w:val="02000000000000000000"/>
    <w:charset w:val="86" w:characterSet="ISO-8859-1"/>
    <w:family w:val="auto"/>
    <w:pitch w:val="default"/>
    <w:sig w:usb0="A00002BF" w:usb1="184F6CFA" w:usb2="00000012" w:usb3="00000000" w:csb0="00040001" w:csb1="00000000"/>
  </w:font>
  <w:font w:name="微软雅黑">
    <w:panose1 w:val="020b0503020204020204"/>
    <w:charset w:val="86" w:characterSet="ISO-8859-1"/>
    <w:family w:val="auto"/>
    <w:pitch w:val="default"/>
    <w:sig w:usb0="80000287" w:usb1="2ACF3C50" w:usb2="00000016" w:usb3="00000000" w:csb0="0004001F" w:csb1="00000000"/>
  </w:font>
  <w:font w:name="Constantia">
    <w:panose1 w:val="02030602050306030303"/>
    <w:charset w:val="00" w:characterSet="ISO-8859-1"/>
    <w:family w:val="auto"/>
    <w:pitch w:val="default"/>
    <w:sig w:usb0="A00002EF" w:usb1="4000204B" w:usb2="00000000" w:usb3="00000000" w:csb0="2000019F" w:csb1="00000000"/>
  </w:font>
  <w:font w:name="宋体">
    <w:panose1 w:val="02010600030101010101"/>
    <w:charset w:val="86" w:characterSet="ISO-8859-1"/>
    <w:family w:val="auto"/>
    <w:pitch w:val="default"/>
    <w:sig w:usb0="00000203" w:usb1="288F0000" w:usb2="00000006"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 w:name="方正仿宋_GBK">
    <w:panose1 w:val="03000509000000000000"/>
    <w:charset w:val="86" w:characterSet="ISO-8859-1"/>
    <w:family w:val="auto"/>
    <w:pitch w:val="default"/>
    <w:sig w:usb0="00000001" w:usb1="080E0000" w:usb2="00000000" w:usb3="00000000" w:csb0="00040000" w:csb1="00000000"/>
  </w:font>
  <w:font w:name="方正小标宋_GBK">
    <w:panose1 w:val="03000509000000000000"/>
    <w:charset w:val="86" w:characterSet="ISO-8859-1"/>
    <w:family w:val="auto"/>
    <w:pitch w:val="default"/>
    <w:sig w:usb0="00000001" w:usb1="080E0000" w:usb2="00000000" w:usb3="00000000" w:csb0="00040000" w:csb1="00000000"/>
  </w:font>
  <w:font w:name="Calibri">
    <w:panose1 w:val="020f0502020204030204"/>
    <w:charset w:val="00" w:characterSet="ISO-8859-1"/>
    <w:family w:val="swiss"/>
    <w:pitch w:val="default"/>
    <w:sig w:usb0="E4002EFF" w:usb1="C000247B" w:usb2="00000009" w:usb3="00000000" w:csb0="200001FF" w:csb1="00000000"/>
  </w:font>
</w:fonts>
</file>

<file path=word/footer1.xml><?xml version="1.0" encoding="utf-8"?>
<w:ftr xmlns:w="http://schemas.openxmlformats.org/wordprocessingml/2006/main">
  <w:p>
    <w:pPr>
      <w:pStyle w:val="000011"/>
      <w:tabs>
        <w:tab w:val="clear" w:pos="4153"/>
        <w:tab w:val="clear" w:pos="8306"/>
      </w:tabs>
      <w:rPr>
        <w:lang w:val="en-US"/>
      </w:rPr>
    </w:pPr>
    <w:r>
      <w:rPr>
        <w:rFonts w:hint="eastAsia" w:eastAsia="宋体"/>
        <w:lang w:val="en-US" w:eastAsia="zh-CN"/>
      </w:rPr>
      <w:t xml:space="preserve">  </w:t>
    </w:r>
  </w:p>
</w:ftr>
</file>

<file path=word/footer10.xml><?xml version="1.0" encoding="utf-8"?>
<w:ftr xmlns:v="urn:schemas-microsoft-com:vml" xmlns:w="http://schemas.openxmlformats.org/wordprocessingml/2006/main" xmlns:o="urn:schemas-microsoft-com:office:office">
  <w:p>
    <w:pPr>
      <w:pStyle w:val="000001"/>
      <w:spacing w:line="266" w:lineRule="exact"/>
      <w:ind w:firstLine="9962"/>
      <w:rPr/>
    </w:pPr>
    <w:r>
      <w:rPr>
        <w:sz w:val="24"/>
      </w:rPr>
      <w:pict>
        <v:shapetype id="_x0000_t20" coordsize="21600,21600" o:spt="20">
          <v:stroke joinstyle="miter"/>
          <v:path o:extrusionok="f"/>
          <o:lock v:ext="edit" aspectratio="t"/>
        </v:shapetype>
        <v:line id="_x0000_s3089" style="position:absolute;mso-wrap-style:square;mso-position-horizontal-relative:text;mso-position-vertical-relative:text;z-index:524296;" filled="f" strokeweight="2.75pt" from="1.4pt,-0.6pt" to="661.6pt,1.4pt">
          <v:shadow on="f" color="#808080"/>
          <v:stroke linestyle="thickThin"/>
        </v:line>
      </w:pict>
    </w:r>
    <w:r>
      <w:rPr>
        <w:sz w:val="21"/>
      </w:rPr>
      <w:pict>
        <v:shapetype id="_x0000_t202" coordsize="21600,21600" o:spt="202" path="m,l,21600r21600,l21600,xe">
          <v:stroke joinstyle="miter"/>
          <v:path gradientshapeok="t" o:extrusionok="f"/>
          <o:lock v:ext="edit" aspectratio="t"/>
        </v:shapetype>
        <v:shape id="000038" style="position:absolute;mso-wrap-style:none;mso-position-horizontal-relative:margin;mso-position-vertical-relative:text;z-index:524295;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9</w:t>
                </w:r>
                <w:r>
                  <w:rPr/>
                  <w:fldChar w:fldCharType="end"/>
                </w:r>
                <w:r>
                  <w:rPr/>
                  <w:t xml:space="preserve"> —</w:t>
                </w:r>
              </w:p>
              <w:p>
                <w:pPr>
                  <w:pStyle w:val="000001"/>
                  <w:ind/>
                  <w:rPr/>
                </w:pPr>
              </w:p>
            </w:txbxContent>
          </v:textbox>
        </v:shape>
      </w:pict>
    </w:r>
  </w:p>
</w:ftr>
</file>

<file path=word/footer11.xml><?xml version="1.0" encoding="utf-8"?>
<w:ftr xmlns:v="urn:schemas-microsoft-com:vml" xmlns:w="http://schemas.openxmlformats.org/wordprocessingml/2006/main" xmlns:o="urn:schemas-microsoft-com:office:office">
  <w:p>
    <w:pPr>
      <w:pStyle w:val="000001"/>
      <w:tabs>
        <w:tab w:val="right" w:leader="none" w:pos="1915"/>
      </w:tabs>
      <w:spacing w:line="266" w:lineRule="exact"/>
      <w:ind w:firstLine="9962"/>
      <w:jc w:val="center"/>
      <w:rPr>
        <w:rFonts w:hint="eastAsia" w:eastAsia="宋体"/>
        <w:lang w:eastAsia="zh-CN"/>
      </w:rPr>
    </w:pPr>
    <w:r>
      <w:rPr>
        <w:sz w:val="24"/>
      </w:rPr>
      <w:pict>
        <v:shapetype id="_x0000_t20" coordsize="21600,21600" o:spt="20">
          <v:stroke joinstyle="miter"/>
          <v:path o:extrusionok="f"/>
          <o:lock v:ext="edit" aspectratio="t"/>
        </v:shapetype>
        <v:line id="_x0000_s3076" style="position:absolute;mso-wrap-style:square;mso-position-horizontal-relative:text;mso-position-vertical-relative:text;z-index:524306;" filled="f" strokeweight="2.75pt" from="-0.1pt,-2.75pt" to="415.45pt,-2.7pt">
          <v:shadow on="f" color="#808080"/>
          <v:stroke linestyle="thickThin"/>
        </v:line>
      </w:pict>
    </w:r>
    <w:r>
      <w:rPr>
        <w:sz w:val="21"/>
      </w:rPr>
      <w:pict>
        <v:shapetype id="_x0000_t202" coordsize="21600,21600" o:spt="202" path="m,l,21600r21600,l21600,xe">
          <v:stroke joinstyle="miter"/>
          <v:path gradientshapeok="t" o:extrusionok="f"/>
          <o:lock v:ext="edit" aspectratio="t"/>
        </v:shapetype>
        <v:shape id="00003c" style="position:absolute;mso-wrap-style:none;v-text-anchor:top;mso-position-horizontal-relative:margin;mso-position-vertical-relative:text;z-index:524289;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39</w:t>
                </w:r>
                <w:r>
                  <w:rPr/>
                  <w:fldChar w:fldCharType="end"/>
                </w:r>
                <w:r>
                  <w:rPr/>
                  <w:t xml:space="preserve"> —</w:t>
                </w:r>
              </w:p>
              <w:p>
                <w:pPr>
                  <w:pStyle w:val="000001"/>
                  <w:ind/>
                  <w:rPr/>
                </w:pPr>
              </w:p>
            </w:txbxContent>
          </v:textbox>
        </v:shape>
      </w:pict>
    </w:r>
  </w:p>
  <w:p>
    <w:pPr>
      <w:pStyle w:val="000001"/>
      <w:spacing w:line="266" w:lineRule="exact"/>
      <w:ind w:firstLine="68"/>
      <w:rPr/>
    </w:pPr>
  </w:p>
</w:ftr>
</file>

<file path=word/footer12.xml><?xml version="1.0" encoding="utf-8"?>
<w:ftr xmlns:v="urn:schemas-microsoft-com:vml" xmlns:w="http://schemas.openxmlformats.org/wordprocessingml/2006/main" xmlns:o="urn:schemas-microsoft-com:office:office">
  <w:p>
    <w:pPr>
      <w:pStyle w:val="000011"/>
      <w:tabs>
        <w:tab w:val="clear" w:pos="4153"/>
        <w:tab w:val="clear" w:pos="8306"/>
      </w:tabs>
      <w:ind/>
      <w:rPr>
        <w:lang w:val="en-US"/>
      </w:rPr>
    </w:pPr>
    <w:r>
      <w:rPr>
        <w:sz w:val="24"/>
      </w:rPr>
      <w:pict>
        <v:shape id="_x0000_s3097" style="position:absolute;flip:y;mso-wrap-style:square;mso-position-horizontal-relative:text;mso-position-vertical-relative:text;z-index:524301;margin-left:0.15pt;margin-top:-0.15pt;width:416pt;height:0.05pt;" coordsize="21600,21600" filled="f" strokeweight="2.75pt">
          <v:stroke linestyle="thickThin"/>
          <v:shadow on="f" color="#808080"/>
        </v:shape>
      </w:pict>
    </w:r>
    <w:r>
      <w:rPr>
        <w:sz w:val="24"/>
      </w:rPr>
      <w:pict>
        <v:shape id="_x0000_s3095" style="position:absolute;flip:y;mso-wrap-style:square;mso-position-horizontal-relative:text;mso-position-vertical-relative:text;z-index:524300;margin-left:0.15pt;margin-top:245.5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3a" style="position:absolute;mso-wrap-style:square;v-text-anchor:top;mso-position-horizontal-relative:margin;mso-position-vertical-relative:text;z-index:524299;mso-position-horizontal:outside;margin-left:0pt;margin-top:0pt;width:34pt;height:14.15pt;" filled="f" stroked="f" type="#_x0000_t202">
          <v:stroke linestyle="single"/>
          <v:shadow on="f" color="#808080"/>
          <v:textbox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2</w:t>
                </w:r>
                <w:r>
                  <w:rPr/>
                  <w:fldChar w:fldCharType="end"/>
                </w:r>
                <w:r>
                  <w:rPr/>
                  <w:t xml:space="preserve"> —</w:t>
                </w:r>
              </w:p>
              <w:p>
                <w:pPr>
                  <w:pStyle w:val="000001"/>
                  <w:ind/>
                  <w:rPr/>
                </w:pPr>
              </w:p>
            </w:txbxContent>
          </v:textbox>
        </v:shape>
      </w:pict>
    </w:r>
    <w:r>
      <w:rPr>
        <w:rFonts w:hint="eastAsia" w:eastAsia="宋体"/>
        <w:lang w:val="en-US" w:eastAsia="zh-CN"/>
      </w:rPr>
      <w:t xml:space="preserve">  </w:t>
    </w:r>
  </w:p>
</w:ftr>
</file>

<file path=word/footer13.xml><?xml version="1.0" encoding="utf-8"?>
<w:ftr xmlns:v="urn:schemas-microsoft-com:vml" xmlns:w="http://schemas.openxmlformats.org/wordprocessingml/2006/main" xmlns:o="urn:schemas-microsoft-com:office:office">
  <w:p>
    <w:pPr>
      <w:pStyle w:val="000001"/>
      <w:tabs>
        <w:tab w:val="right" w:leader="none" w:pos="1915"/>
      </w:tabs>
      <w:spacing w:line="266" w:lineRule="exact"/>
      <w:ind/>
      <w:jc w:val="both"/>
      <w:rPr>
        <w:rFonts w:hint="eastAsia" w:eastAsia="宋体"/>
        <w:lang w:eastAsia="zh-CN"/>
      </w:rPr>
    </w:pPr>
    <w:r>
      <w:rPr>
        <w:sz w:val="21"/>
      </w:rPr>
      <w:pict>
        <v:shapetype id="_x0000_t202" coordsize="21600,21600" o:spt="202" path="m,l,21600r21600,l21600,xe">
          <v:stroke joinstyle="miter"/>
          <v:path gradientshapeok="t" o:extrusionok="f"/>
          <o:lock v:ext="edit" aspectratio="t"/>
        </v:shapetype>
        <v:shape id="00003e" style="position:absolute;mso-wrap-style:none;mso-position-horizontal-relative:margin;mso-position-vertical-relative:text;z-index:524290;margin-left:383.65pt;margin-top:-3.25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39</w:t>
                </w:r>
                <w:r>
                  <w:rPr/>
                  <w:fldChar w:fldCharType="end"/>
                </w:r>
                <w:r>
                  <w:rPr/>
                  <w:t xml:space="preserve"> —</w:t>
                </w:r>
              </w:p>
              <w:p>
                <w:pPr>
                  <w:pStyle w:val="000001"/>
                  <w:ind/>
                  <w:rPr/>
                </w:pPr>
              </w:p>
            </w:txbxContent>
          </v:textbox>
        </v:shape>
      </w:pict>
    </w:r>
    <w:r>
      <w:rPr>
        <w:sz w:val="24"/>
      </w:rPr>
      <w:pict>
        <v:shape id="_x0000_s3111" style="position:absolute;flip:y;mso-wrap-style:square;mso-position-horizontal-relative:text;mso-position-vertical-relative:text;z-index:524305;margin-left:-0.4pt;margin-top:-3.05pt;width:416pt;height:0.05pt;" coordsize="21600,21600" filled="f" strokeweight="2.75pt">
          <v:stroke linestyle="thickThin"/>
          <v:shadow on="f" color="#808080"/>
        </v:shape>
      </w:pict>
    </w:r>
  </w:p>
</w:ftr>
</file>

<file path=word/footer14.xml><?xml version="1.0" encoding="utf-8"?>
<w:ftr xmlns:v="urn:schemas-microsoft-com:vml" xmlns:w="http://schemas.openxmlformats.org/wordprocessingml/2006/main" xmlns:o="urn:schemas-microsoft-com:office:office">
  <w:p>
    <w:pPr>
      <w:pStyle w:val="000001"/>
      <w:spacing w:line="266" w:lineRule="exact"/>
      <w:ind w:firstLine="14"/>
      <w:rPr/>
    </w:pPr>
    <w:r>
      <w:rPr>
        <w:sz w:val="21"/>
      </w:rPr>
      <w:pict>
        <v:shapetype id="_x0000_t202" coordsize="21600,21600" o:spt="202" path="m,l,21600r21600,l21600,xe">
          <v:stroke joinstyle="miter"/>
          <v:path gradientshapeok="t" o:extrusionok="f"/>
          <o:lock v:ext="edit" aspectratio="t"/>
        </v:shapetype>
        <v:shape id="000040" style="position:absolute;mso-wrap-style:none;v-text-anchor:top;mso-position-horizontal-relative:margin;mso-position-vertical-relative:text;z-index:524291;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73</w:t>
                </w:r>
                <w:r>
                  <w:rPr/>
                  <w:fldChar w:fldCharType="end"/>
                </w:r>
                <w:r>
                  <w:rPr/>
                  <w:t xml:space="preserve"> —</w:t>
                </w:r>
              </w:p>
              <w:p>
                <w:pPr>
                  <w:pStyle w:val="000001"/>
                  <w:ind/>
                  <w:rPr/>
                </w:pPr>
              </w:p>
            </w:txbxContent>
          </v:textbox>
        </v:shape>
      </w:pict>
    </w:r>
  </w:p>
</w:ftr>
</file>

<file path=word/footer2.xml><?xml version="1.0" encoding="utf-8"?>
<w:ftr xmlns:v="urn:schemas-microsoft-com:vml" xmlns:w="http://schemas.openxmlformats.org/wordprocessingml/2006/main" xmlns:o="urn:schemas-microsoft-com:office:office">
  <w:p>
    <w:pPr>
      <w:pStyle w:val="000011"/>
      <w:tabs>
        <w:tab w:val="clear" w:pos="4153"/>
        <w:tab w:val="clear" w:pos="8306"/>
      </w:tabs>
      <w:rPr/>
    </w:pPr>
    <w:r>
      <w:rPr>
        <w:sz w:val="18"/>
      </w:rPr>
      <w:pict>
        <v:shapetype id="_x0000_t202" coordsize="21600,21600" o:spt="202" path="m,l,21600r21600,l21600,xe">
          <v:stroke joinstyle="miter"/>
          <v:path gradientshapeok="t" o:extrusionok="f"/>
          <o:lock v:ext="edit" aspectratio="t"/>
        </v:shapetype>
        <v:shape id="000024" style="position:absolute;mso-wrap-style:none;v-text-anchor:top;mso-position-horizontal-relative:margin;mso-position-vertical-relative:text;z-index:524288;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rPr>
                    <w:rFonts w:hint="eastAsia" w:eastAsia="宋体"/>
                    <w:lang w:eastAsia="zh-CN"/>
                  </w:rPr>
                </w:pPr>
              </w:p>
              <w:p>
                <w:pPr>
                  <w:pStyle w:val="000001"/>
                  <w:rPr/>
                </w:pPr>
              </w:p>
            </w:txbxContent>
          </v:textbox>
        </v:shape>
      </w:pict>
    </w:r>
  </w:p>
</w:ftr>
</file>

<file path=word/footer3.xml><?xml version="1.0" encoding="utf-8"?>
<w:ftr xmlns:v="urn:schemas-microsoft-com:vml" xmlns:w="http://schemas.openxmlformats.org/wordprocessingml/2006/main" xmlns:o="urn:schemas-microsoft-com:office:office">
  <w:p>
    <w:pPr>
      <w:pStyle w:val="000011"/>
      <w:tabs>
        <w:tab w:val="clear" w:pos="4153"/>
        <w:tab w:val="clear" w:pos="8306"/>
      </w:tabs>
      <w:ind/>
      <w:rPr/>
    </w:pPr>
    <w:r>
      <w:rPr>
        <w:sz w:val="24"/>
      </w:rPr>
      <w:pict>
        <v:shape id="_x0000_s3106" style="position:absolute;flip:y;mso-wrap-style:square;mso-position-horizontal-relative:text;mso-position-vertical-relative:text;z-index:524304;margin-left:0.15pt;margin-top:-3.35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29" style="position:absolute;mso-wrap-style:none;v-text-anchor:top;mso-position-horizontal-relative:margin;mso-position-vertical-relative:text;z-index:524293;mso-position-horizontal:outside;margin-left:0pt;margin-top:0pt;width:144pt;height:144pt;" filled="f" stroked="f" type="#_x0000_t202">
          <v:stroke linestyle="single"/>
          <v:shadow on="f" color="#808080"/>
          <v:textbox style="mso-fit-shape-to-text:t;" inset="0pt,0pt,0pt,0pt">
            <w:txbxContent>
              <w:p>
                <w:pPr>
                  <w:pStyle w:val="000011"/>
                  <w:tabs>
                    <w:tab w:val="clear" w:pos="4153"/>
                    <w:tab w:val="clear" w:pos="8306"/>
                  </w:tabs>
                  <w:ind/>
                  <w:rPr/>
                </w:pPr>
                <w:r>
                  <w:rPr/>
                  <w:fldChar w:fldCharType="begin"/>
                </w:r>
                <w:r>
                  <w:rPr/>
                  <w:instrText xml:space="preserve"> PAGE  \* MERGEFORMAT </w:instrText>
                </w:r>
                <w:r>
                  <w:rPr/>
                  <w:fldChar w:fldCharType="separate"/>
                </w:r>
                <w:r>
                  <w:rPr/>
                  <w:t>1</w:t>
                </w:r>
                <w:r>
                  <w:rPr/>
                  <w:fldChar w:fldCharType="end"/>
                </w:r>
              </w:p>
              <w:p>
                <w:pPr>
                  <w:pStyle w:val="000001"/>
                  <w:ind/>
                  <w:rPr/>
                </w:pPr>
              </w:p>
            </w:txbxContent>
          </v:textbox>
        </v:shape>
      </w:pict>
    </w:r>
    <w:r>
      <w:rPr>
        <w:sz w:val="18"/>
      </w:rPr>
      <w:pict>
        <v:shapetype id="_x0000_t202" coordsize="21600,21600" o:spt="202" path="m,l,21600r21600,l21600,xe">
          <v:stroke joinstyle="miter"/>
          <v:path gradientshapeok="t" o:extrusionok="f"/>
          <o:lock v:ext="edit" aspectratio="t"/>
        </v:shapetype>
        <v:shape id="00002a" style="position:absolute;mso-wrap-style:none;mso-position-horizontal-relative:margin;mso-position-vertical-relative:text;z-index:524292;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rFonts w:hint="eastAsia" w:eastAsia="宋体"/>
                    <w:lang w:eastAsia="zh-CN"/>
                  </w:rPr>
                </w:pPr>
              </w:p>
              <w:p>
                <w:pPr>
                  <w:pStyle w:val="000001"/>
                  <w:ind/>
                  <w:rPr/>
                </w:pPr>
              </w:p>
            </w:txbxContent>
          </v:textbox>
        </v:shape>
      </w:pict>
    </w:r>
  </w:p>
</w:ftr>
</file>

<file path=word/footer4.xml><?xml version="1.0" encoding="utf-8"?>
<w:ftr xmlns:v="urn:schemas-microsoft-com:vml" xmlns:w="http://schemas.openxmlformats.org/wordprocessingml/2006/main" xmlns:o="urn:schemas-microsoft-com:office:office">
  <w:p>
    <w:pPr>
      <w:pStyle w:val="000011"/>
      <w:tabs>
        <w:tab w:val="clear" w:pos="4153"/>
        <w:tab w:val="clear" w:pos="8306"/>
      </w:tabs>
      <w:ind/>
      <w:rPr>
        <w:lang w:val="en-US"/>
      </w:rPr>
    </w:pPr>
    <w:r>
      <w:rPr>
        <w:sz w:val="24"/>
      </w:rPr>
      <w:pict>
        <v:shape id="_x0000_s3105" style="position:absolute;flip:y;mso-wrap-style:square;mso-position-horizontal-relative:text;mso-position-vertical-relative:text;z-index:524303;margin-left:0.15pt;margin-top:-3.35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27" style="position:absolute;mso-wrap-style:none;v-text-anchor:top;mso-position-horizontal-relative:margin;mso-position-vertical-relative:text;z-index:524294;mso-position-horizontal:outside;margin-left:0pt;margin-top:0pt;width:144pt;height:144pt;" filled="f" stroked="f" type="#_x0000_t202">
          <v:stroke linestyle="single"/>
          <v:shadow on="f" color="#808080"/>
          <v:textbox style="mso-fit-shape-to-text:t;" inset="0pt,0pt,0pt,0pt">
            <w:txbxContent>
              <w:p>
                <w:pPr>
                  <w:pStyle w:val="000011"/>
                  <w:tabs>
                    <w:tab w:val="clear" w:pos="4153"/>
                    <w:tab w:val="clear" w:pos="8306"/>
                  </w:tabs>
                  <w:ind/>
                  <w:rPr/>
                </w:pPr>
                <w:r>
                  <w:rPr/>
                  <w:fldChar w:fldCharType="begin"/>
                </w:r>
                <w:r>
                  <w:rPr/>
                  <w:instrText xml:space="preserve"> PAGE  \* MERGEFORMAT </w:instrText>
                </w:r>
                <w:r>
                  <w:rPr/>
                  <w:fldChar w:fldCharType="separate"/>
                </w:r>
                <w:r>
                  <w:rPr/>
                  <w:t>2</w:t>
                </w:r>
                <w:r>
                  <w:rPr/>
                  <w:fldChar w:fldCharType="end"/>
                </w:r>
              </w:p>
              <w:p>
                <w:pPr>
                  <w:pStyle w:val="000001"/>
                  <w:ind/>
                  <w:rPr/>
                </w:pPr>
              </w:p>
            </w:txbxContent>
          </v:textbox>
        </v:shape>
      </w:pict>
    </w:r>
    <w:r>
      <w:rPr>
        <w:rFonts w:hint="eastAsia" w:eastAsia="宋体"/>
        <w:lang w:val="en-US" w:eastAsia="zh-CN"/>
      </w:rPr>
      <w:t xml:space="preserve">  </w:t>
    </w:r>
  </w:p>
</w:ftr>
</file>

<file path=word/footer5.xml><?xml version="1.0" encoding="utf-8"?>
<w:ftr xmlns:v="urn:schemas-microsoft-com:vml" xmlns:w="http://schemas.openxmlformats.org/wordprocessingml/2006/main" xmlns:o="urn:schemas-microsoft-com:office:office">
  <w:p>
    <w:pPr>
      <w:pStyle w:val="000011"/>
      <w:tabs>
        <w:tab w:val="clear" w:pos="4153"/>
        <w:tab w:val="clear" w:pos="8306"/>
      </w:tabs>
      <w:ind/>
      <w:rPr/>
    </w:pPr>
    <w:r>
      <w:rPr>
        <w:sz w:val="24"/>
      </w:rPr>
      <w:pict>
        <v:shape id="_x0000_s3084" style="position:absolute;flip:y;mso-wrap-style:square;mso-position-horizontal-relative:text;mso-position-vertical-relative:text;z-index:524313;margin-left:0.15pt;margin-top:-3.35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2f" style="position:absolute;mso-wrap-style:none;v-text-anchor:top;mso-position-horizontal-relative:margin;mso-position-vertical-relative:text;z-index:524312;mso-position-horizontal:outside;margin-left:0pt;margin-top:0pt;width:144pt;height:144pt;" filled="f" stroked="f" type="#_x0000_t202">
          <v:stroke linestyle="single"/>
          <v:shadow on="f" color="#808080"/>
          <v:textbox style="mso-fit-shape-to-text:t;" inset="0pt,0pt,0pt,0pt">
            <w:txbxContent>
              <w:p>
                <w:pPr>
                  <w:pStyle w:val="000011"/>
                  <w:tabs>
                    <w:tab w:val="clear" w:pos="4153"/>
                    <w:tab w:val="clear" w:pos="8306"/>
                  </w:tabs>
                  <w:ind/>
                  <w:rPr/>
                </w:pPr>
                <w:r>
                  <w:rPr/>
                  <w:fldChar w:fldCharType="begin"/>
                </w:r>
                <w:r>
                  <w:rPr/>
                  <w:instrText xml:space="preserve"> PAGE  \* MERGEFORMAT </w:instrText>
                </w:r>
                <w:r>
                  <w:rPr/>
                  <w:fldChar w:fldCharType="separate"/>
                </w:r>
                <w:r>
                  <w:rPr/>
                  <w:t>1</w:t>
                </w:r>
                <w:r>
                  <w:rPr/>
                  <w:fldChar w:fldCharType="end"/>
                </w:r>
              </w:p>
              <w:p>
                <w:pPr>
                  <w:pStyle w:val="000001"/>
                  <w:ind/>
                  <w:rPr/>
                </w:pPr>
              </w:p>
            </w:txbxContent>
          </v:textbox>
        </v:shape>
      </w:pict>
    </w:r>
    <w:r>
      <w:rPr>
        <w:sz w:val="18"/>
      </w:rPr>
      <w:pict>
        <v:shapetype id="_x0000_t202" coordsize="21600,21600" o:spt="202" path="m,l,21600r21600,l21600,xe">
          <v:stroke joinstyle="miter"/>
          <v:path gradientshapeok="t" o:extrusionok="f"/>
          <o:lock v:ext="edit" aspectratio="t"/>
        </v:shapetype>
        <v:shape id="000030" style="position:absolute;mso-wrap-style:none;mso-position-horizontal-relative:margin;mso-position-vertical-relative:text;z-index:524311;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rFonts w:hint="eastAsia" w:eastAsia="宋体"/>
                    <w:lang w:eastAsia="zh-CN"/>
                  </w:rPr>
                </w:pPr>
              </w:p>
              <w:p>
                <w:pPr>
                  <w:pStyle w:val="000001"/>
                  <w:ind/>
                  <w:rPr/>
                </w:pPr>
              </w:p>
            </w:txbxContent>
          </v:textbox>
        </v:shape>
      </w:pict>
    </w:r>
  </w:p>
</w:ftr>
</file>

<file path=word/footer6.xml><?xml version="1.0" encoding="utf-8"?>
<w:ftr xmlns:v="urn:schemas-microsoft-com:vml" xmlns:w="http://schemas.openxmlformats.org/wordprocessingml/2006/main" xmlns:o="urn:schemas-microsoft-com:office:office">
  <w:p>
    <w:pPr>
      <w:pStyle w:val="000011"/>
      <w:tabs>
        <w:tab w:val="clear" w:pos="4153"/>
        <w:tab w:val="clear" w:pos="8306"/>
      </w:tabs>
      <w:rPr>
        <w:lang w:val="en-US"/>
      </w:rPr>
    </w:pPr>
    <w:r>
      <w:rPr>
        <w:sz w:val="24"/>
      </w:rPr>
      <w:pict>
        <v:shape id="_x0000_s3092" style="position:absolute;flip:y;mso-wrap-style:square;mso-position-horizontal-relative:text;mso-position-vertical-relative:text;z-index:524315;margin-left:0.15pt;margin-top:-3.35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2d" style="position:absolute;mso-wrap-style:none;v-text-anchor:top;mso-position-horizontal-relative:margin;mso-position-vertical-relative:text;z-index:524314;mso-position-horizontal:outside;margin-left:0pt;margin-top:0pt;width:144pt;height:144pt;" filled="f" stroked="f" type="#_x0000_t202">
          <v:stroke linestyle="single"/>
          <v:shadow on="f" color="#808080"/>
          <v:textbox style="mso-fit-shape-to-text:t;" inset="0pt,0pt,0pt,0pt">
            <w:txbxContent>
              <w:p>
                <w:pPr>
                  <w:pStyle w:val="000011"/>
                  <w:tabs>
                    <w:tab w:val="clear" w:pos="4153"/>
                    <w:tab w:val="clear" w:pos="8306"/>
                  </w:tabs>
                  <w:rPr/>
                </w:pPr>
                <w:r>
                  <w:rPr/>
                  <w:fldChar w:fldCharType="begin"/>
                </w:r>
                <w:r>
                  <w:rPr/>
                  <w:instrText xml:space="preserve"> PAGE  \* MERGEFORMAT </w:instrText>
                </w:r>
                <w:r>
                  <w:rPr/>
                  <w:fldChar w:fldCharType="separate"/>
                </w:r>
                <w:r>
                  <w:rPr/>
                  <w:t>2</w:t>
                </w:r>
                <w:r>
                  <w:rPr/>
                  <w:fldChar w:fldCharType="end"/>
                </w:r>
              </w:p>
              <w:p>
                <w:pPr>
                  <w:pStyle w:val="000001"/>
                  <w:rPr/>
                </w:pPr>
              </w:p>
            </w:txbxContent>
          </v:textbox>
        </v:shape>
      </w:pict>
    </w:r>
    <w:r>
      <w:rPr>
        <w:rFonts w:hint="eastAsia" w:eastAsia="宋体"/>
        <w:lang w:val="en-US" w:eastAsia="zh-CN"/>
      </w:rPr>
      <w:t xml:space="preserve">  </w:t>
    </w:r>
  </w:p>
</w:ftr>
</file>

<file path=word/footer7.xml><?xml version="1.0" encoding="utf-8"?>
<w:ftr xmlns:v="urn:schemas-microsoft-com:vml" xmlns:w="http://schemas.openxmlformats.org/wordprocessingml/2006/main" xmlns:o="urn:schemas-microsoft-com:office:office">
  <w:p>
    <w:pPr>
      <w:pStyle w:val="000001"/>
      <w:spacing w:line="266" w:lineRule="exact"/>
      <w:ind w:firstLine="9962"/>
      <w:rPr/>
    </w:pPr>
    <w:r>
      <w:rPr>
        <w:sz w:val="24"/>
      </w:rPr>
      <w:pict>
        <v:shapetype id="_x0000_t20" coordsize="21600,21600" o:spt="20">
          <v:stroke joinstyle="miter"/>
          <v:path o:extrusionok="f"/>
          <o:lock v:ext="edit" aspectratio="t"/>
        </v:shapetype>
        <v:line id="_x0000_s3074" style="position:absolute;mso-wrap-style:square;mso-position-horizontal-relative:text;mso-position-vertical-relative:text;z-index:524308;" filled="f" strokeweight="2.75pt" from="1.4pt,-3.9pt" to="416.95pt,-2.5pt">
          <v:stroke linestyle="thickThin"/>
        </v:line>
      </w:pict>
    </w:r>
    <w:r>
      <w:rPr>
        <w:sz w:val="21"/>
      </w:rPr>
      <w:pict>
        <v:shapetype id="_x0000_t202" coordsize="21600,21600" o:spt="202" path="m,l,21600r21600,l21600,xe">
          <v:stroke joinstyle="miter"/>
          <v:path gradientshapeok="t" o:extrusionok="f"/>
          <o:lock v:ext="edit" aspectratio="t"/>
        </v:shapetype>
        <v:shape id="000034" style="position:absolute;mso-wrap-style:none;mso-position-horizontal-relative:margin;mso-position-vertical-relative:text;z-index:524307;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9</w:t>
                </w:r>
                <w:r>
                  <w:rPr/>
                  <w:fldChar w:fldCharType="end"/>
                </w:r>
                <w:r>
                  <w:rPr/>
                  <w:t xml:space="preserve"> —</w:t>
                </w:r>
              </w:p>
              <w:p>
                <w:pPr>
                  <w:pStyle w:val="000001"/>
                  <w:ind/>
                  <w:rPr/>
                </w:pPr>
              </w:p>
            </w:txbxContent>
          </v:textbox>
        </v:shape>
      </w:pict>
    </w:r>
  </w:p>
</w:ftr>
</file>

<file path=word/footer8.xml><?xml version="1.0" encoding="utf-8"?>
<w:ftr xmlns:v="urn:schemas-microsoft-com:vml" xmlns:w="http://schemas.openxmlformats.org/wordprocessingml/2006/main" xmlns:o="urn:schemas-microsoft-com:office:office">
  <w:p>
    <w:pPr>
      <w:pStyle w:val="000011"/>
      <w:tabs>
        <w:tab w:val="clear" w:pos="4153"/>
        <w:tab w:val="clear" w:pos="8306"/>
      </w:tabs>
      <w:ind/>
      <w:rPr>
        <w:lang w:val="en-US"/>
      </w:rPr>
    </w:pPr>
    <w:r>
      <w:rPr>
        <w:sz w:val="24"/>
      </w:rPr>
      <w:pict>
        <v:shape id="_x0000_s3081" style="position:absolute;flip:y;mso-wrap-style:square;mso-position-horizontal-relative:text;mso-position-vertical-relative:text;z-index:524310;margin-left:-0.15pt;margin-top:-4.3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32" style="position:absolute;mso-wrap-style:none;mso-position-horizontal-relative:margin;mso-position-vertical-relative:text;z-index:524309;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2</w:t>
                </w:r>
                <w:r>
                  <w:rPr/>
                  <w:fldChar w:fldCharType="end"/>
                </w:r>
                <w:r>
                  <w:rPr/>
                  <w:t xml:space="preserve"> —</w:t>
                </w:r>
              </w:p>
              <w:p>
                <w:pPr>
                  <w:pStyle w:val="000001"/>
                  <w:ind/>
                  <w:rPr/>
                </w:pPr>
              </w:p>
            </w:txbxContent>
          </v:textbox>
        </v:shape>
      </w:pict>
    </w:r>
    <w:r>
      <w:rPr>
        <w:rFonts w:hint="eastAsia" w:eastAsia="宋体"/>
        <w:lang w:val="en-US" w:eastAsia="zh-CN"/>
      </w:rPr>
      <w:t xml:space="preserve">  </w:t>
    </w:r>
  </w:p>
</w:ftr>
</file>

<file path=word/footer9.xml><?xml version="1.0" encoding="utf-8"?>
<w:ftr xmlns:v="urn:schemas-microsoft-com:vml" xmlns:w="http://schemas.openxmlformats.org/wordprocessingml/2006/main" xmlns:o="urn:schemas-microsoft-com:office:office">
  <w:p>
    <w:pPr>
      <w:pStyle w:val="000011"/>
      <w:tabs>
        <w:tab w:val="clear" w:pos="4153"/>
        <w:tab w:val="clear" w:pos="8306"/>
      </w:tabs>
      <w:ind/>
      <w:rPr>
        <w:lang w:val="en-US"/>
      </w:rPr>
    </w:pPr>
    <w:r>
      <w:rPr>
        <w:sz w:val="24"/>
      </w:rPr>
      <w:pict>
        <v:shape id="_x0000_s3099" style="position:absolute;flip:y;mso-wrap-style:square;mso-position-horizontal-relative:text;mso-position-vertical-relative:text;z-index:524302;margin-left:0.15pt;margin-top:-1pt;width:663.05pt;height:0.75pt;" coordsize="21600,21600" filled="f" strokeweight="2.75pt">
          <v:stroke linestyle="thickThin"/>
          <v:shadow on="f" color="#808080"/>
        </v:shape>
      </w:pict>
    </w:r>
    <w:r>
      <w:rPr>
        <w:sz w:val="24"/>
      </w:rPr>
      <w:pict>
        <v:shape id="_x0000_s3094" style="position:absolute;flip:y;mso-wrap-style:square;mso-position-horizontal-relative:text;mso-position-vertical-relative:text;z-index:524298;margin-left:0.15pt;margin-top:245.5pt;width:416pt;height:1.1pt;" coordsize="21600,21600" filled="f" strokeweight="2.75pt">
          <v:stroke linestyle="thickThin"/>
        </v:shape>
      </w:pict>
    </w:r>
    <w:r>
      <w:rPr>
        <w:sz w:val="18"/>
      </w:rPr>
      <w:pict>
        <v:shapetype id="_x0000_t202" coordsize="21600,21600" o:spt="202" path="m,l,21600r21600,l21600,xe">
          <v:stroke joinstyle="miter"/>
          <v:path gradientshapeok="t" o:extrusionok="f"/>
          <o:lock v:ext="edit" aspectratio="t"/>
        </v:shapetype>
        <v:shape id="000036" style="position:absolute;mso-wrap-style:none;mso-position-horizontal-relative:margin;mso-position-vertical-relative:text;z-index:524297;mso-position-horizontal:outside;margin-left:0pt;margin-top:0pt;width:144pt;height:144pt;" filled="f" stroked="f" type="#_x0000_t202">
          <v:stroke linestyle="single"/>
          <v:textbox style="mso-fit-shape-to-text:t;" inset="0pt,0pt,0pt,0pt">
            <w:txbxContent>
              <w:p>
                <w:pPr>
                  <w:pStyle w:val="000011"/>
                  <w:tabs>
                    <w:tab w:val="clear" w:pos="4153"/>
                    <w:tab w:val="clear" w:pos="8306"/>
                  </w:tabs>
                  <w:ind/>
                  <w:rPr/>
                </w:pPr>
                <w:r>
                  <w:rPr/>
                  <w:t xml:space="preserve">— </w:t>
                </w:r>
                <w:r>
                  <w:rPr/>
                  <w:fldChar w:fldCharType="begin"/>
                </w:r>
                <w:r>
                  <w:rPr/>
                  <w:instrText xml:space="preserve"> PAGE  \* MERGEFORMAT </w:instrText>
                </w:r>
                <w:r>
                  <w:rPr/>
                  <w:fldChar w:fldCharType="separate"/>
                </w:r>
                <w:r>
                  <w:rPr/>
                  <w:t>2</w:t>
                </w:r>
                <w:r>
                  <w:rPr/>
                  <w:fldChar w:fldCharType="end"/>
                </w:r>
                <w:r>
                  <w:rPr/>
                  <w:t xml:space="preserve"> —</w:t>
                </w:r>
              </w:p>
              <w:p>
                <w:pPr>
                  <w:pStyle w:val="000001"/>
                  <w:ind/>
                  <w:rPr/>
                </w:pPr>
              </w:p>
            </w:txbxContent>
          </v:textbox>
        </v:shape>
      </w:pict>
    </w:r>
    <w:r>
      <w:rPr>
        <w:rFonts w:hint="eastAsia" w:eastAsia="宋体"/>
        <w:lang w:val="en-US" w:eastAsia="zh-CN"/>
      </w:rPr>
      <w:t xml:space="preserve">  </w:t>
    </w:r>
  </w:p>
</w:ftr>
</file>

<file path=word/header1.xml><?xml version="1.0" encoding="utf-8"?>
<w:hdr xmlns:w="http://schemas.openxmlformats.org/wordprocessingml/2006/main">
  <w:p>
    <w:pPr>
      <w:pStyle w:val="000012"/>
      <w:pBdr>
        <w:bottom w:val="single" w:color="000000" w:sz="4" w:space="1"/>
      </w:pBdr>
      <w:tabs>
        <w:tab w:val="clear" w:pos="4153"/>
        <w:tab w:val="clear" w:pos="8306"/>
      </w:tabs>
      <w:ind w:firstLine="360"/>
      <w:jc w:val="right"/>
      <w:rPr>
        <w:lang w:val="en-US"/>
      </w:rPr>
    </w:pPr>
    <w:r>
      <w:rPr>
        <w:rFonts w:hint="eastAsia" w:ascii="华文行楷" w:hAnsi="华文行楷" w:eastAsia="华文行楷" w:cs="华文行楷"/>
        <w:sz w:val="21"/>
        <w:szCs w:val="36"/>
        <w:lang w:val="en-US" w:eastAsia="zh-CN"/>
      </w:rPr>
      <w:t>前言</w:t>
    </w:r>
  </w:p>
</w:hdr>
</file>

<file path=word/header2.xml><?xml version="1.0" encoding="utf-8"?>
<w:hdr xmlns:w="http://schemas.openxmlformats.org/wordprocessingml/2006/main">
  <w:p>
    <w:pPr>
      <w:pStyle w:val="000012"/>
      <w:pBdr>
        <w:bottom w:val="none" w:color="000000" w:sz="0" w:space="1"/>
      </w:pBdr>
      <w:tabs>
        <w:tab w:val="clear" w:pos="4153"/>
        <w:tab w:val="clear" w:pos="8306"/>
      </w:tabs>
      <w:ind w:firstLine="0" w:firstLineChars="0"/>
      <w:jc w:val="center"/>
      <w:rPr>
        <w:rFonts w:hint="eastAsia" w:ascii="华文行楷" w:hAnsi="华文行楷" w:eastAsia="华文行楷" w:cs="华文行楷"/>
        <w:sz w:val="21"/>
        <w:szCs w:val="21"/>
      </w:rPr>
    </w:pPr>
    <w:r>
      <w:rPr>
        <w:rFonts w:hint="eastAsia" w:ascii="华文行楷" w:hAnsi="华文行楷" w:eastAsia="华文行楷" w:cs="华文行楷"/>
        <w:sz w:val="21"/>
        <w:szCs w:val="21"/>
      </w:rPr>
      <w:t>石柱土家族自治县林草产业发展规划（ 2026—2035 年）</w:t>
    </w:r>
  </w:p>
  <w:p>
    <w:pPr>
      <w:pStyle w:val="000002"/>
      <w:pBdr>
        <w:bottom w:val="single" w:color="000000" w:sz="4" w:space="0"/>
      </w:pBdr>
      <w:tabs>
        <w:tab w:val="left" w:leader="none" w:pos="4672"/>
      </w:tabs>
      <w:spacing w:line="14" w:lineRule="auto"/>
      <w:ind/>
      <w:rPr>
        <w:rFonts w:hint="eastAsia" w:eastAsia="宋体"/>
        <w:sz w:val="2"/>
        <w:lang w:eastAsia="zh-CN"/>
      </w:rPr>
    </w:pPr>
  </w:p>
</w:hdr>
</file>

<file path=word/header3.xml><?xml version="1.0" encoding="utf-8"?>
<w:hdr xmlns:w="http://schemas.openxmlformats.org/wordprocessingml/2006/main">
  <w:p>
    <w:pPr>
      <w:pStyle w:val="000012"/>
      <w:pBdr>
        <w:bottom w:val="single" w:color="000000" w:sz="4" w:space="1"/>
      </w:pBdr>
      <w:tabs>
        <w:tab w:val="clear" w:pos="4153"/>
        <w:tab w:val="clear" w:pos="8306"/>
      </w:tabs>
      <w:ind/>
      <w:jc w:val="right"/>
      <w:rPr>
        <w:lang w:val="en-US"/>
      </w:rPr>
    </w:pPr>
    <w:r>
      <w:rPr>
        <w:rFonts w:hint="eastAsia" w:ascii="华文行楷" w:hAnsi="华文行楷" w:eastAsia="华文行楷" w:cs="华文行楷"/>
        <w:sz w:val="21"/>
        <w:szCs w:val="21"/>
      </w:rPr>
      <w:fldChar w:fldCharType="begin"/>
    </w:r>
    <w:r>
      <w:rPr>
        <w:rFonts w:hint="eastAsia" w:ascii="华文行楷" w:hAnsi="华文行楷" w:eastAsia="华文行楷" w:cs="华文行楷"/>
        <w:sz w:val="21"/>
        <w:szCs w:val="21"/>
      </w:rPr>
      <w:instrText xml:space="preserve"> STYLEREF "标题 1" \n \* MERGEFORMAT </w:instrText>
    </w:r>
    <w:r>
      <w:rPr>
        <w:rFonts w:hint="eastAsia" w:ascii="华文行楷" w:hAnsi="华文行楷" w:eastAsia="华文行楷" w:cs="华文行楷"/>
        <w:sz w:val="21"/>
        <w:szCs w:val="21"/>
      </w:rPr>
      <w:fldChar w:fldCharType="separate"/>
    </w:r>
    <w:r>
      <w:rPr>
        <w:rFonts w:hint="eastAsia" w:ascii="华文行楷" w:hAnsi="华文行楷" w:eastAsia="华文行楷" w:cs="华文行楷"/>
        <w:sz w:val="21"/>
        <w:szCs w:val="21"/>
      </w:rPr>
      <w:t>0</w:t>
    </w:r>
    <w:r>
      <w:rPr>
        <w:rFonts w:hint="eastAsia" w:ascii="华文行楷" w:hAnsi="华文行楷" w:eastAsia="华文行楷" w:cs="华文行楷"/>
        <w:sz w:val="21"/>
        <w:szCs w:val="21"/>
      </w:rPr>
      <w:fldChar w:fldCharType="end"/>
    </w:r>
    <w:r>
      <w:rPr>
        <w:rFonts w:hint="eastAsia" w:ascii="华文行楷" w:hAnsi="华文行楷" w:eastAsia="华文行楷" w:cs="华文行楷"/>
        <w:sz w:val="21"/>
        <w:szCs w:val="21"/>
      </w:rPr>
      <w:fldChar w:fldCharType="begin"/>
    </w:r>
    <w:r>
      <w:rPr>
        <w:rFonts w:hint="eastAsia" w:ascii="华文行楷" w:hAnsi="华文行楷" w:eastAsia="华文行楷" w:cs="华文行楷"/>
        <w:sz w:val="21"/>
        <w:szCs w:val="21"/>
      </w:rPr>
      <w:instrText xml:space="preserve"> STYLEREF "标题 1"  \* MERGEFORMAT </w:instrText>
    </w:r>
    <w:r>
      <w:rPr>
        <w:rFonts w:hint="eastAsia" w:ascii="华文行楷" w:hAnsi="华文行楷" w:eastAsia="华文行楷" w:cs="华文行楷"/>
        <w:sz w:val="21"/>
        <w:szCs w:val="21"/>
      </w:rPr>
      <w:fldChar w:fldCharType="separate"/>
    </w:r>
    <w:r>
      <w:rPr>
        <w:rFonts w:hint="eastAsia" w:ascii="华文行楷" w:hAnsi="华文行楷" w:eastAsia="华文行楷" w:cs="华文行楷"/>
        <w:sz w:val="21"/>
        <w:szCs w:val="21"/>
      </w:rPr>
      <w:t>前 言</w:t>
    </w:r>
    <w:r>
      <w:rPr>
        <w:rFonts w:hint="eastAsia" w:ascii="华文行楷" w:hAnsi="华文行楷" w:eastAsia="华文行楷" w:cs="华文行楷"/>
        <w:sz w:val="21"/>
        <w:szCs w:val="21"/>
      </w:rPr>
      <w:fldChar w:fldCharType="end"/>
    </w:r>
  </w:p>
</w:hdr>
</file>

<file path=word/numbering.xml><?xml version="1.0" encoding="utf-8"?>
<w:numbering xmlns:w="http://schemas.openxmlformats.org/wordprocessingml/2006/main">
  <w:abstractNum w:abstractNumId="1">
    <w:nsid w:val="4F8BB202"/>
    <w:multiLevelType w:val="singleLevel"/>
    <w:tmpl w:val="4F8BB202"/>
    <w:lvl w:ilvl="0">
      <w:start w:val="1"/>
      <w:numFmt w:val="chineseCounting"/>
      <w:suff w:val="nothing"/>
      <w:lvlText w:val="（%1）"/>
      <w:lvlJc w:val="left"/>
      <w:pPr>
        <w:pStyle w:val="000001"/>
        <w:ind w:left="0" w:firstLine="420"/>
      </w:pPr>
      <w:rPr>
        <w:rFonts w:hint="eastAsia"/>
      </w:rPr>
    </w:lvl>
  </w:abstractNum>
  <w:abstractNum w:abstractNumId="2">
    <w:nsid w:val="59714C3B"/>
    <w:multiLevelType w:val="multilevel"/>
    <w:tmpl w:val="59714C3B"/>
    <w:lvl w:ilvl="0">
      <w:start w:val="1"/>
      <w:numFmt w:val="chineseCounting"/>
      <w:suff w:val="tab"/>
      <w:lvlText w:val="%1、"/>
      <w:lvlJc w:val="left"/>
      <w:pPr>
        <w:pStyle w:val="000001"/>
        <w:tabs>
          <w:tab w:val="num" w:leader="none" w:pos="567"/>
        </w:tabs>
        <w:ind w:left="1265" w:hanging="425"/>
      </w:pPr>
      <w:rPr>
        <w:rFonts w:hint="eastAsia"/>
      </w:rPr>
    </w:lvl>
    <w:lvl w:ilvl="3">
      <w:start w:val="1"/>
      <w:numFmt w:val="decimal"/>
      <w:suff w:val="tab"/>
      <w:lvlText w:val=""/>
      <w:lvlJc w:val="left"/>
      <w:pPr>
        <w:pStyle w:val="000001"/>
      </w:pPr>
      <w:rPr>
        <w:rFonts w:hint="eastAsia"/>
      </w:rPr>
    </w:lvl>
    <w:lvl w:ilvl="6">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1">
      <w:start w:val="1"/>
      <w:numFmt w:val="decimal"/>
      <w:suff w:val="tab"/>
      <w:lvlText w:val=""/>
      <w:lvlJc w:val="left"/>
      <w:pPr>
        <w:pStyle w:val="000001"/>
      </w:pPr>
      <w:rPr>
        <w:rFonts w:hint="eastAsia"/>
      </w:rPr>
    </w:lvl>
    <w:lvl w:ilvl="4">
      <w:start w:val="1"/>
      <w:numFmt w:val="decimal"/>
      <w:suff w:val="tab"/>
      <w:lvlText w:val=""/>
      <w:lvlJc w:val="left"/>
      <w:pPr>
        <w:pStyle w:val="000001"/>
      </w:pPr>
      <w:rPr>
        <w:rFonts w:hint="eastAsia"/>
      </w:rPr>
    </w:lvl>
    <w:lvl w:ilvl="2">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lvl w:ilvl="7">
      <w:start w:val="1"/>
      <w:numFmt w:val="decimal"/>
      <w:suff w:val="tab"/>
      <w:lvlText w:val=""/>
      <w:lvlJc w:val="left"/>
      <w:pPr>
        <w:pStyle w:val="000001"/>
      </w:pPr>
      <w:rPr>
        <w:rFonts w:hint="eastAsia"/>
      </w:rPr>
    </w:lvl>
  </w:abstractNum>
  <w:abstractNum w:abstractNumId="3">
    <w:nsid w:val="DFDF5166"/>
    <w:multiLevelType w:val="singleLevel"/>
    <w:tmpl w:val="DFDF5166"/>
    <w:lvl w:ilvl="0">
      <w:start w:val="1"/>
      <w:numFmt w:val="decimal"/>
      <w:suff w:val="tab"/>
      <w:lvlText w:val="%1."/>
      <w:lvlJc w:val="left"/>
      <w:pPr>
        <w:pStyle w:val="000001"/>
        <w:tabs/>
        <w:ind w:left="425" w:hanging="425"/>
      </w:pPr>
      <w:rPr/>
    </w:lvl>
  </w:abstractNum>
  <w:abstractNum w:abstractNumId="4">
    <w:nsid w:val="33647C59"/>
    <w:multiLevelType w:val="multilevel"/>
    <w:tmpl w:val="33647C59"/>
    <w:lvl w:ilvl="6">
      <w:start w:val="1"/>
      <w:numFmt w:val="decimal"/>
      <w:suff w:val="tab"/>
      <w:lvlText w:val=""/>
      <w:lvlJc w:val="left"/>
      <w:pPr>
        <w:pStyle w:val="000001"/>
        <w:ind w:left="757"/>
      </w:pPr>
      <w:rPr>
        <w:rFonts w:hint="eastAsia"/>
      </w:rPr>
    </w:lvl>
    <w:lvl w:ilvl="5">
      <w:start w:val="1"/>
      <w:numFmt w:val="decimal"/>
      <w:suff w:val="tab"/>
      <w:lvlText w:val=""/>
      <w:lvlJc w:val="left"/>
      <w:pPr>
        <w:pStyle w:val="000001"/>
        <w:ind w:left="757"/>
      </w:pPr>
      <w:rPr>
        <w:rFonts w:hint="eastAsia"/>
      </w:rPr>
    </w:lvl>
    <w:lvl w:ilvl="8">
      <w:start w:val="1"/>
      <w:numFmt w:val="decimal"/>
      <w:suff w:val="tab"/>
      <w:lvlText w:val=""/>
      <w:lvlJc w:val="left"/>
      <w:pPr>
        <w:pStyle w:val="000001"/>
        <w:ind w:left="757"/>
      </w:pPr>
      <w:rPr>
        <w:rFonts w:hint="eastAsia"/>
      </w:rPr>
    </w:lvl>
    <w:lvl w:ilvl="7">
      <w:start w:val="1"/>
      <w:numFmt w:val="decimal"/>
      <w:suff w:val="tab"/>
      <w:lvlText w:val=""/>
      <w:lvlJc w:val="left"/>
      <w:pPr>
        <w:pStyle w:val="000001"/>
        <w:ind w:left="757"/>
      </w:pPr>
      <w:rPr>
        <w:rFonts w:hint="eastAsia"/>
      </w:rPr>
    </w:lvl>
    <w:lvl w:ilvl="0">
      <w:start w:val="1"/>
      <w:numFmt w:val="chineseCounting"/>
      <w:suff w:val="nothing"/>
      <w:lvlText w:val="第%1节  "/>
      <w:lvlJc w:val="left"/>
      <w:pPr>
        <w:pStyle w:val="000001"/>
        <w:tabs>
          <w:tab w:val="num" w:leader="none" w:pos="0"/>
        </w:tabs>
        <w:ind w:left="757" w:firstLine="420"/>
      </w:pPr>
      <w:rPr>
        <w:rFonts w:hint="eastAsia"/>
      </w:rPr>
    </w:lvl>
    <w:lvl w:ilvl="1">
      <w:start w:val="1"/>
      <w:numFmt w:val="decimal"/>
      <w:suff w:val="tab"/>
      <w:lvlText w:val=""/>
      <w:lvlJc w:val="left"/>
      <w:pPr>
        <w:pStyle w:val="000001"/>
        <w:ind w:left="757"/>
      </w:pPr>
      <w:rPr>
        <w:rFonts w:hint="eastAsia"/>
      </w:rPr>
    </w:lvl>
    <w:lvl w:ilvl="2">
      <w:start w:val="1"/>
      <w:numFmt w:val="decimal"/>
      <w:suff w:val="tab"/>
      <w:lvlText w:val=""/>
      <w:lvlJc w:val="left"/>
      <w:pPr>
        <w:pStyle w:val="000001"/>
        <w:ind w:left="757"/>
      </w:pPr>
      <w:rPr>
        <w:rFonts w:hint="eastAsia"/>
      </w:rPr>
    </w:lvl>
    <w:lvl w:ilvl="3">
      <w:start w:val="1"/>
      <w:numFmt w:val="decimal"/>
      <w:suff w:val="tab"/>
      <w:lvlText w:val=""/>
      <w:lvlJc w:val="left"/>
      <w:pPr>
        <w:pStyle w:val="000001"/>
        <w:ind w:left="757"/>
      </w:pPr>
      <w:rPr>
        <w:rFonts w:hint="eastAsia"/>
      </w:rPr>
    </w:lvl>
    <w:lvl w:ilvl="4">
      <w:start w:val="1"/>
      <w:numFmt w:val="decimal"/>
      <w:suff w:val="tab"/>
      <w:lvlText w:val=""/>
      <w:lvlJc w:val="left"/>
      <w:pPr>
        <w:pStyle w:val="000001"/>
        <w:ind w:left="757"/>
      </w:pPr>
      <w:rPr>
        <w:rFonts w:hint="eastAsia"/>
      </w:rPr>
    </w:lvl>
  </w:abstractNum>
  <w:abstractNum w:abstractNumId="5">
    <w:nsid w:val="F5FF93E4"/>
    <w:multiLevelType w:val="singleLevel"/>
    <w:tmpl w:val="F5FF93E4"/>
    <w:lvl w:ilvl="0">
      <w:start w:val="1"/>
      <w:numFmt w:val="chineseCounting"/>
      <w:suff w:val="nothing"/>
      <w:lvlText w:val="（%1）"/>
      <w:lvlJc w:val="left"/>
      <w:pPr>
        <w:pStyle w:val="000001"/>
        <w:ind w:left="0" w:firstLine="420"/>
      </w:pPr>
      <w:rPr>
        <w:rFonts w:hint="eastAsia"/>
      </w:rPr>
    </w:lvl>
  </w:abstractNum>
  <w:abstractNum w:abstractNumId="6">
    <w:nsid w:val="E4BE1BC1"/>
    <w:multiLevelType w:val="multilevel"/>
    <w:tmpl w:val="E4BE1BC1"/>
    <w:lvl w:ilvl="4">
      <w:start w:val="1"/>
      <w:numFmt w:val="decimal"/>
      <w:suff w:val="tab"/>
      <w:lvlText w:val=""/>
      <w:lvlJc w:val="left"/>
      <w:pPr>
        <w:pStyle w:val="000001"/>
      </w:pPr>
      <w:rPr>
        <w:rFonts w:hint="eastAsia"/>
      </w:rPr>
    </w:lvl>
    <w:lvl w:ilvl="1">
      <w:start w:val="1"/>
      <w:numFmt w:val="decimal"/>
      <w:suff w:val="tab"/>
      <w:lvlText w:val=""/>
      <w:lvlJc w:val="left"/>
      <w:pPr>
        <w:pStyle w:val="000001"/>
      </w:pPr>
      <w:rPr>
        <w:rFonts w:hint="eastAsia"/>
      </w:rPr>
    </w:lvl>
    <w:lvl w:ilvl="2">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lvl w:ilvl="7">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lvl w:ilvl="6">
      <w:start w:val="1"/>
      <w:numFmt w:val="decimal"/>
      <w:suff w:val="tab"/>
      <w:lvlText w:val=""/>
      <w:lvlJc w:val="left"/>
      <w:pPr>
        <w:pStyle w:val="000001"/>
      </w:pPr>
      <w:rPr>
        <w:rFonts w:hint="eastAsia"/>
      </w:rPr>
    </w:lvl>
  </w:abstractNum>
  <w:abstractNum w:abstractNumId="7">
    <w:nsid w:val="EF86A122"/>
    <w:multiLevelType w:val="multilevel"/>
    <w:tmpl w:val="EF86A122"/>
    <w:lvl w:ilvl="7">
      <w:start w:val="1"/>
      <w:numFmt w:val="decimal"/>
      <w:suff w:val="tab"/>
      <w:lvlText w:val=""/>
      <w:lvlJc w:val="left"/>
      <w:pPr>
        <w:pStyle w:val="000001"/>
      </w:pPr>
      <w:rPr>
        <w:rFonts w:hint="eastAsia"/>
      </w:rPr>
    </w:lvl>
    <w:lvl w:ilvl="2">
      <w:start w:val="1"/>
      <w:numFmt w:val="decimal"/>
      <w:suff w:val="tab"/>
      <w:lvlText w:val=""/>
      <w:lvlJc w:val="left"/>
      <w:pPr>
        <w:pStyle w:val="000001"/>
      </w:pPr>
      <w:rPr>
        <w:rFonts w:hint="eastAsia"/>
      </w:rPr>
    </w:lvl>
    <w:lvl w:ilvl="6">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1">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lvl w:ilvl="5">
      <w:start w:val="1"/>
      <w:numFmt w:val="decimal"/>
      <w:suff w:val="tab"/>
      <w:lvlText w:val=""/>
      <w:lvlJc w:val="left"/>
      <w:pPr>
        <w:pStyle w:val="000001"/>
      </w:pPr>
      <w:rPr>
        <w:rFonts w:hint="eastAsia"/>
      </w:rPr>
    </w:lvl>
    <w:lvl w:ilvl="4">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abstractNum>
  <w:abstractNum w:abstractNumId="8">
    <w:nsid w:val="BBB46BF2"/>
    <w:multiLevelType w:val="multilevel"/>
    <w:tmpl w:val="BBB46BF2"/>
    <w:lvl w:ilvl="3">
      <w:start w:val="1"/>
      <w:numFmt w:val="decimal"/>
      <w:suff w:val="tab"/>
      <w:lvlText w:val=""/>
      <w:lvlJc w:val="left"/>
      <w:pPr>
        <w:pStyle w:val="000001"/>
        <w:ind w:left="757"/>
      </w:pPr>
      <w:rPr>
        <w:rFonts w:hint="eastAsia"/>
      </w:rPr>
    </w:lvl>
    <w:lvl w:ilvl="0">
      <w:start w:val="1"/>
      <w:numFmt w:val="chineseCounting"/>
      <w:suff w:val="nothing"/>
      <w:lvlText w:val="第%1节  "/>
      <w:lvlJc w:val="left"/>
      <w:pPr>
        <w:pStyle w:val="000001"/>
        <w:tabs>
          <w:tab w:val="num" w:leader="none" w:pos="0"/>
        </w:tabs>
        <w:ind w:left="757" w:firstLine="420"/>
      </w:pPr>
      <w:rPr>
        <w:rFonts w:hint="eastAsia"/>
      </w:rPr>
    </w:lvl>
    <w:lvl w:ilvl="2">
      <w:start w:val="1"/>
      <w:numFmt w:val="decimal"/>
      <w:suff w:val="tab"/>
      <w:lvlText w:val=""/>
      <w:lvlJc w:val="left"/>
      <w:pPr>
        <w:pStyle w:val="000001"/>
        <w:ind w:left="757"/>
      </w:pPr>
      <w:rPr>
        <w:rFonts w:hint="eastAsia"/>
      </w:rPr>
    </w:lvl>
    <w:lvl w:ilvl="4">
      <w:start w:val="1"/>
      <w:numFmt w:val="decimal"/>
      <w:suff w:val="tab"/>
      <w:lvlText w:val=""/>
      <w:lvlJc w:val="left"/>
      <w:pPr>
        <w:pStyle w:val="000001"/>
        <w:ind w:left="757"/>
      </w:pPr>
      <w:rPr>
        <w:rFonts w:hint="eastAsia"/>
      </w:rPr>
    </w:lvl>
    <w:lvl w:ilvl="5">
      <w:start w:val="1"/>
      <w:numFmt w:val="decimal"/>
      <w:suff w:val="tab"/>
      <w:lvlText w:val=""/>
      <w:lvlJc w:val="left"/>
      <w:pPr>
        <w:pStyle w:val="000001"/>
        <w:ind w:left="757"/>
      </w:pPr>
      <w:rPr>
        <w:rFonts w:hint="eastAsia"/>
      </w:rPr>
    </w:lvl>
    <w:lvl w:ilvl="6">
      <w:start w:val="1"/>
      <w:numFmt w:val="decimal"/>
      <w:suff w:val="tab"/>
      <w:lvlText w:val=""/>
      <w:lvlJc w:val="left"/>
      <w:pPr>
        <w:pStyle w:val="000001"/>
        <w:ind w:left="757"/>
      </w:pPr>
      <w:rPr>
        <w:rFonts w:hint="eastAsia"/>
      </w:rPr>
    </w:lvl>
    <w:lvl w:ilvl="8">
      <w:start w:val="1"/>
      <w:numFmt w:val="decimal"/>
      <w:suff w:val="tab"/>
      <w:lvlText w:val=""/>
      <w:lvlJc w:val="left"/>
      <w:pPr>
        <w:pStyle w:val="000001"/>
        <w:ind w:left="757"/>
      </w:pPr>
      <w:rPr>
        <w:rFonts w:hint="eastAsia"/>
      </w:rPr>
    </w:lvl>
    <w:lvl w:ilvl="7">
      <w:start w:val="1"/>
      <w:numFmt w:val="decimal"/>
      <w:suff w:val="tab"/>
      <w:lvlText w:val=""/>
      <w:lvlJc w:val="left"/>
      <w:pPr>
        <w:pStyle w:val="000001"/>
        <w:ind w:left="757"/>
      </w:pPr>
      <w:rPr>
        <w:rFonts w:hint="eastAsia"/>
      </w:rPr>
    </w:lvl>
    <w:lvl w:ilvl="1">
      <w:start w:val="1"/>
      <w:numFmt w:val="decimal"/>
      <w:suff w:val="tab"/>
      <w:lvlText w:val=""/>
      <w:lvlJc w:val="left"/>
      <w:pPr>
        <w:pStyle w:val="000001"/>
        <w:ind w:left="757"/>
      </w:pPr>
      <w:rPr>
        <w:rFonts w:hint="eastAsia"/>
      </w:rPr>
    </w:lvl>
  </w:abstractNum>
  <w:abstractNum w:abstractNumId="9">
    <w:nsid w:val="C338D16D"/>
    <w:multiLevelType w:val="singleLevel"/>
    <w:tmpl w:val="C338D16D"/>
    <w:lvl w:ilvl="0">
      <w:start w:val="1"/>
      <w:numFmt w:val="chineseCounting"/>
      <w:suff w:val="nothing"/>
      <w:lvlText w:val="（%1）"/>
      <w:lvlJc w:val="left"/>
      <w:pPr>
        <w:pStyle w:val="000001"/>
        <w:ind w:left="0" w:firstLine="420"/>
      </w:pPr>
      <w:rPr>
        <w:rFonts w:hint="eastAsia"/>
      </w:rPr>
    </w:lvl>
  </w:abstractNum>
  <w:abstractNum w:abstractNumId="10">
    <w:nsid w:val="8052A0F2"/>
    <w:multiLevelType w:val="singleLevel"/>
    <w:tmpl w:val="8052A0F2"/>
    <w:lvl w:ilvl="0">
      <w:start w:val="1"/>
      <w:numFmt w:val="decimal"/>
      <w:suff w:val="tab"/>
      <w:lvlText w:val="%1."/>
      <w:lvlJc w:val="left"/>
      <w:pPr>
        <w:pStyle w:val="000001"/>
        <w:tabs/>
        <w:ind w:left="425" w:hanging="425"/>
      </w:pPr>
      <w:rPr/>
    </w:lvl>
  </w:abstractNum>
  <w:abstractNum w:abstractNumId="11">
    <w:nsid w:val="83E9A713"/>
    <w:multiLevelType w:val="multilevel"/>
    <w:tmpl w:val="83E9A713"/>
    <w:lvl w:ilvl="2">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4">
      <w:start w:val="1"/>
      <w:numFmt w:val="decimal"/>
      <w:suff w:val="tab"/>
      <w:lvlText w:val=""/>
      <w:lvlJc w:val="left"/>
      <w:pPr>
        <w:pStyle w:val="000001"/>
      </w:pPr>
      <w:rPr>
        <w:rFonts w:hint="eastAsia"/>
      </w:rPr>
    </w:lvl>
    <w:lvl w:ilvl="6">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7">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lvl w:ilvl="1">
      <w:start w:val="1"/>
      <w:numFmt w:val="decimal"/>
      <w:suff w:val="tab"/>
      <w:lvlText w:val=""/>
      <w:lvlJc w:val="left"/>
      <w:pPr>
        <w:pStyle w:val="000001"/>
      </w:pPr>
      <w:rPr>
        <w:rFonts w:hint="eastAsia"/>
      </w:rPr>
    </w:lvl>
  </w:abstractNum>
  <w:abstractNum w:abstractNumId="12">
    <w:nsid w:val="EF901E86"/>
    <w:multiLevelType w:val="multilevel"/>
    <w:tmpl w:val="EF901E86"/>
    <w:lvl w:ilvl="0">
      <w:start w:val="1"/>
      <w:numFmt w:val="decimal"/>
      <w:suff w:val="tab"/>
      <w:lvlText w:val="%1"/>
      <w:lvlJc w:val="left"/>
      <w:pPr>
        <w:pStyle w:val="000001"/>
        <w:tabs>
          <w:tab w:val="num" w:leader="none" w:pos="0"/>
        </w:tabs>
        <w:ind w:left="420" w:hanging="420"/>
      </w:pPr>
    </w:lvl>
    <w:lvl w:ilvl="2">
      <w:start w:val="1"/>
      <w:numFmt w:val="decimal"/>
      <w:suff w:val="tab"/>
      <w:lvlText w:val="%1.%2.%3"/>
      <w:lvlJc w:val="left"/>
      <w:pPr>
        <w:pStyle w:val="000001"/>
        <w:tabs>
          <w:tab w:val="num" w:leader="none" w:pos="0"/>
        </w:tabs>
        <w:ind w:left="420" w:hanging="420"/>
      </w:pPr>
    </w:lvl>
    <w:lvl w:ilvl="3">
      <w:start w:val="1"/>
      <w:numFmt w:val="decimal"/>
      <w:suff w:val="tab"/>
      <w:lvlText w:val="%1.%2.%3.%4"/>
      <w:lvlJc w:val="left"/>
      <w:pPr>
        <w:pStyle w:val="000001"/>
        <w:tabs>
          <w:tab w:val="num" w:leader="none" w:pos="0"/>
        </w:tabs>
        <w:ind w:left="420" w:hanging="420"/>
      </w:pPr>
    </w:lvl>
    <w:lvl w:ilvl="4">
      <w:start w:val="1"/>
      <w:numFmt w:val="decimal"/>
      <w:suff w:val="tab"/>
      <w:lvlText w:val="%1.%2.%3.%4.%5."/>
      <w:lvlJc w:val="left"/>
      <w:pPr>
        <w:pStyle w:val="000001"/>
        <w:ind w:left="991" w:hanging="991"/>
      </w:pPr>
    </w:lvl>
    <w:lvl w:ilvl="5">
      <w:start w:val="1"/>
      <w:numFmt w:val="decimal"/>
      <w:suff w:val="tab"/>
      <w:lvlText w:val="%1.%2.%3.%4.%5.%6."/>
      <w:lvlJc w:val="left"/>
      <w:pPr>
        <w:pStyle w:val="000001"/>
        <w:ind w:left="1134" w:hanging="1134"/>
      </w:pPr>
    </w:lvl>
    <w:lvl w:ilvl="8">
      <w:start w:val="1"/>
      <w:numFmt w:val="decimal"/>
      <w:suff w:val="tab"/>
      <w:lvlText w:val="%1.%2.%3.%4.%5.%6.%7.%8.%9."/>
      <w:lvlJc w:val="left"/>
      <w:pPr>
        <w:pStyle w:val="000001"/>
        <w:ind w:left="1558" w:hanging="1558"/>
      </w:pPr>
    </w:lvl>
    <w:lvl w:ilvl="6">
      <w:start w:val="1"/>
      <w:numFmt w:val="decimal"/>
      <w:suff w:val="tab"/>
      <w:lvlText w:val="%1.%2.%3.%4.%5.%6.%7."/>
      <w:lvlJc w:val="left"/>
      <w:pPr>
        <w:pStyle w:val="000001"/>
        <w:ind w:left="1275" w:hanging="1275"/>
      </w:pPr>
    </w:lvl>
    <w:lvl w:ilvl="7">
      <w:start w:val="1"/>
      <w:numFmt w:val="decimal"/>
      <w:suff w:val="tab"/>
      <w:lvlText w:val="%1.%2.%3.%4.%5.%6.%7.%8."/>
      <w:lvlJc w:val="left"/>
      <w:pPr>
        <w:pStyle w:val="000001"/>
        <w:ind w:left="1418" w:hanging="1418"/>
      </w:pPr>
    </w:lvl>
    <w:lvl w:ilvl="1">
      <w:start w:val="1"/>
      <w:numFmt w:val="decimal"/>
      <w:suff w:val="tab"/>
      <w:lvlText w:val="%1.%2"/>
      <w:lvlJc w:val="left"/>
      <w:pPr>
        <w:pStyle w:val="000001"/>
        <w:tabs>
          <w:tab w:val="num" w:leader="none" w:pos="0"/>
        </w:tabs>
        <w:ind w:left="420" w:hanging="420"/>
      </w:pPr>
    </w:lvl>
  </w:abstractNum>
  <w:abstractNum w:abstractNumId="13">
    <w:nsid w:val="227A4492"/>
    <w:multiLevelType w:val="multilevel"/>
    <w:tmpl w:val="227A4492"/>
    <w:lvl w:ilvl="1">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lvl w:ilvl="2">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4">
      <w:start w:val="1"/>
      <w:numFmt w:val="decimal"/>
      <w:suff w:val="tab"/>
      <w:lvlText w:val=""/>
      <w:lvlJc w:val="left"/>
      <w:pPr>
        <w:pStyle w:val="000001"/>
      </w:pPr>
      <w:rPr>
        <w:rFonts w:hint="eastAsia"/>
      </w:rPr>
    </w:lvl>
    <w:lvl w:ilvl="6">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7">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abstractNum>
  <w:abstractNum w:abstractNumId="14">
    <w:nsid w:val="5B2B054E"/>
    <w:multiLevelType w:val="singleLevel"/>
    <w:tmpl w:val="5B2B054E"/>
    <w:lvl w:ilvl="0">
      <w:start w:val="1"/>
      <w:numFmt w:val="decimal"/>
      <w:suff w:val="tab"/>
      <w:lvlText w:val="%1."/>
      <w:lvlJc w:val="left"/>
      <w:pPr>
        <w:pStyle w:val="000001"/>
        <w:tabs>
          <w:tab w:val="num" w:leader="none" w:pos="0"/>
        </w:tabs>
        <w:ind w:left="425" w:hanging="425"/>
      </w:pPr>
      <w:rPr>
        <w:rFonts/>
      </w:rPr>
    </w:lvl>
  </w:abstractNum>
  <w:abstractNum w:abstractNumId="15">
    <w:nsid w:val="3BAE3233"/>
    <w:multiLevelType w:val="multilevel"/>
    <w:tmpl w:val="3BAE3233"/>
    <w:lvl w:ilvl="5">
      <w:start w:val="1"/>
      <w:numFmt w:val="decimal"/>
      <w:suff w:val="tab"/>
      <w:lvlText w:val=""/>
      <w:lvlJc w:val="left"/>
      <w:pPr>
        <w:pStyle w:val="000001"/>
        <w:ind w:left="757"/>
      </w:pPr>
      <w:rPr>
        <w:rFonts w:hint="eastAsia"/>
      </w:rPr>
    </w:lvl>
    <w:lvl w:ilvl="6">
      <w:start w:val="1"/>
      <w:numFmt w:val="decimal"/>
      <w:suff w:val="tab"/>
      <w:lvlText w:val=""/>
      <w:lvlJc w:val="left"/>
      <w:pPr>
        <w:pStyle w:val="000001"/>
        <w:ind w:left="757"/>
      </w:pPr>
      <w:rPr>
        <w:rFonts w:hint="eastAsia"/>
      </w:rPr>
    </w:lvl>
    <w:lvl w:ilvl="8">
      <w:start w:val="1"/>
      <w:numFmt w:val="decimal"/>
      <w:suff w:val="tab"/>
      <w:lvlText w:val=""/>
      <w:lvlJc w:val="left"/>
      <w:pPr>
        <w:pStyle w:val="000001"/>
        <w:ind w:left="757"/>
      </w:pPr>
      <w:rPr>
        <w:rFonts w:hint="eastAsia"/>
      </w:rPr>
    </w:lvl>
    <w:lvl w:ilvl="7">
      <w:start w:val="1"/>
      <w:numFmt w:val="decimal"/>
      <w:suff w:val="tab"/>
      <w:lvlText w:val=""/>
      <w:lvlJc w:val="left"/>
      <w:pPr>
        <w:pStyle w:val="000001"/>
        <w:ind w:left="757"/>
      </w:pPr>
      <w:rPr>
        <w:rFonts w:hint="eastAsia"/>
      </w:rPr>
    </w:lvl>
    <w:lvl w:ilvl="1">
      <w:start w:val="1"/>
      <w:numFmt w:val="decimal"/>
      <w:suff w:val="tab"/>
      <w:lvlText w:val=""/>
      <w:lvlJc w:val="left"/>
      <w:pPr>
        <w:pStyle w:val="000001"/>
        <w:ind w:left="757"/>
      </w:pPr>
      <w:rPr>
        <w:rFonts w:hint="eastAsia"/>
      </w:rPr>
    </w:lvl>
    <w:lvl w:ilvl="3">
      <w:start w:val="1"/>
      <w:numFmt w:val="decimal"/>
      <w:suff w:val="tab"/>
      <w:lvlText w:val=""/>
      <w:lvlJc w:val="left"/>
      <w:pPr>
        <w:pStyle w:val="000001"/>
        <w:ind w:left="757"/>
      </w:pPr>
      <w:rPr>
        <w:rFonts w:hint="eastAsia"/>
      </w:rPr>
    </w:lvl>
    <w:lvl w:ilvl="0">
      <w:start w:val="1"/>
      <w:numFmt w:val="chineseCounting"/>
      <w:suff w:val="nothing"/>
      <w:lvlText w:val="第%1节  "/>
      <w:lvlJc w:val="left"/>
      <w:pPr>
        <w:pStyle w:val="000001"/>
        <w:tabs>
          <w:tab w:val="num" w:leader="none" w:pos="0"/>
        </w:tabs>
        <w:ind w:left="757" w:firstLine="420"/>
      </w:pPr>
      <w:rPr>
        <w:rFonts w:hint="eastAsia"/>
      </w:rPr>
    </w:lvl>
    <w:lvl w:ilvl="2">
      <w:start w:val="1"/>
      <w:numFmt w:val="decimal"/>
      <w:suff w:val="tab"/>
      <w:lvlText w:val=""/>
      <w:lvlJc w:val="left"/>
      <w:pPr>
        <w:pStyle w:val="000001"/>
        <w:ind w:left="757"/>
      </w:pPr>
      <w:rPr>
        <w:rFonts w:hint="eastAsia"/>
      </w:rPr>
    </w:lvl>
    <w:lvl w:ilvl="4">
      <w:start w:val="1"/>
      <w:numFmt w:val="decimal"/>
      <w:suff w:val="tab"/>
      <w:lvlText w:val=""/>
      <w:lvlJc w:val="left"/>
      <w:pPr>
        <w:pStyle w:val="000001"/>
        <w:ind w:left="757"/>
      </w:pPr>
      <w:rPr>
        <w:rFonts w:hint="eastAsia"/>
      </w:rPr>
    </w:lvl>
  </w:abstractNum>
  <w:abstractNum w:abstractNumId="16">
    <w:nsid w:val="1A31C0C9"/>
    <w:multiLevelType w:val="multilevel"/>
    <w:tmpl w:val="1A31C0C9"/>
    <w:lvl w:ilvl="4">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lvl w:ilvl="2">
      <w:start w:val="1"/>
      <w:numFmt w:val="decimal"/>
      <w:suff w:val="tab"/>
      <w:lvlText w:val=""/>
      <w:lvlJc w:val="left"/>
      <w:pPr>
        <w:pStyle w:val="000001"/>
      </w:pPr>
      <w:rPr>
        <w:rFonts w:hint="eastAsia"/>
      </w:rPr>
    </w:lvl>
    <w:lvl w:ilvl="7">
      <w:start w:val="1"/>
      <w:numFmt w:val="decimal"/>
      <w:suff w:val="tab"/>
      <w:lvlText w:val=""/>
      <w:lvlJc w:val="left"/>
      <w:pPr>
        <w:pStyle w:val="000001"/>
      </w:pPr>
      <w:rPr>
        <w:rFonts w:hint="eastAsia"/>
      </w:rPr>
    </w:lvl>
    <w:lvl w:ilvl="6">
      <w:start w:val="1"/>
      <w:numFmt w:val="decimal"/>
      <w:suff w:val="tab"/>
      <w:lvlText w:val=""/>
      <w:lvlJc w:val="left"/>
      <w:pPr>
        <w:pStyle w:val="000001"/>
      </w:pPr>
      <w:rPr>
        <w:rFonts w:hint="eastAsia"/>
      </w:rPr>
    </w:lvl>
    <w:lvl w:ilvl="1">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abstractNum>
  <w:abstractNum w:abstractNumId="17">
    <w:nsid w:val="23C9942D"/>
    <w:multiLevelType w:val="multilevel"/>
    <w:tmpl w:val="23C9942D"/>
    <w:lvl w:ilvl="5">
      <w:start w:val="1"/>
      <w:numFmt w:val="decimal"/>
      <w:suff w:val="tab"/>
      <w:lvlText w:val=""/>
      <w:lvlJc w:val="left"/>
      <w:pPr>
        <w:pStyle w:val="000001"/>
        <w:ind w:left="757"/>
      </w:pPr>
      <w:rPr>
        <w:rFonts w:hint="eastAsia"/>
      </w:rPr>
    </w:lvl>
    <w:lvl w:ilvl="3">
      <w:start w:val="1"/>
      <w:numFmt w:val="decimal"/>
      <w:suff w:val="tab"/>
      <w:lvlText w:val=""/>
      <w:lvlJc w:val="left"/>
      <w:pPr>
        <w:pStyle w:val="000001"/>
        <w:ind w:left="757"/>
      </w:pPr>
      <w:rPr>
        <w:rFonts w:hint="eastAsia"/>
      </w:rPr>
    </w:lvl>
    <w:lvl w:ilvl="0">
      <w:start w:val="1"/>
      <w:numFmt w:val="chineseCounting"/>
      <w:suff w:val="nothing"/>
      <w:lvlText w:val="第%1节  "/>
      <w:lvlJc w:val="left"/>
      <w:pPr>
        <w:pStyle w:val="000001"/>
        <w:tabs>
          <w:tab w:val="num" w:leader="none" w:pos="0"/>
        </w:tabs>
        <w:ind w:left="757" w:firstLine="420"/>
      </w:pPr>
      <w:rPr>
        <w:rFonts w:hint="eastAsia"/>
      </w:rPr>
    </w:lvl>
    <w:lvl w:ilvl="4">
      <w:start w:val="1"/>
      <w:numFmt w:val="decimal"/>
      <w:suff w:val="tab"/>
      <w:lvlText w:val=""/>
      <w:lvlJc w:val="left"/>
      <w:pPr>
        <w:pStyle w:val="000001"/>
        <w:ind w:left="757"/>
      </w:pPr>
      <w:rPr>
        <w:rFonts w:hint="eastAsia"/>
      </w:rPr>
    </w:lvl>
    <w:lvl w:ilvl="8">
      <w:start w:val="1"/>
      <w:numFmt w:val="decimal"/>
      <w:suff w:val="tab"/>
      <w:lvlText w:val=""/>
      <w:lvlJc w:val="left"/>
      <w:pPr>
        <w:pStyle w:val="000001"/>
        <w:ind w:left="757"/>
      </w:pPr>
      <w:rPr>
        <w:rFonts w:hint="eastAsia"/>
      </w:rPr>
    </w:lvl>
    <w:lvl w:ilvl="2">
      <w:start w:val="1"/>
      <w:numFmt w:val="decimal"/>
      <w:suff w:val="tab"/>
      <w:lvlText w:val=""/>
      <w:lvlJc w:val="left"/>
      <w:pPr>
        <w:pStyle w:val="000001"/>
        <w:ind w:left="757"/>
      </w:pPr>
      <w:rPr>
        <w:rFonts w:hint="eastAsia"/>
      </w:rPr>
    </w:lvl>
    <w:lvl w:ilvl="7">
      <w:start w:val="1"/>
      <w:numFmt w:val="decimal"/>
      <w:suff w:val="tab"/>
      <w:lvlText w:val=""/>
      <w:lvlJc w:val="left"/>
      <w:pPr>
        <w:pStyle w:val="000001"/>
        <w:ind w:left="757"/>
      </w:pPr>
      <w:rPr>
        <w:rFonts w:hint="eastAsia"/>
      </w:rPr>
    </w:lvl>
    <w:lvl w:ilvl="6">
      <w:start w:val="1"/>
      <w:numFmt w:val="decimal"/>
      <w:suff w:val="tab"/>
      <w:lvlText w:val=""/>
      <w:lvlJc w:val="left"/>
      <w:pPr>
        <w:pStyle w:val="000001"/>
        <w:ind w:left="757"/>
      </w:pPr>
      <w:rPr>
        <w:rFonts w:hint="eastAsia"/>
      </w:rPr>
    </w:lvl>
    <w:lvl w:ilvl="1">
      <w:start w:val="1"/>
      <w:numFmt w:val="decimal"/>
      <w:suff w:val="tab"/>
      <w:lvlText w:val=""/>
      <w:lvlJc w:val="left"/>
      <w:pPr>
        <w:pStyle w:val="000001"/>
        <w:ind w:left="757"/>
      </w:pPr>
      <w:rPr>
        <w:rFonts w:hint="eastAsia"/>
      </w:rPr>
    </w:lvl>
  </w:abstractNum>
  <w:abstractNum w:abstractNumId="18">
    <w:nsid w:val="CC35C111"/>
    <w:multiLevelType w:val="singleLevel"/>
    <w:tmpl w:val="CC35C111"/>
    <w:lvl w:ilvl="0">
      <w:start w:val="1"/>
      <w:numFmt w:val="chineseCounting"/>
      <w:suff w:val="tab"/>
      <w:lvlText w:val="第%1章  "/>
      <w:lvlJc w:val="left"/>
      <w:pPr>
        <w:pStyle w:val="000001"/>
        <w:tabs>
          <w:tab w:val="num" w:leader="none" w:pos="420"/>
        </w:tabs>
        <w:ind w:left="0" w:firstLine="420"/>
      </w:pPr>
      <w:rPr>
        <w:rFonts w:hint="eastAsia" w:eastAsia="方正小标宋_GBK"/>
        <w:sz w:val="44"/>
      </w:rPr>
    </w:lvl>
  </w:abstractNum>
  <w:abstractNum w:abstractNumId="19">
    <w:nsid w:val="848BDCF5"/>
    <w:multiLevelType w:val="multilevel"/>
    <w:tmpl w:val="848BDCF5"/>
    <w:lvl w:ilvl="0">
      <w:start w:val="1"/>
      <w:numFmt w:val="chineseCounting"/>
      <w:suff w:val="tab"/>
      <w:lvlText w:val="%1、"/>
      <w:lvlJc w:val="left"/>
      <w:pPr>
        <w:pStyle w:val="000001"/>
        <w:tabs>
          <w:tab w:val="num" w:leader="none" w:pos="567"/>
        </w:tabs>
        <w:ind w:left="1265" w:hanging="425"/>
      </w:pPr>
      <w:rPr>
        <w:rFonts/>
      </w:rPr>
    </w:lvl>
    <w:lvl w:ilvl="6">
      <w:start w:val="1"/>
      <w:numFmt w:val="decimal"/>
      <w:suff w:val="tab"/>
      <w:lvlText w:val=""/>
      <w:lvlJc w:val="left"/>
      <w:pPr>
        <w:pStyle w:val="000001"/>
        <w:ind w:left="0" w:firstLine="0"/>
      </w:pPr>
      <w:rPr>
        <w:rFonts/>
      </w:rPr>
    </w:lvl>
    <w:lvl w:ilvl="2">
      <w:start w:val="1"/>
      <w:numFmt w:val="decimal"/>
      <w:suff w:val="tab"/>
      <w:lvlText w:val=""/>
      <w:lvlJc w:val="left"/>
      <w:pPr>
        <w:pStyle w:val="000001"/>
        <w:ind w:left="0" w:firstLine="0"/>
      </w:pPr>
      <w:rPr>
        <w:rFonts/>
      </w:rPr>
    </w:lvl>
    <w:lvl w:ilvl="7">
      <w:start w:val="1"/>
      <w:numFmt w:val="decimal"/>
      <w:suff w:val="tab"/>
      <w:lvlText w:val=""/>
      <w:lvlJc w:val="left"/>
      <w:pPr>
        <w:pStyle w:val="000001"/>
        <w:ind w:left="0" w:firstLine="0"/>
      </w:pPr>
      <w:rPr>
        <w:rFonts/>
      </w:rPr>
    </w:lvl>
    <w:lvl w:ilvl="8">
      <w:start w:val="1"/>
      <w:numFmt w:val="decimal"/>
      <w:suff w:val="tab"/>
      <w:lvlText w:val=""/>
      <w:lvlJc w:val="left"/>
      <w:pPr>
        <w:pStyle w:val="000001"/>
        <w:ind w:left="0" w:firstLine="0"/>
      </w:pPr>
      <w:rPr>
        <w:rFonts/>
      </w:rPr>
    </w:lvl>
    <w:lvl w:ilvl="5">
      <w:start w:val="1"/>
      <w:numFmt w:val="decimal"/>
      <w:suff w:val="tab"/>
      <w:lvlText w:val=""/>
      <w:lvlJc w:val="left"/>
      <w:pPr>
        <w:pStyle w:val="000001"/>
        <w:ind w:left="0" w:firstLine="0"/>
      </w:pPr>
      <w:rPr>
        <w:rFonts/>
      </w:rPr>
    </w:lvl>
    <w:lvl w:ilvl="3">
      <w:start w:val="1"/>
      <w:numFmt w:val="decimal"/>
      <w:suff w:val="tab"/>
      <w:lvlText w:val=""/>
      <w:lvlJc w:val="left"/>
      <w:pPr>
        <w:pStyle w:val="000001"/>
        <w:ind w:left="0" w:firstLine="0"/>
      </w:pPr>
      <w:rPr>
        <w:rFonts/>
      </w:rPr>
    </w:lvl>
    <w:lvl w:ilvl="1">
      <w:start w:val="1"/>
      <w:numFmt w:val="decimal"/>
      <w:suff w:val="tab"/>
      <w:lvlText w:val=""/>
      <w:lvlJc w:val="left"/>
      <w:pPr>
        <w:pStyle w:val="000001"/>
        <w:ind w:left="0" w:firstLine="0"/>
      </w:pPr>
      <w:rPr>
        <w:rFonts/>
      </w:rPr>
    </w:lvl>
    <w:lvl w:ilvl="4">
      <w:start w:val="1"/>
      <w:numFmt w:val="decimal"/>
      <w:suff w:val="tab"/>
      <w:lvlText w:val=""/>
      <w:lvlJc w:val="left"/>
      <w:pPr>
        <w:pStyle w:val="000001"/>
        <w:ind w:left="0" w:firstLine="0"/>
      </w:pPr>
      <w:rPr>
        <w:rFonts/>
      </w:rPr>
    </w:lvl>
  </w:abstractNum>
  <w:abstractNum w:abstractNumId="20">
    <w:nsid w:val="A5984D6F"/>
    <w:multiLevelType w:val="multilevel"/>
    <w:tmpl w:val="A5984D6F"/>
    <w:lvl w:ilvl="7">
      <w:start w:val="1"/>
      <w:numFmt w:val="decimal"/>
      <w:suff w:val="tab"/>
      <w:lvlText w:val=""/>
      <w:lvlJc w:val="left"/>
      <w:pPr>
        <w:pStyle w:val="000001"/>
      </w:pPr>
      <w:rPr>
        <w:rFonts w:hint="eastAsia"/>
      </w:rPr>
    </w:lvl>
    <w:lvl w:ilvl="8">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2">
      <w:start w:val="1"/>
      <w:numFmt w:val="decimal"/>
      <w:suff w:val="tab"/>
      <w:lvlText w:val=""/>
      <w:lvlJc w:val="left"/>
      <w:pPr>
        <w:pStyle w:val="000001"/>
      </w:pPr>
      <w:rPr>
        <w:rFonts w:hint="eastAsia"/>
      </w:rPr>
    </w:lvl>
    <w:lvl w:ilvl="6">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lvl w:ilvl="4">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1">
      <w:start w:val="1"/>
      <w:numFmt w:val="decimal"/>
      <w:suff w:val="tab"/>
      <w:lvlText w:val=""/>
      <w:lvlJc w:val="left"/>
      <w:pPr>
        <w:pStyle w:val="000001"/>
      </w:pPr>
      <w:rPr>
        <w:rFonts w:hint="eastAsia"/>
      </w:rPr>
    </w:lvl>
  </w:abstractNum>
  <w:abstractNum w:abstractNumId="21">
    <w:nsid w:val="19DC8955"/>
    <w:multiLevelType w:val="multilevel"/>
    <w:tmpl w:val="19DC8955"/>
    <w:lvl w:ilvl="6">
      <w:start w:val="1"/>
      <w:numFmt w:val="decimal"/>
      <w:suff w:val="tab"/>
      <w:lvlText w:val="%1.%2.%3.%4.%5.%6.%7."/>
      <w:lvlJc w:val="left"/>
      <w:pPr>
        <w:pStyle w:val="000001"/>
        <w:ind w:left="1275" w:hanging="1275"/>
      </w:pPr>
    </w:lvl>
    <w:lvl w:ilvl="4">
      <w:start w:val="1"/>
      <w:numFmt w:val="decimal"/>
      <w:suff w:val="tab"/>
      <w:lvlText w:val="%1.%2.%3.%4.%5."/>
      <w:lvlJc w:val="left"/>
      <w:pPr>
        <w:pStyle w:val="000001"/>
        <w:ind w:left="991" w:hanging="991"/>
      </w:pPr>
    </w:lvl>
    <w:lvl w:ilvl="5">
      <w:start w:val="1"/>
      <w:numFmt w:val="decimal"/>
      <w:suff w:val="tab"/>
      <w:lvlText w:val="%1.%2.%3.%4.%5.%6."/>
      <w:lvlJc w:val="left"/>
      <w:pPr>
        <w:pStyle w:val="000001"/>
        <w:ind w:left="1134" w:hanging="1134"/>
      </w:pPr>
    </w:lvl>
    <w:lvl w:ilvl="2">
      <w:start w:val="1"/>
      <w:numFmt w:val="decimal"/>
      <w:suff w:val="tab"/>
      <w:lvlText w:val="%1.%2.%3"/>
      <w:lvlJc w:val="left"/>
      <w:pPr>
        <w:pStyle w:val="000001"/>
        <w:tabs>
          <w:tab w:val="num" w:leader="none" w:pos="0"/>
        </w:tabs>
        <w:ind w:left="420" w:hanging="420"/>
      </w:pPr>
    </w:lvl>
    <w:lvl w:ilvl="0">
      <w:start w:val="1"/>
      <w:numFmt w:val="decimal"/>
      <w:suff w:val="tab"/>
      <w:lvlText w:val="%1"/>
      <w:lvlJc w:val="left"/>
      <w:pPr>
        <w:pStyle w:val="000001"/>
        <w:tabs>
          <w:tab w:val="num" w:leader="none" w:pos="0"/>
        </w:tabs>
        <w:ind w:left="420" w:hanging="420"/>
      </w:pPr>
    </w:lvl>
    <w:lvl w:ilvl="1">
      <w:start w:val="1"/>
      <w:numFmt w:val="decimal"/>
      <w:suff w:val="tab"/>
      <w:lvlText w:val="%1.%2"/>
      <w:lvlJc w:val="left"/>
      <w:pPr>
        <w:pStyle w:val="000001"/>
        <w:tabs>
          <w:tab w:val="num" w:leader="none" w:pos="0"/>
        </w:tabs>
        <w:ind w:left="420" w:hanging="420"/>
      </w:pPr>
    </w:lvl>
    <w:lvl w:ilvl="7">
      <w:start w:val="1"/>
      <w:numFmt w:val="decimal"/>
      <w:suff w:val="tab"/>
      <w:lvlText w:val="%1.%2.%3.%4.%5.%6.%7.%8."/>
      <w:lvlJc w:val="left"/>
      <w:pPr>
        <w:pStyle w:val="000001"/>
        <w:ind w:left="1418" w:hanging="1418"/>
      </w:pPr>
    </w:lvl>
    <w:lvl w:ilvl="3">
      <w:start w:val="1"/>
      <w:numFmt w:val="decimal"/>
      <w:suff w:val="tab"/>
      <w:lvlText w:val="%1.%2.%3.%4"/>
      <w:lvlJc w:val="left"/>
      <w:pPr>
        <w:pStyle w:val="000001"/>
        <w:tabs>
          <w:tab w:val="num" w:leader="none" w:pos="0"/>
        </w:tabs>
        <w:ind w:left="420" w:hanging="420"/>
      </w:pPr>
    </w:lvl>
    <w:lvl w:ilvl="8">
      <w:start w:val="1"/>
      <w:numFmt w:val="decimal"/>
      <w:suff w:val="tab"/>
      <w:lvlText w:val="%1.%2.%3.%4.%5.%6.%7.%8.%9."/>
      <w:lvlJc w:val="left"/>
      <w:pPr>
        <w:pStyle w:val="000001"/>
        <w:ind w:left="1558" w:hanging="1558"/>
      </w:pPr>
    </w:lvl>
  </w:abstractNum>
  <w:abstractNum w:abstractNumId="22">
    <w:nsid w:val="2AA75A2E"/>
    <w:multiLevelType w:val="singleLevel"/>
    <w:tmpl w:val="2AA75A2E"/>
    <w:lvl w:ilvl="0">
      <w:start w:val="1"/>
      <w:numFmt w:val="decimal"/>
      <w:suff w:val="tab"/>
      <w:lvlText w:val="%1."/>
      <w:lvlJc w:val="left"/>
      <w:pPr>
        <w:pStyle w:val="000001"/>
        <w:tabs/>
        <w:ind w:left="425" w:hanging="425"/>
      </w:pPr>
      <w:rPr/>
    </w:lvl>
  </w:abstractNum>
  <w:abstractNum w:abstractNumId="23">
    <w:nsid w:val="625DC13A"/>
    <w:multiLevelType w:val="singleLevel"/>
    <w:tmpl w:val="625DC13A"/>
    <w:lvl w:ilvl="0">
      <w:start w:val="1"/>
      <w:numFmt w:val="chineseCounting"/>
      <w:suff w:val="nothing"/>
      <w:lvlText w:val="（%1）"/>
      <w:lvlJc w:val="left"/>
      <w:pPr>
        <w:pStyle w:val="000001"/>
        <w:ind w:left="0" w:firstLine="420"/>
      </w:pPr>
      <w:rPr>
        <w:rFonts w:hint="eastAsia"/>
      </w:rPr>
    </w:lvl>
  </w:abstractNum>
  <w:abstractNum w:abstractNumId="24">
    <w:nsid w:val="053D06F1"/>
    <w:multiLevelType w:val="multilevel"/>
    <w:tmpl w:val="053D06F1"/>
    <w:lvl w:ilvl="8">
      <w:start w:val="1"/>
      <w:numFmt w:val="decimal"/>
      <w:suff w:val="tab"/>
      <w:lvlText w:val=""/>
      <w:lvlJc w:val="left"/>
      <w:pPr>
        <w:pStyle w:val="000001"/>
        <w:ind w:left="757"/>
      </w:pPr>
      <w:rPr>
        <w:rFonts w:hint="eastAsia"/>
      </w:rPr>
    </w:lvl>
    <w:lvl w:ilvl="6">
      <w:start w:val="1"/>
      <w:numFmt w:val="decimal"/>
      <w:suff w:val="tab"/>
      <w:lvlText w:val=""/>
      <w:lvlJc w:val="left"/>
      <w:pPr>
        <w:pStyle w:val="000001"/>
        <w:ind w:left="757"/>
      </w:pPr>
      <w:rPr>
        <w:rFonts w:hint="eastAsia"/>
      </w:rPr>
    </w:lvl>
    <w:lvl w:ilvl="0">
      <w:start w:val="1"/>
      <w:numFmt w:val="chineseCounting"/>
      <w:suff w:val="nothing"/>
      <w:lvlText w:val="第%1节  "/>
      <w:lvlJc w:val="left"/>
      <w:pPr>
        <w:pStyle w:val="000001"/>
        <w:tabs>
          <w:tab w:val="num" w:leader="none" w:pos="0"/>
        </w:tabs>
        <w:ind w:left="757" w:firstLine="420"/>
      </w:pPr>
      <w:rPr>
        <w:rFonts w:hint="eastAsia"/>
      </w:rPr>
    </w:lvl>
    <w:lvl w:ilvl="3">
      <w:start w:val="1"/>
      <w:numFmt w:val="decimal"/>
      <w:suff w:val="tab"/>
      <w:lvlText w:val=""/>
      <w:lvlJc w:val="left"/>
      <w:pPr>
        <w:pStyle w:val="000001"/>
        <w:ind w:left="757"/>
      </w:pPr>
      <w:rPr>
        <w:rFonts w:hint="eastAsia"/>
      </w:rPr>
    </w:lvl>
    <w:lvl w:ilvl="1">
      <w:start w:val="1"/>
      <w:numFmt w:val="decimal"/>
      <w:suff w:val="tab"/>
      <w:lvlText w:val=""/>
      <w:lvlJc w:val="left"/>
      <w:pPr>
        <w:pStyle w:val="000001"/>
        <w:ind w:left="757"/>
      </w:pPr>
      <w:rPr>
        <w:rFonts w:hint="eastAsia"/>
      </w:rPr>
    </w:lvl>
    <w:lvl w:ilvl="2">
      <w:start w:val="1"/>
      <w:numFmt w:val="decimal"/>
      <w:suff w:val="tab"/>
      <w:lvlText w:val=""/>
      <w:lvlJc w:val="left"/>
      <w:pPr>
        <w:pStyle w:val="000001"/>
        <w:ind w:left="757"/>
      </w:pPr>
      <w:rPr>
        <w:rFonts w:hint="eastAsia"/>
      </w:rPr>
    </w:lvl>
    <w:lvl w:ilvl="4">
      <w:start w:val="1"/>
      <w:numFmt w:val="decimal"/>
      <w:suff w:val="tab"/>
      <w:lvlText w:val=""/>
      <w:lvlJc w:val="left"/>
      <w:pPr>
        <w:pStyle w:val="000001"/>
        <w:ind w:left="757"/>
      </w:pPr>
      <w:rPr>
        <w:rFonts w:hint="eastAsia"/>
      </w:rPr>
    </w:lvl>
    <w:lvl w:ilvl="5">
      <w:start w:val="1"/>
      <w:numFmt w:val="decimal"/>
      <w:suff w:val="tab"/>
      <w:lvlText w:val=""/>
      <w:lvlJc w:val="left"/>
      <w:pPr>
        <w:pStyle w:val="000001"/>
        <w:ind w:left="757"/>
      </w:pPr>
      <w:rPr>
        <w:rFonts w:hint="eastAsia"/>
      </w:rPr>
    </w:lvl>
    <w:lvl w:ilvl="7">
      <w:start w:val="1"/>
      <w:numFmt w:val="decimal"/>
      <w:suff w:val="tab"/>
      <w:lvlText w:val=""/>
      <w:lvlJc w:val="left"/>
      <w:pPr>
        <w:pStyle w:val="000001"/>
        <w:ind w:left="757"/>
      </w:pPr>
      <w:rPr>
        <w:rFonts w:hint="eastAsia"/>
      </w:rPr>
    </w:lvl>
  </w:abstractNum>
  <w:abstractNum w:abstractNumId="25">
    <w:nsid w:val="077E7BC9"/>
    <w:multiLevelType w:val="singleLevel"/>
    <w:tmpl w:val="077E7BC9"/>
    <w:lvl w:ilvl="0">
      <w:start w:val="1"/>
      <w:numFmt w:val="chineseCounting"/>
      <w:suff w:val="nothing"/>
      <w:lvlText w:val="（%1）"/>
      <w:lvlJc w:val="left"/>
      <w:pPr>
        <w:pStyle w:val="000001"/>
        <w:ind w:left="0" w:firstLine="420"/>
      </w:pPr>
      <w:rPr>
        <w:rFonts w:hint="eastAsia"/>
      </w:rPr>
    </w:lvl>
  </w:abstractNum>
  <w:abstractNum w:abstractNumId="26">
    <w:nsid w:val="9E43E929"/>
    <w:multiLevelType w:val="singleLevel"/>
    <w:tmpl w:val="9E43E929"/>
    <w:lvl w:ilvl="0">
      <w:start w:val="1"/>
      <w:numFmt w:val="chineseCounting"/>
      <w:suff w:val="nothing"/>
      <w:lvlText w:val="（%1）"/>
      <w:lvlJc w:val="left"/>
      <w:pPr>
        <w:pStyle w:val="000001"/>
        <w:ind w:left="0" w:firstLine="420"/>
      </w:pPr>
      <w:rPr>
        <w:rFonts w:hint="eastAsia"/>
      </w:rPr>
    </w:lvl>
  </w:abstractNum>
  <w:abstractNum w:abstractNumId="27">
    <w:nsid w:val="821AE48D"/>
    <w:multiLevelType w:val="multilevel"/>
    <w:tmpl w:val="821AE48D"/>
    <w:lvl w:ilvl="2">
      <w:start w:val="1"/>
      <w:numFmt w:val="decimal"/>
      <w:suff w:val="tab"/>
      <w:lvlText w:val="%1.%2.%3"/>
      <w:lvlJc w:val="left"/>
      <w:pPr>
        <w:pStyle w:val="000001"/>
        <w:tabs>
          <w:tab w:val="num" w:leader="none" w:pos="0"/>
        </w:tabs>
        <w:ind w:left="420" w:hanging="420"/>
      </w:pPr>
    </w:lvl>
    <w:lvl w:ilvl="4">
      <w:start w:val="1"/>
      <w:numFmt w:val="decimal"/>
      <w:suff w:val="tab"/>
      <w:lvlText w:val="%1.%2.%3.%4.%5."/>
      <w:lvlJc w:val="left"/>
      <w:pPr>
        <w:pStyle w:val="000001"/>
        <w:ind w:left="991" w:hanging="991"/>
      </w:pPr>
    </w:lvl>
    <w:lvl w:ilvl="5">
      <w:start w:val="1"/>
      <w:numFmt w:val="decimal"/>
      <w:suff w:val="tab"/>
      <w:lvlText w:val="%1.%2.%3.%4.%5.%6."/>
      <w:lvlJc w:val="left"/>
      <w:pPr>
        <w:pStyle w:val="000001"/>
        <w:ind w:left="1134" w:hanging="1134"/>
      </w:pPr>
    </w:lvl>
    <w:lvl w:ilvl="7">
      <w:start w:val="1"/>
      <w:numFmt w:val="decimal"/>
      <w:suff w:val="tab"/>
      <w:lvlText w:val="%1.%2.%3.%4.%5.%6.%7.%8."/>
      <w:lvlJc w:val="left"/>
      <w:pPr>
        <w:pStyle w:val="000001"/>
        <w:ind w:left="1418" w:hanging="1418"/>
      </w:pPr>
    </w:lvl>
    <w:lvl w:ilvl="0">
      <w:start w:val="1"/>
      <w:numFmt w:val="decimal"/>
      <w:suff w:val="tab"/>
      <w:lvlText w:val="%1"/>
      <w:lvlJc w:val="left"/>
      <w:pPr>
        <w:pStyle w:val="000001"/>
        <w:tabs>
          <w:tab w:val="num" w:leader="none" w:pos="0"/>
        </w:tabs>
        <w:ind w:left="420" w:hanging="420"/>
      </w:pPr>
    </w:lvl>
    <w:lvl w:ilvl="6">
      <w:start w:val="1"/>
      <w:numFmt w:val="decimal"/>
      <w:suff w:val="tab"/>
      <w:lvlText w:val="%1.%2.%3.%4.%5.%6.%7."/>
      <w:lvlJc w:val="left"/>
      <w:pPr>
        <w:pStyle w:val="000001"/>
        <w:ind w:left="1275" w:hanging="1275"/>
      </w:pPr>
    </w:lvl>
    <w:lvl w:ilvl="8">
      <w:start w:val="1"/>
      <w:numFmt w:val="decimal"/>
      <w:suff w:val="tab"/>
      <w:lvlText w:val="%1.%2.%3.%4.%5.%6.%7.%8.%9."/>
      <w:lvlJc w:val="left"/>
      <w:pPr>
        <w:pStyle w:val="000001"/>
        <w:ind w:left="1558" w:hanging="1558"/>
      </w:pPr>
    </w:lvl>
    <w:lvl w:ilvl="1">
      <w:start w:val="1"/>
      <w:numFmt w:val="decimal"/>
      <w:suff w:val="tab"/>
      <w:lvlText w:val="%1.%2"/>
      <w:lvlJc w:val="left"/>
      <w:pPr>
        <w:pStyle w:val="000001"/>
        <w:tabs>
          <w:tab w:val="num" w:leader="none" w:pos="0"/>
        </w:tabs>
        <w:ind w:left="420" w:hanging="420"/>
      </w:pPr>
    </w:lvl>
    <w:lvl w:ilvl="3">
      <w:start w:val="1"/>
      <w:numFmt w:val="decimal"/>
      <w:suff w:val="tab"/>
      <w:lvlText w:val="%1.%2.%3.%4"/>
      <w:lvlJc w:val="left"/>
      <w:pPr>
        <w:pStyle w:val="000001"/>
        <w:tabs>
          <w:tab w:val="num" w:leader="none" w:pos="0"/>
        </w:tabs>
        <w:ind w:left="420" w:hanging="420"/>
      </w:pPr>
    </w:lvl>
  </w:abstractNum>
  <w:abstractNum w:abstractNumId="28">
    <w:nsid w:val="02822A15"/>
    <w:multiLevelType w:val="multilevel"/>
    <w:tmpl w:val="02822A15"/>
    <w:lvl w:ilvl="6">
      <w:start w:val="1"/>
      <w:numFmt w:val="decimal"/>
      <w:suff w:val="tab"/>
      <w:lvlText w:val=""/>
      <w:lvlJc w:val="left"/>
      <w:pPr>
        <w:pStyle w:val="000001"/>
      </w:pPr>
      <w:rPr>
        <w:rFonts w:hint="eastAsia"/>
      </w:rPr>
    </w:lvl>
    <w:lvl w:ilvl="0">
      <w:start w:val="1"/>
      <w:numFmt w:val="chineseCounting"/>
      <w:suff w:val="tab"/>
      <w:lvlText w:val="%1、"/>
      <w:lvlJc w:val="left"/>
      <w:pPr>
        <w:pStyle w:val="000001"/>
        <w:tabs>
          <w:tab w:val="num" w:leader="none" w:pos="567"/>
        </w:tabs>
        <w:ind w:left="1265" w:hanging="425"/>
      </w:pPr>
      <w:rPr>
        <w:rFonts w:hint="eastAsia"/>
      </w:rPr>
    </w:lvl>
    <w:lvl w:ilvl="8">
      <w:start w:val="1"/>
      <w:numFmt w:val="decimal"/>
      <w:suff w:val="tab"/>
      <w:lvlText w:val=""/>
      <w:lvlJc w:val="left"/>
      <w:pPr>
        <w:pStyle w:val="000001"/>
      </w:pPr>
      <w:rPr>
        <w:rFonts w:hint="eastAsia"/>
      </w:rPr>
    </w:lvl>
    <w:lvl w:ilvl="1">
      <w:start w:val="1"/>
      <w:numFmt w:val="decimal"/>
      <w:suff w:val="tab"/>
      <w:lvlText w:val=""/>
      <w:lvlJc w:val="left"/>
      <w:pPr>
        <w:pStyle w:val="000001"/>
      </w:pPr>
      <w:rPr>
        <w:rFonts w:hint="eastAsia"/>
      </w:rPr>
    </w:lvl>
    <w:lvl w:ilvl="3">
      <w:start w:val="1"/>
      <w:numFmt w:val="decimal"/>
      <w:suff w:val="tab"/>
      <w:lvlText w:val=""/>
      <w:lvlJc w:val="left"/>
      <w:pPr>
        <w:pStyle w:val="000001"/>
      </w:pPr>
      <w:rPr>
        <w:rFonts w:hint="eastAsia"/>
      </w:rPr>
    </w:lvl>
    <w:lvl w:ilvl="4">
      <w:start w:val="1"/>
      <w:numFmt w:val="decimal"/>
      <w:suff w:val="tab"/>
      <w:lvlText w:val=""/>
      <w:lvlJc w:val="left"/>
      <w:pPr>
        <w:pStyle w:val="000001"/>
      </w:pPr>
      <w:rPr>
        <w:rFonts w:hint="eastAsia"/>
      </w:rPr>
    </w:lvl>
    <w:lvl w:ilvl="2">
      <w:start w:val="1"/>
      <w:numFmt w:val="decimal"/>
      <w:suff w:val="tab"/>
      <w:lvlText w:val=""/>
      <w:lvlJc w:val="left"/>
      <w:pPr>
        <w:pStyle w:val="000001"/>
      </w:pPr>
      <w:rPr>
        <w:rFonts w:hint="eastAsia"/>
      </w:rPr>
    </w:lvl>
    <w:lvl w:ilvl="5">
      <w:start w:val="1"/>
      <w:numFmt w:val="decimal"/>
      <w:suff w:val="tab"/>
      <w:lvlText w:val=""/>
      <w:lvlJc w:val="left"/>
      <w:pPr>
        <w:pStyle w:val="000001"/>
      </w:pPr>
      <w:rPr>
        <w:rFonts w:hint="eastAsia"/>
      </w:rPr>
    </w:lvl>
    <w:lvl w:ilvl="7">
      <w:start w:val="1"/>
      <w:numFmt w:val="decimal"/>
      <w:suff w:val="tab"/>
      <w:lvlText w:val=""/>
      <w:lvlJc w:val="left"/>
      <w:pPr>
        <w:pStyle w:val="000001"/>
      </w:pPr>
      <w:rPr>
        <w:rFonts w:hint="eastAsia"/>
      </w:rPr>
    </w:lvl>
  </w:abstractNum>
  <w:num w:numId="19">
    <w:abstractNumId w:val="16"/>
  </w:num>
  <w:num w:numId="16">
    <w:abstractNumId w:val="5"/>
  </w:num>
  <w:num w:numId="26">
    <w:abstractNumId w:val="12"/>
  </w:num>
  <w:num w:numId="9">
    <w:abstractNumId w:val="8"/>
  </w:num>
  <w:num w:numId="18">
    <w:abstractNumId w:val="17"/>
  </w:num>
  <w:num w:numId="8">
    <w:abstractNumId w:val="3"/>
  </w:num>
  <w:num w:numId="17">
    <w:abstractNumId w:val="23"/>
  </w:num>
  <w:num w:numId="25">
    <w:abstractNumId w:val="15"/>
  </w:num>
  <w:num w:numId="13">
    <w:abstractNumId w:val="9"/>
  </w:num>
  <w:num w:numId="5">
    <w:abstractNumId w:val="14"/>
  </w:num>
  <w:num w:numId="6">
    <w:abstractNumId w:val="10"/>
  </w:num>
  <w:num w:numId="20">
    <w:abstractNumId w:val="6"/>
  </w:num>
  <w:num w:numId="22">
    <w:abstractNumId w:val="19"/>
  </w:num>
  <w:num w:numId="12">
    <w:abstractNumId w:val="1"/>
  </w:num>
  <w:num w:numId="4">
    <w:abstractNumId w:val="13"/>
  </w:num>
  <w:num w:numId="3">
    <w:abstractNumId w:val="4"/>
  </w:num>
  <w:num w:numId="1">
    <w:abstractNumId w:val="18"/>
  </w:num>
  <w:num w:numId="21">
    <w:abstractNumId w:val="11"/>
  </w:num>
  <w:num w:numId="7">
    <w:abstractNumId w:val="22"/>
  </w:num>
  <w:num w:numId="14">
    <w:abstractNumId w:val="25"/>
  </w:num>
  <w:num w:numId="23">
    <w:abstractNumId w:val="7"/>
  </w:num>
  <w:num w:numId="2">
    <w:abstractNumId w:val="24"/>
  </w:num>
  <w:num w:numId="28">
    <w:abstractNumId w:val="21"/>
  </w:num>
  <w:num w:numId="11">
    <w:abstractNumId w:val="2"/>
  </w:num>
  <w:num w:numId="15">
    <w:abstractNumId w:val="26"/>
  </w:num>
  <w:num w:numId="24">
    <w:abstractNumId w:val="28"/>
  </w:num>
  <w:num w:numId="27">
    <w:abstractNumId w:val="27"/>
  </w:num>
  <w:num w:numId="10">
    <w:abstractNumId w:val="20"/>
  </w:num>
</w:numbering>
</file>

<file path=word/settings.xml><?xml version="1.0" encoding="utf-8"?>
<w:settings xmlns:w="http://schemas.openxmlformats.org/wordprocessingml/2006/main">
  <w:zoom w:percent="140"/>
  <w:displayBackgroundShape/>
  <w:stylePaneFormatFilter/>
  <w:defaultTabStop w:val="0"/>
  <w:evenAndOddHeaders/>
  <w:displayHorizontalDrawingGridEvery w:val="1"/>
  <w:displayVerticalDrawingGridEvery w:val="1"/>
  <w:noPunctuationKerning/>
  <w:footnotePr/>
  <w:endnotePr/>
  <w:compat>
    <w:balanceSingleByteDoubleByteWidth/>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lang w:val="en-US"/>
      </w:rPr>
    </w:rPrDefault>
    <w:pPrDefault>
      <w:pPr>
        <w:tabs/>
        <w:snapToGrid/>
        <w:spacing/>
        <w:ind/>
      </w:pPr>
    </w:pPrDefault>
  </w:docDefaults>
  <w:style w:type="character" w:styleId="000019">
    <w:name w:val="font31"/>
    <w:basedOn w:val="00000c"/>
    <w:next w:val="000019"/>
    <w:link w:val="000001"/>
    <w:qFormat/>
    <w:rPr>
      <w:rFonts w:ascii="Arial" w:hAnsi="Arial" w:cs="Arial"/>
      <w:color w:val="000000"/>
      <w:sz w:val="12"/>
      <w:szCs w:val="12"/>
      <w:u w:val="none"/>
    </w:rPr>
  </w:style>
  <w:style w:type="paragraph" w:styleId="000011">
    <w:name w:val="footer"/>
    <w:basedOn w:val="000001"/>
    <w:next w:val="000011"/>
    <w:link w:val="000001"/>
    <w:qFormat/>
    <w:pPr>
      <w:tabs>
        <w:tab w:val="center" w:leader="none" w:pos="4153"/>
        <w:tab w:val="right" w:leader="none" w:pos="8306"/>
      </w:tabs>
      <w:jc w:val="left"/>
    </w:pPr>
    <w:rPr>
      <w:sz w:val="18"/>
    </w:rPr>
  </w:style>
  <w:style w:type="table" w:styleId="000016">
    <w:name w:val="Table Grid"/>
    <w:basedOn w:val="00000d"/>
    <w:next w:val="000016"/>
    <w:link w:val="000001"/>
    <w:qFormat/>
    <w:pPr>
      <w:widowControl w:val="false"/>
      <w:jc w:val="both"/>
    </w:pPr>
  </w:style>
  <w:style w:type="character" w:styleId="000008">
    <w:name w:val="标题 3 字符"/>
    <w:basedOn w:val="00000c"/>
    <w:next w:val="000008"/>
    <w:link w:val="000007"/>
    <w:rPr>
      <w:rFonts w:ascii="Arial" w:hAnsi="Arial" w:eastAsia="Arial" w:cs="Arial"/>
      <w:b/>
      <w:bCs w:val="false"/>
      <w:snapToGrid/>
      <w:color w:val="000000"/>
      <w:sz w:val="32"/>
      <w:szCs w:val="21"/>
    </w:rPr>
  </w:style>
  <w:style w:type="character" w:styleId="00000c">
    <w:name w:val="Default Paragraph Font"/>
    <w:next w:val="00000c"/>
    <w:link w:val="000001"/>
    <w:semiHidden/>
    <w:qFormat/>
  </w:style>
  <w:style w:type="paragraph" w:styleId="000015">
    <w:name w:val="Normal (Web)"/>
    <w:basedOn w:val="000001"/>
    <w:next w:val="000015"/>
    <w:link w:val="000001"/>
    <w:qFormat/>
    <w:rPr>
      <w:sz w:val="24"/>
    </w:rPr>
  </w:style>
  <w:style w:type="paragraph" w:styleId="000012">
    <w:name w:val="header"/>
    <w:basedOn w:val="000001"/>
    <w:next w:val="000012"/>
    <w:link w:val="000001"/>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jc w:val="both"/>
      <w:outlineLvl w:val="9"/>
    </w:pPr>
    <w:rPr>
      <w:sz w:val="18"/>
    </w:rPr>
  </w:style>
  <w:style w:type="paragraph" w:styleId="00001f">
    <w:name w:val="石柱规划文本1"/>
    <w:basedOn w:val="000001"/>
    <w:next w:val="00001f"/>
    <w:link w:val="000001"/>
    <w:qFormat/>
    <w:pPr>
      <w:spacing w:before="97" w:line="344" w:lineRule="auto"/>
      <w:ind w:left="1780" w:right="1531" w:firstLine="629"/>
      <w:jc w:val="both"/>
    </w:pPr>
    <w:rPr>
      <w:rFonts w:hint="eastAsia" w:ascii="Times New Roman" w:hAnsi="Times New Roman" w:eastAsia="仿宋" w:cs="Times New Roman"/>
      <w:color w:val="0000ff"/>
      <w:spacing w:val="-6"/>
      <w:sz w:val="30"/>
      <w:szCs w:val="30"/>
      <w:lang w:eastAsia="zh-CN"/>
    </w:rPr>
  </w:style>
  <w:style w:type="character" w:styleId="00001a">
    <w:name w:val="font21"/>
    <w:basedOn w:val="00000c"/>
    <w:next w:val="00001a"/>
    <w:link w:val="000001"/>
    <w:qFormat/>
    <w:rPr>
      <w:rFonts w:ascii="Constantia" w:hAnsi="Constantia" w:eastAsia="Constantia" w:cs="Constantia"/>
      <w:color w:val="000000"/>
      <w:sz w:val="20"/>
      <w:szCs w:val="20"/>
      <w:u w:val="none"/>
    </w:rPr>
  </w:style>
  <w:style w:type="paragraph" w:styleId="00000b">
    <w:name w:val="heading 5"/>
    <w:basedOn w:val="000001"/>
    <w:next w:val="000001"/>
    <w:link w:val="000001"/>
    <w:unhideWhenUsed/>
    <w:qFormat/>
    <w:pPr>
      <w:keepNext/>
      <w:keepLines/>
      <w:spacing w:beforeAutospacing="false" w:afterAutospacing="false" w:line="594" w:lineRule="exact"/>
      <w:outlineLvl w:val="4"/>
    </w:pPr>
    <w:rPr>
      <w:rFonts w:ascii="Times New Roman" w:hAnsi="Times New Roman" w:eastAsia="方正仿宋_GBK" w:cs="Times New Roman"/>
    </w:rPr>
  </w:style>
  <w:style w:type="paragraph" w:styleId="000004">
    <w:name w:val="heading 1"/>
    <w:basedOn w:val="000001"/>
    <w:next w:val="000001"/>
    <w:link w:val="000001"/>
    <w:qFormat/>
    <w:pPr>
      <w:keepNext/>
      <w:keepLines/>
      <w:numPr>
        <w:ilvl w:val="0"/>
        <w:numId w:val="26"/>
      </w:numPr>
      <w:tabs>
        <w:tab w:val="clear" w:pos="0"/>
      </w:tabs>
      <w:spacing w:line="560" w:lineRule="exact"/>
      <w:ind w:left="0" w:firstLine="0"/>
      <w:jc w:val="center"/>
      <w:outlineLvl w:val="0"/>
    </w:pPr>
    <w:rPr>
      <w:rFonts w:ascii="Calibri" w:hAnsi="Calibri"/>
      <w:b/>
      <w:kern w:val="44"/>
      <w:sz w:val="44"/>
    </w:rPr>
  </w:style>
  <w:style w:type="paragraph" w:styleId="000007">
    <w:name w:val="heading 3"/>
    <w:basedOn w:val="000001"/>
    <w:next w:val="000001"/>
    <w:link w:val="000008"/>
    <w:unhideWhenUsed/>
    <w:qFormat/>
    <w:pPr>
      <w:keepNext/>
      <w:keepLines/>
      <w:numPr>
        <w:ilvl w:val="2"/>
        <w:numId w:val="26"/>
      </w:numPr>
      <w:tabs>
        <w:tab w:val="clear" w:pos="0"/>
      </w:tabs>
      <w:spacing w:before="260" w:beforeAutospacing="false" w:after="260" w:afterAutospacing="false" w:line="413" w:lineRule="auto"/>
      <w:ind w:left="420" w:hanging="420"/>
      <w:outlineLvl w:val="2"/>
    </w:pPr>
    <w:rPr>
      <w:b/>
      <w:sz w:val="32"/>
    </w:rPr>
  </w:style>
  <w:style w:type="paragraph" w:styleId="00000e">
    <w:name w:val="toc 5"/>
    <w:next w:val="000001"/>
    <w:link w:val="000001"/>
    <w:uiPriority w:val="39"/>
    <w:qFormat/>
    <w:pPr>
      <w:widowControl w:val="false"/>
      <w:spacing w:line="600" w:lineRule="exact"/>
      <w:ind w:left="840" w:firstLine="632" w:firstLineChars="200"/>
    </w:pPr>
    <w:rPr>
      <w:rFonts w:ascii="Times New Roman" w:hAnsi="Times New Roman" w:eastAsia="方正仿宋_GBK" w:cs="方正仿宋_GBK"/>
      <w:kern w:val="2"/>
      <w:sz w:val="18"/>
      <w:szCs w:val="18"/>
      <w:lang w:val="en-US" w:eastAsia="zh-CN" w:bidi="ar-SA"/>
    </w:rPr>
  </w:style>
  <w:style w:type="character" w:styleId="000017">
    <w:name w:val="Strong"/>
    <w:basedOn w:val="00000c"/>
    <w:next w:val="000017"/>
    <w:link w:val="000001"/>
    <w:qFormat/>
    <w:rPr>
      <w:b/>
    </w:rPr>
  </w:style>
  <w:style w:type="paragraph" w:styleId="000006">
    <w:name w:val="heading 2"/>
    <w:basedOn w:val="000001"/>
    <w:next w:val="000001"/>
    <w:link w:val="000001"/>
    <w:unhideWhenUsed/>
    <w:qFormat/>
    <w:pPr>
      <w:keepNext/>
      <w:keepLines/>
      <w:numPr>
        <w:ilvl w:val="1"/>
        <w:numId w:val="27"/>
      </w:numPr>
      <w:tabs>
        <w:tab w:val="clear" w:pos="0"/>
      </w:tabs>
      <w:autoSpaceDE/>
      <w:autoSpaceDN/>
      <w:spacing w:before="260" w:beforeAutospacing="false" w:after="260" w:afterAutospacing="false" w:line="413" w:lineRule="auto"/>
      <w:ind w:left="0" w:firstLine="0"/>
      <w:outlineLvl w:val="1"/>
    </w:pPr>
    <w:rPr>
      <w:rFonts w:eastAsia="黑体"/>
      <w:b/>
      <w:sz w:val="32"/>
    </w:rPr>
  </w:style>
  <w:style w:type="paragraph" w:styleId="000001">
    <w:name w:val="Normal"/>
    <w:aliases w:val="正文"/>
    <w:next w:val="000002"/>
    <w:link w:val="000001"/>
    <w:qFormat/>
    <w:pPr>
      <w:tabs/>
      <w:kinsoku w:val="false"/>
      <w:autoSpaceDE w:val="false"/>
      <w:autoSpaceDN w:val="false"/>
      <w:spacing w:line="240" w:lineRule="auto"/>
      <w:jc w:val="left"/>
    </w:pPr>
    <w:rPr>
      <w:rFonts w:ascii="Arial" w:hAnsi="Arial" w:eastAsia="Arial" w:cs="Arial"/>
      <w:snapToGrid w:val="false"/>
      <w:color w:val="000000"/>
      <w:kern w:val="0"/>
      <w:sz w:val="21"/>
      <w:szCs w:val="21"/>
      <w:lang w:val="en-US" w:eastAsia="en-US" w:bidi="ar-SA"/>
    </w:rPr>
  </w:style>
  <w:style w:type="paragraph" w:styleId="00000f">
    <w:name w:val="annotation text"/>
    <w:basedOn w:val="000001"/>
    <w:next w:val="00000f"/>
    <w:link w:val="000001"/>
    <w:qFormat/>
    <w:pPr>
      <w:jc w:val="left"/>
    </w:pPr>
  </w:style>
  <w:style w:type="paragraph" w:styleId="00000a">
    <w:name w:val="heading 4"/>
    <w:basedOn w:val="000001"/>
    <w:next w:val="000001"/>
    <w:link w:val="000001"/>
    <w:unhideWhenUsed/>
    <w:qFormat/>
    <w:pPr>
      <w:keepLines/>
      <w:numPr>
        <w:ilvl w:val="3"/>
        <w:numId w:val="28"/>
      </w:numPr>
      <w:tabs>
        <w:tab w:val="clear" w:pos="0"/>
      </w:tabs>
      <w:spacing w:after="60"/>
      <w:ind w:left="420" w:hanging="420"/>
      <w:jc w:val="left"/>
      <w:outlineLvl w:val="3"/>
    </w:pPr>
    <w:rPr>
      <w:rFonts w:ascii="Calibri" w:hAnsi="Calibri" w:eastAsia="黑体"/>
      <w:sz w:val="28"/>
    </w:rPr>
  </w:style>
  <w:style w:type="paragraph" w:styleId="000014">
    <w:name w:val="toc 2"/>
    <w:basedOn w:val="000001"/>
    <w:next w:val="000001"/>
    <w:link w:val="000001"/>
    <w:qFormat/>
    <w:pPr>
      <w:tabs/>
      <w:ind w:left="420" w:leftChars="200"/>
    </w:pPr>
  </w:style>
  <w:style w:type="paragraph" w:styleId="000013">
    <w:name w:val="toc 1"/>
    <w:basedOn w:val="000001"/>
    <w:next w:val="000001"/>
    <w:link w:val="000001"/>
    <w:qFormat/>
    <w:pPr>
      <w:tabs/>
    </w:pPr>
  </w:style>
  <w:style w:type="paragraph" w:styleId="000002">
    <w:name w:val="Body Text"/>
    <w:basedOn w:val="000001"/>
    <w:next w:val="00000e"/>
    <w:link w:val="000001"/>
    <w:semiHidden/>
    <w:qFormat/>
    <w:pPr/>
    <w:rPr>
      <w:rFonts w:ascii="Arial" w:hAnsi="Arial" w:eastAsia="Arial" w:cs="Arial"/>
      <w:sz w:val="21"/>
      <w:szCs w:val="21"/>
      <w:lang w:val="en-US" w:eastAsia="en-US" w:bidi="ar-SA"/>
    </w:rPr>
  </w:style>
  <w:style w:type="table" w:styleId="000020">
    <w:name w:val="Table Normal"/>
    <w:next w:val="000020"/>
    <w:link w:val="000001"/>
    <w:unhideWhenUsed/>
    <w:qFormat/>
  </w:style>
  <w:style w:type="paragraph" w:styleId="000010">
    <w:name w:val="toc 3"/>
    <w:basedOn w:val="000001"/>
    <w:next w:val="000001"/>
    <w:link w:val="000001"/>
    <w:qFormat/>
    <w:pPr>
      <w:ind w:left="840" w:leftChars="400"/>
    </w:pPr>
  </w:style>
  <w:style w:type="paragraph" w:styleId="00001d">
    <w:name w:val="正文内容"/>
    <w:basedOn w:val="000001"/>
    <w:next w:val="00001d"/>
    <w:link w:val="000001"/>
    <w:qFormat/>
    <w:pPr>
      <w:spacing w:line="560" w:lineRule="exact"/>
      <w:ind w:firstLine="200" w:firstLineChars="200"/>
    </w:pPr>
    <w:rPr>
      <w:rFonts w:ascii="Times New Roman" w:hAnsi="Times New Roman" w:eastAsia="方正仿宋_GBK" w:cs="Times New Roman"/>
    </w:rPr>
  </w:style>
  <w:style w:type="character" w:styleId="00001c">
    <w:name w:val="font41"/>
    <w:basedOn w:val="00000c"/>
    <w:next w:val="00001c"/>
    <w:link w:val="000001"/>
    <w:rPr>
      <w:rFonts w:hint="eastAsia" w:ascii="宋体" w:hAnsi="宋体" w:eastAsia="宋体" w:cs="宋体"/>
      <w:color w:val="000000"/>
      <w:sz w:val="24"/>
      <w:szCs w:val="24"/>
      <w:u w:val="none"/>
    </w:rPr>
  </w:style>
  <w:style w:type="table" w:styleId="00000d">
    <w:name w:val="Normal Table"/>
    <w:next w:val="00000d"/>
    <w:link w:val="000001"/>
    <w:semiHidden/>
    <w:qFormat/>
    <w:pPr>
      <w:keepNext w:val="false"/>
      <w:keepLines w:val="false"/>
      <w:widowControl/>
      <w:suppressLineNumbers w:val="false"/>
      <w:spacing w:before="0" w:beforeAutospacing="false" w:after="0" w:afterAutospacing="false"/>
      <w:ind w:left="0" w:right="0"/>
    </w:pPr>
    <w:rPr>
      <w:rFonts w:ascii="Times New Roman" w:hAnsi="Times New Roman" w:cs="Times New Roman"/>
      <w:sz w:val="20"/>
      <w:szCs w:val="20"/>
    </w:rPr>
  </w:style>
  <w:style w:type="character" w:styleId="000018">
    <w:name w:val="Hyperlink"/>
    <w:basedOn w:val="00000c"/>
    <w:next w:val="000018"/>
    <w:link w:val="000001"/>
    <w:rPr>
      <w:color w:val="0000ff"/>
      <w:u w:val="single"/>
    </w:rPr>
  </w:style>
  <w:style w:type="paragraph" w:styleId="00001e">
    <w:name w:val="Table Text"/>
    <w:basedOn w:val="000001"/>
    <w:next w:val="00001e"/>
    <w:link w:val="000001"/>
    <w:semiHidden/>
    <w:qFormat/>
    <w:rPr>
      <w:rFonts w:ascii="Times New Roman" w:hAnsi="Times New Roman" w:eastAsia="Times New Roman" w:cs="Times New Roman"/>
      <w:sz w:val="24"/>
      <w:szCs w:val="24"/>
      <w:lang w:val="en-US" w:eastAsia="en-US" w:bidi="ar-SA"/>
    </w:rPr>
  </w:style>
  <w:style w:type="character" w:styleId="00001b">
    <w:name w:val="font11"/>
    <w:basedOn w:val="00000c"/>
    <w:next w:val="00001b"/>
    <w:link w:val="000001"/>
    <w:qFormat/>
    <w:rPr>
      <w:rFonts w:ascii="宋体" w:hAnsi="宋体" w:eastAsia="宋体" w:cs="宋体"/>
      <w:color w:val="000000"/>
      <w:sz w:val="20"/>
      <w:szCs w:val="20"/>
      <w:u w:val="none"/>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1" Type="http://schemas.openxmlformats.org/officeDocument/2006/relationships/header" Target="header3.xml" /><Relationship Id="rId13" Type="http://schemas.openxmlformats.org/officeDocument/2006/relationships/footer" Target="footer6.xml" /><Relationship Id="rId12" Type="http://schemas.openxmlformats.org/officeDocument/2006/relationships/footer" Target="footer5.xml" /><Relationship Id="rId1" Type="http://schemas.openxmlformats.org/officeDocument/2006/relationships/settings" Target="settings.xml" /><Relationship Id="rId14" Type="http://schemas.openxmlformats.org/officeDocument/2006/relationships/footer" Target="footer7.xml" /><Relationship Id="rId10" Type="http://schemas.openxmlformats.org/officeDocument/2006/relationships/footer" Target="footer4.xml"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fontTable" Target="fontTable.xml" /><Relationship Id="rId20" Type="http://schemas.openxmlformats.org/officeDocument/2006/relationships/footer" Target="footer13.xml" /><Relationship Id="rId21" Type="http://schemas.openxmlformats.org/officeDocument/2006/relationships/footer" Target="footer14.xml" /><Relationship Id="rId3" Type="http://schemas.openxmlformats.org/officeDocument/2006/relationships/theme" Target="theme/theme1.xml" /><Relationship Id="rId7" Type="http://schemas.openxmlformats.org/officeDocument/2006/relationships/footer" Target="footer2.xml" /><Relationship Id="rId4" Type="http://schemas.openxmlformats.org/officeDocument/2006/relationships/numbering" Target="numbering.xml" /><Relationship Id="rId5" Type="http://schemas.openxmlformats.org/officeDocument/2006/relationships/header" Target="header1.xml" /><Relationship Id="rId6"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3.xml" /></Relationships>
</file>

<file path=word/theme/theme1.xml><?xml version="1.0" encoding="utf-8"?>
<a:theme xmlns:a="http://schemas.openxmlformats.org/drawingml/2006/main" xmlns:thm15="http://schemas.microsoft.com/office/thememl/2012/main" xmlns:mc="http://schemas.openxmlformats.org/markup-compatibility/2006" name="Office 主题​​"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2026-07-07T09:02:38Z</dcterms:created>
  <dcterms:modified xsi:type="dcterms:W3CDTF">2026-07-07T09:02:38Z</dcterms:modified>
</cp:coreProperties>
</file>