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3A07D">
      <w:pPr>
        <w:pStyle w:val="2"/>
        <w:keepNext w:val="0"/>
        <w:keepLines w:val="0"/>
        <w:widowControl/>
        <w:suppressLineNumbers w:val="0"/>
        <w:spacing w:before="0" w:beforeAutospacing="0" w:after="0" w:afterAutospacing="0" w:line="605" w:lineRule="atLeast"/>
        <w:ind w:left="0" w:right="0"/>
        <w:jc w:val="both"/>
        <w:rPr>
          <w:rFonts w:ascii="方正仿宋_GBK" w:hAnsi="方正仿宋_GBK" w:eastAsia="方正仿宋_GBK" w:cs="方正仿宋_GBK"/>
          <w:sz w:val="32"/>
          <w:szCs w:val="32"/>
        </w:rPr>
      </w:pPr>
    </w:p>
    <w:p w14:paraId="0828F38C">
      <w:pPr>
        <w:pStyle w:val="2"/>
        <w:keepNext w:val="0"/>
        <w:keepLines w:val="0"/>
        <w:widowControl/>
        <w:suppressLineNumbers w:val="0"/>
        <w:spacing w:before="0" w:beforeAutospacing="0" w:after="0" w:afterAutospacing="0" w:line="605" w:lineRule="atLeast"/>
        <w:ind w:left="0" w:right="0"/>
        <w:jc w:val="center"/>
        <w:rPr>
          <w:sz w:val="19"/>
          <w:szCs w:val="19"/>
        </w:rPr>
      </w:pPr>
      <w:r>
        <w:rPr>
          <w:rFonts w:ascii="方正仿宋_GBK" w:hAnsi="方正仿宋_GBK" w:eastAsia="方正仿宋_GBK" w:cs="方正仿宋_GBK"/>
          <w:sz w:val="32"/>
          <w:szCs w:val="32"/>
        </w:rPr>
        <w:t>渝府教督发〔</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号</w:t>
      </w:r>
    </w:p>
    <w:p w14:paraId="029EE9F8">
      <w:pPr>
        <w:pStyle w:val="2"/>
        <w:keepNext w:val="0"/>
        <w:keepLines w:val="0"/>
        <w:widowControl/>
        <w:suppressLineNumbers w:val="0"/>
        <w:spacing w:before="0" w:beforeAutospacing="0" w:after="0" w:afterAutospacing="0" w:line="605" w:lineRule="atLeast"/>
        <w:ind w:left="0" w:right="0"/>
        <w:jc w:val="both"/>
        <w:rPr>
          <w:sz w:val="19"/>
          <w:szCs w:val="19"/>
        </w:rPr>
      </w:pPr>
    </w:p>
    <w:p w14:paraId="28DB70F0">
      <w:pPr>
        <w:pStyle w:val="2"/>
        <w:keepNext w:val="0"/>
        <w:keepLines w:val="0"/>
        <w:widowControl/>
        <w:suppressLineNumbers w:val="0"/>
        <w:spacing w:before="0" w:beforeAutospacing="0" w:after="0" w:afterAutospacing="0" w:line="605" w:lineRule="atLeast"/>
        <w:ind w:left="0" w:right="0"/>
        <w:jc w:val="center"/>
        <w:rPr>
          <w:rFonts w:hint="eastAsia"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重庆市人民政府教育督导委员会</w:t>
      </w:r>
      <w:r>
        <w:rPr>
          <w:rFonts w:hint="eastAsia" w:ascii="方正小标宋_GBK" w:hAnsi="方正小标宋_GBK" w:eastAsia="方正小标宋_GBK" w:cs="方正小标宋_GBK"/>
          <w:sz w:val="44"/>
          <w:szCs w:val="44"/>
        </w:rPr>
        <w:t>关于</w:t>
      </w:r>
    </w:p>
    <w:p w14:paraId="10EE7252">
      <w:pPr>
        <w:pStyle w:val="2"/>
        <w:keepNext w:val="0"/>
        <w:keepLines w:val="0"/>
        <w:widowControl/>
        <w:suppressLineNumbers w:val="0"/>
        <w:spacing w:before="0" w:beforeAutospacing="0" w:after="0" w:afterAutospacing="0" w:line="605" w:lineRule="atLeast"/>
        <w:ind w:left="0" w:right="0"/>
        <w:jc w:val="center"/>
        <w:rPr>
          <w:sz w:val="19"/>
          <w:szCs w:val="19"/>
        </w:rPr>
      </w:pPr>
      <w:r>
        <w:rPr>
          <w:rFonts w:hint="eastAsia" w:ascii="方正小标宋_GBK" w:hAnsi="方正小标宋_GBK" w:eastAsia="方正小标宋_GBK" w:cs="方正小标宋_GBK"/>
          <w:sz w:val="44"/>
          <w:szCs w:val="44"/>
        </w:rPr>
        <w:t>印发重庆市县域义务教育优质均衡发展</w:t>
      </w:r>
    </w:p>
    <w:p w14:paraId="1D2F5BF5">
      <w:pPr>
        <w:pStyle w:val="2"/>
        <w:keepNext w:val="0"/>
        <w:keepLines w:val="0"/>
        <w:widowControl/>
        <w:suppressLineNumbers w:val="0"/>
        <w:spacing w:before="0" w:beforeAutospacing="0" w:after="0" w:afterAutospacing="0" w:line="605" w:lineRule="atLeast"/>
        <w:ind w:left="0" w:right="0"/>
        <w:jc w:val="center"/>
        <w:rPr>
          <w:sz w:val="19"/>
          <w:szCs w:val="19"/>
        </w:rPr>
      </w:pPr>
      <w:r>
        <w:rPr>
          <w:rFonts w:hint="eastAsia" w:ascii="方正小标宋_GBK" w:hAnsi="方正小标宋_GBK" w:eastAsia="方正小标宋_GBK" w:cs="方正小标宋_GBK"/>
          <w:sz w:val="44"/>
          <w:szCs w:val="44"/>
        </w:rPr>
        <w:t>督导评估工作规划的通知</w:t>
      </w:r>
    </w:p>
    <w:p w14:paraId="53F2683F">
      <w:pPr>
        <w:pStyle w:val="2"/>
        <w:keepNext w:val="0"/>
        <w:keepLines w:val="0"/>
        <w:widowControl/>
        <w:suppressLineNumbers w:val="0"/>
        <w:spacing w:before="0" w:beforeAutospacing="0" w:after="0" w:afterAutospacing="0" w:line="605" w:lineRule="atLeast"/>
        <w:ind w:left="0" w:right="0"/>
        <w:jc w:val="both"/>
      </w:pPr>
    </w:p>
    <w:p w14:paraId="1801C3E9">
      <w:pPr>
        <w:pStyle w:val="2"/>
        <w:keepNext w:val="0"/>
        <w:keepLines w:val="0"/>
        <w:widowControl/>
        <w:suppressLineNumbers w:val="0"/>
        <w:spacing w:before="0" w:beforeAutospacing="0" w:after="0" w:afterAutospacing="0" w:line="605" w:lineRule="atLeast"/>
        <w:ind w:left="0" w:right="0"/>
        <w:jc w:val="both"/>
      </w:pPr>
      <w:r>
        <w:rPr>
          <w:rFonts w:ascii="方正楷体_GBK" w:hAnsi="方正楷体_GBK" w:eastAsia="方正楷体_GBK" w:cs="方正楷体_GBK"/>
          <w:color w:val="000000"/>
          <w:sz w:val="32"/>
          <w:szCs w:val="32"/>
        </w:rPr>
        <w:t>各区县（自治县）人民政府，两江新区管委会、重庆高新区管委会、万盛经开区管委会</w:t>
      </w:r>
      <w:r>
        <w:rPr>
          <w:rFonts w:hint="eastAsia" w:ascii="方正楷体_GBK" w:hAnsi="方正楷体_GBK" w:eastAsia="方正楷体_GBK" w:cs="方正楷体_GBK"/>
          <w:sz w:val="32"/>
          <w:szCs w:val="32"/>
        </w:rPr>
        <w:t>：</w:t>
      </w:r>
    </w:p>
    <w:p w14:paraId="2A40B27C">
      <w:pPr>
        <w:pStyle w:val="2"/>
        <w:keepNext w:val="0"/>
        <w:keepLines w:val="0"/>
        <w:widowControl/>
        <w:suppressLineNumbers w:val="0"/>
        <w:spacing w:before="0" w:beforeAutospacing="0" w:after="0" w:afterAutospacing="0" w:line="605" w:lineRule="atLeast"/>
        <w:ind w:left="0" w:right="0" w:firstLine="634"/>
        <w:jc w:val="both"/>
      </w:pPr>
      <w:r>
        <w:rPr>
          <w:rFonts w:hint="eastAsia" w:ascii="方正楷体_GBK" w:hAnsi="方正楷体_GBK" w:eastAsia="方正楷体_GBK" w:cs="方正楷体_GBK"/>
          <w:sz w:val="32"/>
          <w:szCs w:val="32"/>
        </w:rPr>
        <w:t>《重庆市县域义务教育优质均衡发展督导评估工作规划》已经市政府同意，现印发给你们，请认真贯彻执行。</w:t>
      </w:r>
    </w:p>
    <w:p w14:paraId="76D57AA7">
      <w:pPr>
        <w:pStyle w:val="2"/>
        <w:keepNext w:val="0"/>
        <w:keepLines w:val="0"/>
        <w:widowControl/>
        <w:suppressLineNumbers w:val="0"/>
        <w:spacing w:before="0" w:beforeAutospacing="0" w:after="0" w:afterAutospacing="0" w:line="605" w:lineRule="atLeast"/>
        <w:ind w:left="0" w:right="0"/>
        <w:jc w:val="both"/>
      </w:pPr>
    </w:p>
    <w:p w14:paraId="1740E7A7">
      <w:pPr>
        <w:pStyle w:val="2"/>
        <w:keepNext w:val="0"/>
        <w:keepLines w:val="0"/>
        <w:widowControl/>
        <w:suppressLineNumbers w:val="0"/>
        <w:spacing w:before="0" w:beforeAutospacing="0" w:after="0" w:afterAutospacing="0" w:line="605" w:lineRule="atLeast"/>
        <w:ind w:left="0" w:right="158"/>
        <w:jc w:val="right"/>
      </w:pPr>
      <w:r>
        <w:rPr>
          <w:rFonts w:hint="eastAsia" w:ascii="方正楷体_GBK" w:hAnsi="方正楷体_GBK" w:eastAsia="方正楷体_GBK" w:cs="方正楷体_GBK"/>
          <w:sz w:val="32"/>
          <w:szCs w:val="32"/>
        </w:rPr>
        <w:t>重庆市人民政府教育督导委员会</w:t>
      </w:r>
    </w:p>
    <w:p w14:paraId="148C1B36">
      <w:pPr>
        <w:pStyle w:val="2"/>
        <w:keepNext w:val="0"/>
        <w:keepLines w:val="0"/>
        <w:widowControl/>
        <w:suppressLineNumbers w:val="0"/>
        <w:spacing w:before="0" w:beforeAutospacing="0" w:after="0" w:afterAutospacing="0" w:line="605" w:lineRule="atLeast"/>
        <w:ind w:left="0" w:right="0" w:firstLine="5123" w:firstLineChars="1601"/>
        <w:jc w:val="both"/>
      </w:pPr>
      <w:r>
        <w:rPr>
          <w:rFonts w:hint="default" w:ascii="Times New Roman" w:hAnsi="Times New Roman" w:cs="Times New Roman"/>
          <w:sz w:val="32"/>
          <w:szCs w:val="32"/>
        </w:rPr>
        <w:t>2022</w:t>
      </w:r>
      <w:r>
        <w:rPr>
          <w:rFonts w:hint="eastAsia" w:ascii="方正楷体_GBK" w:hAnsi="方正楷体_GBK" w:eastAsia="方正楷体_GBK" w:cs="方正楷体_GBK"/>
          <w:sz w:val="32"/>
          <w:szCs w:val="32"/>
        </w:rPr>
        <w:t>年</w:t>
      </w:r>
      <w:r>
        <w:rPr>
          <w:rFonts w:hint="default" w:ascii="Times New Roman" w:hAnsi="Times New Roman" w:cs="Times New Roman"/>
          <w:sz w:val="32"/>
          <w:szCs w:val="32"/>
        </w:rPr>
        <w:t>1</w:t>
      </w:r>
      <w:r>
        <w:rPr>
          <w:rFonts w:hint="eastAsia" w:ascii="方正楷体_GBK" w:hAnsi="方正楷体_GBK" w:eastAsia="方正楷体_GBK" w:cs="方正楷体_GBK"/>
          <w:sz w:val="32"/>
          <w:szCs w:val="32"/>
        </w:rPr>
        <w:t>月</w:t>
      </w:r>
      <w:r>
        <w:rPr>
          <w:rFonts w:hint="default" w:ascii="Times New Roman" w:hAnsi="Times New Roman" w:cs="Times New Roman"/>
          <w:sz w:val="32"/>
          <w:szCs w:val="32"/>
        </w:rPr>
        <w:t>8</w:t>
      </w:r>
      <w:r>
        <w:rPr>
          <w:rFonts w:hint="eastAsia" w:ascii="方正楷体_GBK" w:hAnsi="方正楷体_GBK" w:eastAsia="方正楷体_GBK" w:cs="方正楷体_GBK"/>
          <w:sz w:val="32"/>
          <w:szCs w:val="32"/>
        </w:rPr>
        <w:t>日</w:t>
      </w:r>
    </w:p>
    <w:p w14:paraId="5E25AB74">
      <w:pPr>
        <w:pStyle w:val="2"/>
        <w:keepNext w:val="0"/>
        <w:keepLines w:val="0"/>
        <w:widowControl/>
        <w:suppressLineNumbers w:val="0"/>
        <w:spacing w:before="0" w:beforeAutospacing="0" w:after="0" w:afterAutospacing="0" w:line="605" w:lineRule="atLeast"/>
        <w:ind w:left="0" w:right="0" w:firstLine="634"/>
        <w:jc w:val="both"/>
      </w:pPr>
      <w:r>
        <w:rPr>
          <w:rFonts w:hint="eastAsia" w:ascii="方正楷体_GBK" w:hAnsi="方正楷体_GBK" w:eastAsia="方正楷体_GBK" w:cs="方正楷体_GBK"/>
          <w:sz w:val="32"/>
          <w:szCs w:val="32"/>
        </w:rPr>
        <w:t>（此件依申请公开）</w:t>
      </w:r>
    </w:p>
    <w:p w14:paraId="5B9B2C0A">
      <w:pPr>
        <w:pStyle w:val="2"/>
        <w:keepNext w:val="0"/>
        <w:keepLines w:val="0"/>
        <w:widowControl/>
        <w:suppressLineNumbers w:val="0"/>
        <w:spacing w:before="0" w:beforeAutospacing="0" w:after="0" w:afterAutospacing="0" w:line="605" w:lineRule="atLeast"/>
        <w:ind w:left="0" w:right="0" w:firstLine="634"/>
        <w:jc w:val="both"/>
      </w:pPr>
    </w:p>
    <w:p w14:paraId="6190D67A">
      <w:pPr>
        <w:pStyle w:val="2"/>
        <w:keepNext w:val="0"/>
        <w:keepLines w:val="0"/>
        <w:widowControl/>
        <w:suppressLineNumbers w:val="0"/>
        <w:spacing w:before="0" w:beforeAutospacing="0" w:after="0" w:afterAutospacing="0" w:line="605" w:lineRule="atLeast"/>
        <w:ind w:left="0" w:right="0" w:firstLine="634"/>
        <w:jc w:val="both"/>
      </w:pPr>
    </w:p>
    <w:p w14:paraId="06A27AAD">
      <w:pPr>
        <w:pStyle w:val="2"/>
        <w:keepNext w:val="0"/>
        <w:keepLines w:val="0"/>
        <w:widowControl/>
        <w:suppressLineNumbers w:val="0"/>
        <w:spacing w:before="0" w:beforeAutospacing="0" w:after="0" w:afterAutospacing="0" w:line="605" w:lineRule="atLeast"/>
        <w:ind w:left="0" w:right="0" w:firstLine="634"/>
        <w:jc w:val="both"/>
      </w:pPr>
    </w:p>
    <w:p w14:paraId="226B84BE">
      <w:pPr>
        <w:pStyle w:val="2"/>
        <w:keepNext w:val="0"/>
        <w:keepLines w:val="0"/>
        <w:widowControl/>
        <w:suppressLineNumbers w:val="0"/>
        <w:spacing w:before="0" w:beforeAutospacing="0" w:after="0" w:afterAutospacing="0" w:line="605" w:lineRule="atLeast"/>
        <w:ind w:left="0" w:right="0" w:firstLine="634"/>
        <w:jc w:val="both"/>
      </w:pPr>
    </w:p>
    <w:p w14:paraId="74164D95">
      <w:pPr>
        <w:pStyle w:val="2"/>
        <w:keepNext w:val="0"/>
        <w:keepLines w:val="0"/>
        <w:widowControl/>
        <w:suppressLineNumbers w:val="0"/>
        <w:spacing w:before="0" w:beforeAutospacing="0" w:after="0" w:afterAutospacing="0" w:line="605" w:lineRule="atLeast"/>
        <w:ind w:left="0" w:right="0" w:firstLine="634"/>
        <w:jc w:val="both"/>
      </w:pPr>
      <w:bookmarkStart w:id="0" w:name="_GoBack"/>
      <w:bookmarkEnd w:id="0"/>
    </w:p>
    <w:p w14:paraId="4BB10593">
      <w:pPr>
        <w:pStyle w:val="2"/>
        <w:keepNext w:val="0"/>
        <w:keepLines w:val="0"/>
        <w:widowControl/>
        <w:suppressLineNumbers w:val="0"/>
        <w:spacing w:before="0" w:beforeAutospacing="0" w:after="0" w:afterAutospacing="0" w:line="605" w:lineRule="atLeast"/>
        <w:ind w:left="0" w:right="0"/>
        <w:jc w:val="center"/>
      </w:pPr>
      <w:r>
        <w:rPr>
          <w:rFonts w:hint="eastAsia" w:ascii="方正小标宋_GBK" w:hAnsi="方正小标宋_GBK" w:eastAsia="方正小标宋_GBK" w:cs="方正小标宋_GBK"/>
          <w:sz w:val="44"/>
          <w:szCs w:val="44"/>
        </w:rPr>
        <w:t>重庆市县域义务教育优质均衡发展</w:t>
      </w:r>
    </w:p>
    <w:p w14:paraId="65F061CA">
      <w:pPr>
        <w:pStyle w:val="2"/>
        <w:keepNext w:val="0"/>
        <w:keepLines w:val="0"/>
        <w:widowControl/>
        <w:suppressLineNumbers w:val="0"/>
        <w:spacing w:before="0" w:beforeAutospacing="0" w:after="0" w:afterAutospacing="0" w:line="605" w:lineRule="atLeast"/>
        <w:ind w:left="0" w:right="0"/>
        <w:jc w:val="center"/>
        <w:rPr>
          <w:sz w:val="19"/>
          <w:szCs w:val="19"/>
        </w:rPr>
      </w:pPr>
      <w:r>
        <w:rPr>
          <w:rFonts w:hint="eastAsia" w:ascii="方正小标宋_GBK" w:hAnsi="方正小标宋_GBK" w:eastAsia="方正小标宋_GBK" w:cs="方正小标宋_GBK"/>
          <w:sz w:val="44"/>
          <w:szCs w:val="44"/>
        </w:rPr>
        <w:t>督导评估工作规划</w:t>
      </w:r>
    </w:p>
    <w:p w14:paraId="27DCC42F">
      <w:pPr>
        <w:pStyle w:val="2"/>
        <w:keepNext w:val="0"/>
        <w:keepLines w:val="0"/>
        <w:widowControl/>
        <w:suppressLineNumbers w:val="0"/>
        <w:spacing w:before="0" w:beforeAutospacing="0" w:after="0" w:afterAutospacing="0" w:line="605" w:lineRule="atLeast"/>
        <w:ind w:left="0" w:right="0" w:firstLine="634"/>
        <w:jc w:val="both"/>
      </w:pPr>
    </w:p>
    <w:p w14:paraId="7BAEFED0">
      <w:pPr>
        <w:pStyle w:val="2"/>
        <w:keepNext w:val="0"/>
        <w:keepLines w:val="0"/>
        <w:widowControl/>
        <w:suppressLineNumbers w:val="0"/>
        <w:spacing w:before="0" w:beforeAutospacing="0" w:after="0" w:afterAutospacing="0" w:line="605" w:lineRule="atLeast"/>
        <w:ind w:left="0" w:right="0" w:firstLine="634"/>
        <w:jc w:val="both"/>
      </w:pPr>
      <w:r>
        <w:rPr>
          <w:rFonts w:hint="eastAsia" w:ascii="方正仿宋_GBK" w:hAnsi="方正仿宋_GBK" w:eastAsia="方正仿宋_GBK" w:cs="方正仿宋_GBK"/>
          <w:sz w:val="32"/>
          <w:szCs w:val="32"/>
        </w:rPr>
        <w:t>为巩固提升我市县域义务教育基本均衡发展成果，稳步推进县域义务教育优质均衡发展，全面提高义务教育质量，办好人民满意的教育，根据《中国教育现代化</w:t>
      </w:r>
      <w:r>
        <w:rPr>
          <w:rFonts w:hint="default" w:ascii="Times New Roman" w:hAnsi="Times New Roman" w:cs="Times New Roman"/>
          <w:sz w:val="32"/>
          <w:szCs w:val="32"/>
        </w:rPr>
        <w:t>2035</w:t>
      </w:r>
      <w:r>
        <w:rPr>
          <w:rFonts w:hint="eastAsia" w:ascii="方正仿宋_GBK" w:hAnsi="方正仿宋_GBK" w:eastAsia="方正仿宋_GBK" w:cs="方正仿宋_GBK"/>
          <w:sz w:val="32"/>
          <w:szCs w:val="32"/>
        </w:rPr>
        <w:t>》《重庆教育现代化</w:t>
      </w:r>
      <w:r>
        <w:rPr>
          <w:rFonts w:hint="default" w:ascii="Times New Roman" w:hAnsi="Times New Roman" w:cs="Times New Roman"/>
          <w:sz w:val="32"/>
          <w:szCs w:val="32"/>
        </w:rPr>
        <w:t>2035</w:t>
      </w:r>
      <w:r>
        <w:rPr>
          <w:rFonts w:hint="eastAsia" w:ascii="方正仿宋_GBK" w:hAnsi="方正仿宋_GBK" w:eastAsia="方正仿宋_GBK" w:cs="方正仿宋_GBK"/>
          <w:sz w:val="32"/>
          <w:szCs w:val="32"/>
        </w:rPr>
        <w:t>》、《教育部关于印发县域义务教育优质均衡发展督导评估办法的通知》（教督〔</w:t>
      </w:r>
      <w:r>
        <w:rPr>
          <w:rFonts w:hint="default" w:ascii="Times New Roman" w:hAnsi="Times New Roman" w:cs="Times New Roman"/>
          <w:sz w:val="32"/>
          <w:szCs w:val="32"/>
        </w:rPr>
        <w:t>2017</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号）、《重庆市人民政府关于统筹推进区县域内城乡义务教育一体化改革发展的实施意见》（渝府发〔</w:t>
      </w:r>
      <w:r>
        <w:rPr>
          <w:rFonts w:hint="default" w:ascii="Times New Roman" w:hAnsi="Times New Roman" w:cs="Times New Roman"/>
          <w:sz w:val="32"/>
          <w:szCs w:val="32"/>
        </w:rPr>
        <w:t>2017</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43</w:t>
      </w:r>
      <w:r>
        <w:rPr>
          <w:rFonts w:hint="eastAsia" w:ascii="方正仿宋_GBK" w:hAnsi="方正仿宋_GBK" w:eastAsia="方正仿宋_GBK" w:cs="方正仿宋_GBK"/>
          <w:sz w:val="32"/>
          <w:szCs w:val="32"/>
        </w:rPr>
        <w:t>号）、《重庆市人民政府办公厅关于做好县域义务教育优质均衡发展督导评估工作的通知》（渝府办发〔</w:t>
      </w:r>
      <w:r>
        <w:rPr>
          <w:rFonts w:hint="default" w:ascii="Times New Roman" w:hAnsi="Times New Roman" w:cs="Times New Roman"/>
          <w:sz w:val="32"/>
          <w:szCs w:val="32"/>
        </w:rPr>
        <w:t>2018</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70</w:t>
      </w:r>
      <w:r>
        <w:rPr>
          <w:rFonts w:hint="eastAsia" w:ascii="方正仿宋_GBK" w:hAnsi="方正仿宋_GBK" w:eastAsia="方正仿宋_GBK" w:cs="方正仿宋_GBK"/>
          <w:sz w:val="32"/>
          <w:szCs w:val="32"/>
        </w:rPr>
        <w:t>号）精神，以及国务院教育督导委员会办公室相关工作要求，结合我市实际，制定本规划。</w:t>
      </w:r>
    </w:p>
    <w:p w14:paraId="72492841">
      <w:pPr>
        <w:pStyle w:val="2"/>
        <w:keepNext w:val="0"/>
        <w:keepLines w:val="0"/>
        <w:widowControl/>
        <w:suppressLineNumbers w:val="0"/>
        <w:spacing w:before="0" w:beforeAutospacing="0" w:after="0" w:afterAutospacing="0" w:line="605" w:lineRule="atLeast"/>
        <w:ind w:left="0" w:right="0" w:firstLine="634"/>
        <w:jc w:val="both"/>
      </w:pPr>
      <w:r>
        <w:rPr>
          <w:rFonts w:ascii="方正黑体_GBK" w:hAnsi="方正黑体_GBK" w:eastAsia="方正黑体_GBK" w:cs="方正黑体_GBK"/>
          <w:sz w:val="32"/>
          <w:szCs w:val="32"/>
        </w:rPr>
        <w:t>一、指导思想</w:t>
      </w:r>
    </w:p>
    <w:p w14:paraId="7AA2A8C1">
      <w:pPr>
        <w:pStyle w:val="2"/>
        <w:keepNext w:val="0"/>
        <w:keepLines w:val="0"/>
        <w:widowControl/>
        <w:suppressLineNumbers w:val="0"/>
        <w:spacing w:before="0" w:beforeAutospacing="0" w:after="0" w:afterAutospacing="0" w:line="605" w:lineRule="atLeast"/>
        <w:ind w:left="0" w:right="0" w:firstLine="634"/>
        <w:rPr>
          <w:sz w:val="19"/>
          <w:szCs w:val="19"/>
        </w:rPr>
      </w:pPr>
      <w:r>
        <w:rPr>
          <w:rFonts w:hint="eastAsia" w:ascii="方正仿宋_GBK" w:hAnsi="方正仿宋_GBK" w:eastAsia="方正仿宋_GBK" w:cs="方正仿宋_GBK"/>
          <w:sz w:val="32"/>
          <w:szCs w:val="32"/>
        </w:rPr>
        <w:t>以习近平新时代中国特色社会主义思想为指导，深入贯彻党的十九大和十九届二中、三中、四中、五中、六中全会精神，认真落实全国教育大会精神，全面贯彻党的教育方针，立足新发展阶段，完整、准确、全面贯彻新发展理念，积极融入和服务新发展格局，以促进教育公平为重点，以提高教育质量为目标，按照“统筹规划、城乡一体、注重质量、分步推进”的总体思路，努力办好每一所学校，推动健全高质量教育体系，更好地满足人民群众对优质教育需求，为实现教育现代化打下坚实基础。</w:t>
      </w:r>
    </w:p>
    <w:p w14:paraId="496E9E24">
      <w:pPr>
        <w:pStyle w:val="2"/>
        <w:keepNext w:val="0"/>
        <w:keepLines w:val="0"/>
        <w:widowControl/>
        <w:suppressLineNumbers w:val="0"/>
        <w:spacing w:before="0" w:beforeAutospacing="0" w:after="0" w:afterAutospacing="0" w:line="605" w:lineRule="atLeast"/>
        <w:ind w:left="0" w:right="0" w:firstLine="634"/>
        <w:jc w:val="both"/>
      </w:pPr>
      <w:r>
        <w:rPr>
          <w:rFonts w:hint="eastAsia" w:ascii="方正黑体_GBK" w:hAnsi="方正黑体_GBK" w:eastAsia="方正黑体_GBK" w:cs="方正黑体_GBK"/>
          <w:sz w:val="32"/>
          <w:szCs w:val="32"/>
        </w:rPr>
        <w:t>二、总体目标</w:t>
      </w:r>
    </w:p>
    <w:p w14:paraId="731C83F4">
      <w:pPr>
        <w:pStyle w:val="2"/>
        <w:keepNext w:val="0"/>
        <w:keepLines w:val="0"/>
        <w:widowControl/>
        <w:suppressLineNumbers w:val="0"/>
        <w:spacing w:before="0" w:beforeAutospacing="0" w:after="0" w:afterAutospacing="0" w:line="605" w:lineRule="atLeast"/>
        <w:ind w:left="0" w:right="0"/>
        <w:rPr>
          <w:sz w:val="19"/>
          <w:szCs w:val="19"/>
        </w:rPr>
      </w:pPr>
      <w:r>
        <w:rPr>
          <w:rFonts w:hint="eastAsia" w:ascii="方正仿宋_GBK" w:hAnsi="方正仿宋_GBK" w:eastAsia="方正仿宋_GBK" w:cs="方正仿宋_GBK"/>
          <w:sz w:val="32"/>
          <w:szCs w:val="32"/>
        </w:rPr>
        <w:t>　　通过义务教育优质均衡发展督导评估，引导树立更鲜明的全面发展理念，建设更高素质的教师队伍，实现更高程度的标准化建设，提供更高质量的教育服务，到</w:t>
      </w:r>
      <w:r>
        <w:rPr>
          <w:rFonts w:hint="default" w:ascii="Times New Roman" w:hAnsi="Times New Roman" w:cs="Times New Roman"/>
          <w:sz w:val="32"/>
          <w:szCs w:val="32"/>
        </w:rPr>
        <w:t>2030</w:t>
      </w:r>
      <w:r>
        <w:rPr>
          <w:rFonts w:hint="eastAsia" w:ascii="方正仿宋_GBK" w:hAnsi="方正仿宋_GBK" w:eastAsia="方正仿宋_GBK" w:cs="方正仿宋_GBK"/>
          <w:sz w:val="32"/>
          <w:szCs w:val="32"/>
        </w:rPr>
        <w:t>年，全市所有区县（自治县，含两江新区、重庆高新区、万盛经开区，以下统称区县）全部实现县域内义务教育优质均衡发展，全市整体通过国家义务教育优质均衡发展督导评估认定。</w:t>
      </w:r>
    </w:p>
    <w:p w14:paraId="4F3F3DBE">
      <w:pPr>
        <w:pStyle w:val="2"/>
        <w:keepNext w:val="0"/>
        <w:keepLines w:val="0"/>
        <w:widowControl/>
        <w:suppressLineNumbers w:val="0"/>
        <w:spacing w:before="0" w:beforeAutospacing="0" w:after="0" w:afterAutospacing="0" w:line="605" w:lineRule="atLeast"/>
        <w:ind w:left="0" w:right="0" w:firstLine="634"/>
        <w:jc w:val="both"/>
      </w:pPr>
      <w:r>
        <w:rPr>
          <w:rFonts w:hint="eastAsia" w:ascii="方正黑体_GBK" w:hAnsi="方正黑体_GBK" w:eastAsia="方正黑体_GBK" w:cs="方正黑体_GBK"/>
          <w:sz w:val="32"/>
          <w:szCs w:val="32"/>
        </w:rPr>
        <w:t>三、基本原则</w:t>
      </w:r>
    </w:p>
    <w:p w14:paraId="762B610C">
      <w:pPr>
        <w:pStyle w:val="2"/>
        <w:keepNext w:val="0"/>
        <w:keepLines w:val="0"/>
        <w:widowControl/>
        <w:suppressLineNumbers w:val="0"/>
        <w:spacing w:before="0" w:beforeAutospacing="0" w:after="0" w:afterAutospacing="0" w:line="605" w:lineRule="atLeast"/>
        <w:ind w:left="0" w:right="0"/>
        <w:rPr>
          <w:sz w:val="19"/>
          <w:szCs w:val="19"/>
        </w:rPr>
      </w:pPr>
      <w:r>
        <w:rPr>
          <w:rStyle w:val="5"/>
          <w:rFonts w:hint="eastAsia" w:ascii="方正仿宋_GBK" w:hAnsi="方正仿宋_GBK" w:eastAsia="方正仿宋_GBK" w:cs="方正仿宋_GBK"/>
          <w:sz w:val="32"/>
          <w:szCs w:val="32"/>
        </w:rPr>
        <w:t>　　</w:t>
      </w:r>
      <w:r>
        <w:rPr>
          <w:rStyle w:val="5"/>
          <w:rFonts w:hint="eastAsia" w:ascii="方正楷体_GBK" w:hAnsi="方正楷体_GBK" w:eastAsia="方正楷体_GBK" w:cs="方正楷体_GBK"/>
          <w:sz w:val="32"/>
          <w:szCs w:val="32"/>
        </w:rPr>
        <w:t>（一）统筹规划，稳步推进。</w:t>
      </w:r>
      <w:r>
        <w:rPr>
          <w:rFonts w:hint="eastAsia" w:ascii="方正仿宋_GBK" w:hAnsi="方正仿宋_GBK" w:eastAsia="方正仿宋_GBK" w:cs="方正仿宋_GBK"/>
          <w:sz w:val="32"/>
          <w:szCs w:val="32"/>
        </w:rPr>
        <w:t>坚持与“十四五”规划和</w:t>
      </w:r>
      <w:r>
        <w:rPr>
          <w:rFonts w:hint="default" w:ascii="Times New Roman" w:hAnsi="Times New Roman" w:cs="Times New Roman"/>
          <w:sz w:val="32"/>
          <w:szCs w:val="32"/>
        </w:rPr>
        <w:t>2035</w:t>
      </w:r>
      <w:r>
        <w:rPr>
          <w:rFonts w:hint="eastAsia" w:ascii="方正仿宋_GBK" w:hAnsi="方正仿宋_GBK" w:eastAsia="方正仿宋_GBK" w:cs="方正仿宋_GBK"/>
          <w:sz w:val="32"/>
          <w:szCs w:val="32"/>
        </w:rPr>
        <w:t>年远景目标相结合，进一步强化市级统筹，注重示范引领、分类指导，落实区县政府发展义务教育的主体责任，按规划稳步推进义务教育优质均衡发展督导评估。</w:t>
      </w:r>
    </w:p>
    <w:p w14:paraId="7979EDF6">
      <w:pPr>
        <w:pStyle w:val="2"/>
        <w:keepNext w:val="0"/>
        <w:keepLines w:val="0"/>
        <w:widowControl/>
        <w:suppressLineNumbers w:val="0"/>
        <w:spacing w:before="0" w:beforeAutospacing="0" w:after="0" w:afterAutospacing="0" w:line="605" w:lineRule="atLeast"/>
        <w:ind w:left="0" w:right="0" w:firstLine="634"/>
        <w:rPr>
          <w:sz w:val="19"/>
          <w:szCs w:val="19"/>
        </w:rPr>
      </w:pPr>
      <w:r>
        <w:rPr>
          <w:rStyle w:val="5"/>
          <w:rFonts w:hint="eastAsia" w:ascii="方正楷体_GBK" w:hAnsi="方正楷体_GBK" w:eastAsia="方正楷体_GBK" w:cs="方正楷体_GBK"/>
          <w:sz w:val="32"/>
          <w:szCs w:val="32"/>
        </w:rPr>
        <w:t>（二）对标对表，注重质量。</w:t>
      </w:r>
      <w:r>
        <w:rPr>
          <w:rFonts w:hint="eastAsia" w:ascii="方正仿宋_GBK" w:hAnsi="方正仿宋_GBK" w:eastAsia="方正仿宋_GBK" w:cs="方正仿宋_GBK"/>
          <w:sz w:val="32"/>
          <w:szCs w:val="32"/>
        </w:rPr>
        <w:t>坚持严格按照“校校达标”“项项达标”评估要求，以质量均衡为核心，补短板、强弱项，“一校一策”推进义务教育学校达到全国统一标准，推动政府保障更强、资源配置更优、教育质量更高、社会认可更好。</w:t>
      </w:r>
    </w:p>
    <w:p w14:paraId="70B2D0A2">
      <w:pPr>
        <w:pStyle w:val="2"/>
        <w:keepNext w:val="0"/>
        <w:keepLines w:val="0"/>
        <w:widowControl/>
        <w:suppressLineNumbers w:val="0"/>
        <w:spacing w:before="0" w:beforeAutospacing="0" w:after="0" w:afterAutospacing="0" w:line="605" w:lineRule="atLeast"/>
        <w:ind w:left="0" w:right="0" w:firstLine="634"/>
        <w:rPr>
          <w:sz w:val="19"/>
          <w:szCs w:val="19"/>
        </w:rPr>
      </w:pPr>
      <w:r>
        <w:rPr>
          <w:rStyle w:val="5"/>
          <w:rFonts w:hint="eastAsia" w:ascii="方正楷体_GBK" w:hAnsi="方正楷体_GBK" w:eastAsia="方正楷体_GBK" w:cs="方正楷体_GBK"/>
          <w:sz w:val="32"/>
          <w:szCs w:val="32"/>
        </w:rPr>
        <w:t>（三）强化督导，突出实效。</w:t>
      </w:r>
      <w:r>
        <w:rPr>
          <w:rFonts w:hint="eastAsia" w:ascii="方正仿宋_GBK" w:hAnsi="方正仿宋_GBK" w:eastAsia="方正仿宋_GBK" w:cs="方正仿宋_GBK"/>
          <w:sz w:val="32"/>
          <w:szCs w:val="32"/>
        </w:rPr>
        <w:t>坚持问题导向，强化过程督导，保障公平，督促区县政府持续高度重视义务教育优质均衡发展工作，加大投入力度、工作力度，推动各项具体任务落到实处、取得实效，确保义务教育均衡发展水平稳步提升。</w:t>
      </w:r>
    </w:p>
    <w:p w14:paraId="1B039DED">
      <w:pPr>
        <w:pStyle w:val="2"/>
        <w:keepNext w:val="0"/>
        <w:keepLines w:val="0"/>
        <w:widowControl/>
        <w:suppressLineNumbers w:val="0"/>
        <w:spacing w:before="0" w:beforeAutospacing="0" w:after="0" w:afterAutospacing="0" w:line="605" w:lineRule="atLeast"/>
        <w:ind w:left="0" w:right="0" w:firstLine="634"/>
        <w:jc w:val="both"/>
      </w:pPr>
      <w:r>
        <w:rPr>
          <w:rFonts w:hint="eastAsia" w:ascii="方正黑体_GBK" w:hAnsi="方正黑体_GBK" w:eastAsia="方正黑体_GBK" w:cs="方正黑体_GBK"/>
          <w:sz w:val="32"/>
          <w:szCs w:val="32"/>
        </w:rPr>
        <w:t>四、进度安排</w:t>
      </w:r>
    </w:p>
    <w:p w14:paraId="3880AB9E">
      <w:pPr>
        <w:pStyle w:val="2"/>
        <w:keepNext w:val="0"/>
        <w:keepLines w:val="0"/>
        <w:widowControl/>
        <w:suppressLineNumbers w:val="0"/>
        <w:spacing w:before="0" w:beforeAutospacing="0" w:after="0" w:afterAutospacing="0" w:line="605" w:lineRule="atLeast"/>
        <w:ind w:left="0" w:right="0" w:firstLine="634"/>
        <w:rPr>
          <w:sz w:val="19"/>
          <w:szCs w:val="19"/>
        </w:rPr>
      </w:pPr>
      <w:r>
        <w:rPr>
          <w:rStyle w:val="5"/>
          <w:rFonts w:hint="eastAsia" w:ascii="方正楷体_GBK" w:hAnsi="方正楷体_GBK" w:eastAsia="方正楷体_GBK" w:cs="方正楷体_GBK"/>
          <w:sz w:val="32"/>
          <w:szCs w:val="32"/>
        </w:rPr>
        <w:t>（一）试点推进阶段（</w:t>
      </w:r>
      <w:r>
        <w:rPr>
          <w:rStyle w:val="5"/>
          <w:rFonts w:hint="default" w:ascii="Times New Roman" w:hAnsi="Times New Roman" w:cs="Times New Roman"/>
          <w:sz w:val="32"/>
          <w:szCs w:val="32"/>
        </w:rPr>
        <w:t>2021</w:t>
      </w:r>
      <w:r>
        <w:rPr>
          <w:rStyle w:val="5"/>
          <w:rFonts w:hint="eastAsia" w:ascii="方正楷体_GBK" w:hAnsi="方正楷体_GBK" w:eastAsia="方正楷体_GBK" w:cs="方正楷体_GBK"/>
          <w:sz w:val="32"/>
          <w:szCs w:val="32"/>
        </w:rPr>
        <w:t>年至</w:t>
      </w:r>
      <w:r>
        <w:rPr>
          <w:rStyle w:val="5"/>
          <w:rFonts w:hint="default" w:ascii="Times New Roman" w:hAnsi="Times New Roman" w:cs="Times New Roman"/>
          <w:sz w:val="32"/>
          <w:szCs w:val="32"/>
        </w:rPr>
        <w:t>2023</w:t>
      </w:r>
      <w:r>
        <w:rPr>
          <w:rStyle w:val="5"/>
          <w:rFonts w:hint="eastAsia" w:ascii="方正楷体_GBK" w:hAnsi="方正楷体_GBK" w:eastAsia="方正楷体_GBK" w:cs="方正楷体_GBK"/>
          <w:sz w:val="32"/>
          <w:szCs w:val="32"/>
        </w:rPr>
        <w:t>年）。</w:t>
      </w:r>
      <w:r>
        <w:rPr>
          <w:rFonts w:hint="eastAsia" w:ascii="方正仿宋_GBK" w:hAnsi="方正仿宋_GBK" w:eastAsia="方正仿宋_GBK" w:cs="方正仿宋_GBK"/>
          <w:sz w:val="32"/>
          <w:szCs w:val="32"/>
        </w:rPr>
        <w:t>根据前期各区县自查和市级县域义务教育优质均衡发展指标监测情况，推动条件相对成熟的区县率先接受国家督导评估认定，力争到</w:t>
      </w: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年有</w:t>
      </w: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个区县通过国家督导评估认定。</w:t>
      </w:r>
    </w:p>
    <w:p w14:paraId="31A64DF0">
      <w:pPr>
        <w:pStyle w:val="2"/>
        <w:keepNext w:val="0"/>
        <w:keepLines w:val="0"/>
        <w:widowControl/>
        <w:suppressLineNumbers w:val="0"/>
        <w:spacing w:before="0" w:beforeAutospacing="0" w:after="0" w:afterAutospacing="0" w:line="605" w:lineRule="atLeast"/>
        <w:ind w:left="0" w:right="0" w:firstLine="634"/>
        <w:jc w:val="both"/>
      </w:pPr>
      <w:r>
        <w:rPr>
          <w:rStyle w:val="5"/>
          <w:rFonts w:hint="eastAsia" w:ascii="方正楷体_GBK" w:hAnsi="方正楷体_GBK" w:eastAsia="方正楷体_GBK" w:cs="方正楷体_GBK"/>
          <w:sz w:val="32"/>
          <w:szCs w:val="32"/>
        </w:rPr>
        <w:t>（二）整体推进阶段（</w:t>
      </w:r>
      <w:r>
        <w:rPr>
          <w:rStyle w:val="5"/>
          <w:rFonts w:hint="default" w:ascii="Times New Roman" w:hAnsi="Times New Roman" w:cs="Times New Roman"/>
          <w:sz w:val="32"/>
          <w:szCs w:val="32"/>
        </w:rPr>
        <w:t>2024</w:t>
      </w:r>
      <w:r>
        <w:rPr>
          <w:rStyle w:val="5"/>
          <w:rFonts w:hint="eastAsia" w:ascii="方正楷体_GBK" w:hAnsi="方正楷体_GBK" w:eastAsia="方正楷体_GBK" w:cs="方正楷体_GBK"/>
          <w:sz w:val="32"/>
          <w:szCs w:val="32"/>
        </w:rPr>
        <w:t>年至</w:t>
      </w:r>
      <w:r>
        <w:rPr>
          <w:rStyle w:val="5"/>
          <w:rFonts w:hint="default" w:ascii="Times New Roman" w:hAnsi="Times New Roman" w:cs="Times New Roman"/>
          <w:sz w:val="32"/>
          <w:szCs w:val="32"/>
        </w:rPr>
        <w:t>2028</w:t>
      </w:r>
      <w:r>
        <w:rPr>
          <w:rStyle w:val="5"/>
          <w:rFonts w:hint="eastAsia" w:ascii="方正楷体_GBK" w:hAnsi="方正楷体_GBK" w:eastAsia="方正楷体_GBK" w:cs="方正楷体_GBK"/>
          <w:sz w:val="32"/>
          <w:szCs w:val="32"/>
        </w:rPr>
        <w:t>年）。</w:t>
      </w:r>
      <w:r>
        <w:rPr>
          <w:rFonts w:hint="eastAsia" w:ascii="方正仿宋_GBK" w:hAnsi="方正仿宋_GBK" w:eastAsia="方正仿宋_GBK" w:cs="方正仿宋_GBK"/>
          <w:sz w:val="32"/>
          <w:szCs w:val="32"/>
        </w:rPr>
        <w:t>在充分总结试点工作经验的基础上，按照督导评估工作规划，着力推动一批基础较好的区县分年度接受国家督导评估认定，力争到</w:t>
      </w:r>
      <w:r>
        <w:rPr>
          <w:rFonts w:hint="default" w:ascii="Times New Roman" w:hAnsi="Times New Roman" w:cs="Times New Roman"/>
          <w:sz w:val="32"/>
          <w:szCs w:val="32"/>
        </w:rPr>
        <w:t>2028</w:t>
      </w:r>
      <w:r>
        <w:rPr>
          <w:rFonts w:hint="eastAsia" w:ascii="方正仿宋_GBK" w:hAnsi="方正仿宋_GBK" w:eastAsia="方正仿宋_GBK" w:cs="方正仿宋_GBK"/>
          <w:sz w:val="32"/>
          <w:szCs w:val="32"/>
        </w:rPr>
        <w:t>年新增</w:t>
      </w:r>
      <w:r>
        <w:rPr>
          <w:rFonts w:hint="default" w:ascii="Times New Roman" w:hAnsi="Times New Roman" w:cs="Times New Roman"/>
          <w:sz w:val="32"/>
          <w:szCs w:val="32"/>
        </w:rPr>
        <w:t>30</w:t>
      </w:r>
      <w:r>
        <w:rPr>
          <w:rFonts w:hint="eastAsia" w:ascii="方正仿宋_GBK" w:hAnsi="方正仿宋_GBK" w:eastAsia="方正仿宋_GBK" w:cs="方正仿宋_GBK"/>
          <w:sz w:val="32"/>
          <w:szCs w:val="32"/>
        </w:rPr>
        <w:t>个区县通过国家督导评估认定。</w:t>
      </w:r>
    </w:p>
    <w:p w14:paraId="163BA045">
      <w:pPr>
        <w:pStyle w:val="2"/>
        <w:keepNext w:val="0"/>
        <w:keepLines w:val="0"/>
        <w:widowControl/>
        <w:suppressLineNumbers w:val="0"/>
        <w:spacing w:before="0" w:beforeAutospacing="0" w:after="0" w:afterAutospacing="0" w:line="605" w:lineRule="atLeast"/>
        <w:ind w:left="0" w:right="0" w:firstLine="634"/>
        <w:jc w:val="both"/>
      </w:pPr>
      <w:r>
        <w:rPr>
          <w:rStyle w:val="5"/>
          <w:rFonts w:hint="eastAsia" w:ascii="方正楷体_GBK" w:hAnsi="方正楷体_GBK" w:eastAsia="方正楷体_GBK" w:cs="方正楷体_GBK"/>
          <w:sz w:val="32"/>
          <w:szCs w:val="32"/>
        </w:rPr>
        <w:t>（三）攻坚推进阶段（</w:t>
      </w:r>
      <w:r>
        <w:rPr>
          <w:rStyle w:val="5"/>
          <w:rFonts w:hint="default" w:ascii="Times New Roman" w:hAnsi="Times New Roman" w:cs="Times New Roman"/>
          <w:sz w:val="32"/>
          <w:szCs w:val="32"/>
        </w:rPr>
        <w:t>2029</w:t>
      </w:r>
      <w:r>
        <w:rPr>
          <w:rStyle w:val="5"/>
          <w:rFonts w:hint="eastAsia" w:ascii="方正楷体_GBK" w:hAnsi="方正楷体_GBK" w:eastAsia="方正楷体_GBK" w:cs="方正楷体_GBK"/>
          <w:sz w:val="32"/>
          <w:szCs w:val="32"/>
        </w:rPr>
        <w:t>年至</w:t>
      </w:r>
      <w:r>
        <w:rPr>
          <w:rStyle w:val="5"/>
          <w:rFonts w:hint="default" w:ascii="Times New Roman" w:hAnsi="Times New Roman" w:cs="Times New Roman"/>
          <w:sz w:val="32"/>
          <w:szCs w:val="32"/>
        </w:rPr>
        <w:t>2030</w:t>
      </w:r>
      <w:r>
        <w:rPr>
          <w:rStyle w:val="5"/>
          <w:rFonts w:hint="eastAsia" w:ascii="方正楷体_GBK" w:hAnsi="方正楷体_GBK" w:eastAsia="方正楷体_GBK" w:cs="方正楷体_GBK"/>
          <w:sz w:val="32"/>
          <w:szCs w:val="32"/>
        </w:rPr>
        <w:t>年）。</w:t>
      </w:r>
      <w:r>
        <w:rPr>
          <w:rFonts w:hint="eastAsia" w:ascii="方正仿宋_GBK" w:hAnsi="方正仿宋_GBK" w:eastAsia="方正仿宋_GBK" w:cs="方正仿宋_GBK"/>
          <w:sz w:val="32"/>
          <w:szCs w:val="32"/>
        </w:rPr>
        <w:t>对已经通过国家督导评估认定的区县实行“回头看”。对还未实现义务教育优质均衡发展的个别区县给予重点督促、分类指导，确保剩余</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个区县通过国家督导评估认定，到</w:t>
      </w:r>
      <w:r>
        <w:rPr>
          <w:rFonts w:hint="default" w:ascii="Times New Roman" w:hAnsi="Times New Roman" w:cs="Times New Roman"/>
          <w:sz w:val="32"/>
          <w:szCs w:val="32"/>
        </w:rPr>
        <w:t>2030</w:t>
      </w:r>
      <w:r>
        <w:rPr>
          <w:rFonts w:hint="eastAsia" w:ascii="方正仿宋_GBK" w:hAnsi="方正仿宋_GBK" w:eastAsia="方正仿宋_GBK" w:cs="方正仿宋_GBK"/>
          <w:sz w:val="32"/>
          <w:szCs w:val="32"/>
        </w:rPr>
        <w:t>年全市整体通过国家县域义务教育优质均衡发展督导评估认定。</w:t>
      </w:r>
    </w:p>
    <w:p w14:paraId="14E8E8FB">
      <w:pPr>
        <w:pStyle w:val="2"/>
        <w:keepNext w:val="0"/>
        <w:keepLines w:val="0"/>
        <w:widowControl/>
        <w:suppressLineNumbers w:val="0"/>
        <w:spacing w:before="0" w:beforeAutospacing="0" w:after="0" w:afterAutospacing="0" w:line="605" w:lineRule="atLeast"/>
        <w:ind w:left="0" w:right="0" w:firstLine="634"/>
        <w:jc w:val="both"/>
      </w:pPr>
      <w:r>
        <w:rPr>
          <w:rFonts w:hint="eastAsia" w:ascii="方正黑体_GBK" w:hAnsi="方正黑体_GBK" w:eastAsia="方正黑体_GBK" w:cs="方正黑体_GBK"/>
          <w:sz w:val="32"/>
          <w:szCs w:val="32"/>
        </w:rPr>
        <w:t>五、保障措施</w:t>
      </w:r>
    </w:p>
    <w:p w14:paraId="0F45CE7F">
      <w:pPr>
        <w:pStyle w:val="2"/>
        <w:keepNext w:val="0"/>
        <w:keepLines w:val="0"/>
        <w:widowControl/>
        <w:suppressLineNumbers w:val="0"/>
        <w:spacing w:before="0" w:beforeAutospacing="0" w:after="0" w:afterAutospacing="0" w:line="605" w:lineRule="atLeast"/>
        <w:ind w:left="0" w:right="0"/>
        <w:rPr>
          <w:sz w:val="19"/>
          <w:szCs w:val="19"/>
        </w:rPr>
      </w:pPr>
      <w:r>
        <w:rPr>
          <w:rStyle w:val="5"/>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　</w:t>
      </w:r>
      <w:r>
        <w:rPr>
          <w:rStyle w:val="5"/>
          <w:rFonts w:hint="eastAsia" w:ascii="方正楷体_GBK" w:hAnsi="方正楷体_GBK" w:eastAsia="方正楷体_GBK" w:cs="方正楷体_GBK"/>
          <w:sz w:val="32"/>
          <w:szCs w:val="32"/>
        </w:rPr>
        <w:t>（一）强化组织领导。</w:t>
      </w:r>
      <w:r>
        <w:rPr>
          <w:rFonts w:hint="eastAsia" w:ascii="方正仿宋_GBK" w:hAnsi="方正仿宋_GBK" w:eastAsia="方正仿宋_GBK" w:cs="方正仿宋_GBK"/>
          <w:sz w:val="32"/>
          <w:szCs w:val="32"/>
        </w:rPr>
        <w:t>切实健全党委统一领导、党政齐抓共管、部门各负其责的义务教育优质均衡发展领导体制，建立健全“市级统筹、区县为主、部门联动”的县域义务教育优质均衡发展督导评估工作推进机制。各区县党委教育工作领导小组要加强统筹协调，政府教育督导委员会要把创建全国义务教育优质均衡发展区县、推进县域义务教育优质均衡督导评估作为重要战略任务，经常研究谋划、经常部署推动、经常检查落实，及时研究解决阻碍县域义务教育优质均衡发展的重大问题和人民群众普遍关心的热点难点问题。</w:t>
      </w:r>
    </w:p>
    <w:p w14:paraId="0D066385">
      <w:pPr>
        <w:pStyle w:val="2"/>
        <w:keepNext w:val="0"/>
        <w:keepLines w:val="0"/>
        <w:widowControl/>
        <w:suppressLineNumbers w:val="0"/>
        <w:spacing w:before="0" w:beforeAutospacing="0" w:after="0" w:afterAutospacing="0" w:line="605" w:lineRule="atLeast"/>
        <w:ind w:left="0" w:right="0"/>
        <w:rPr>
          <w:sz w:val="19"/>
          <w:szCs w:val="19"/>
        </w:rPr>
      </w:pPr>
      <w:r>
        <w:rPr>
          <w:rStyle w:val="5"/>
          <w:rFonts w:hint="eastAsia" w:ascii="方正仿宋_GBK" w:hAnsi="方正仿宋_GBK" w:eastAsia="方正仿宋_GBK" w:cs="方正仿宋_GBK"/>
          <w:sz w:val="32"/>
          <w:szCs w:val="32"/>
        </w:rPr>
        <w:t>　　</w:t>
      </w:r>
      <w:r>
        <w:rPr>
          <w:rStyle w:val="5"/>
          <w:rFonts w:hint="eastAsia" w:ascii="方正楷体_GBK" w:hAnsi="方正楷体_GBK" w:eastAsia="方正楷体_GBK" w:cs="方正楷体_GBK"/>
          <w:sz w:val="32"/>
          <w:szCs w:val="32"/>
        </w:rPr>
        <w:t>（二）压实各方责任。</w:t>
      </w:r>
      <w:r>
        <w:rPr>
          <w:rFonts w:hint="eastAsia" w:ascii="方正仿宋_GBK" w:hAnsi="方正仿宋_GBK" w:eastAsia="方正仿宋_GBK" w:cs="方正仿宋_GBK"/>
          <w:sz w:val="32"/>
          <w:szCs w:val="32"/>
        </w:rPr>
        <w:t>各区县政府要强化义务教育优质均衡发展主体责任、统筹责任，优化县域内城乡义务教育学校规划布局；加大投入力度，增加城区义务教育资源总量，逐步提高义务教育学校生均公用经费基准定额，增加生均教学及辅助用房面积及体育运动场馆面积，务实化解大校额、大班额；加强中小学教师队伍建设，确保配置合理、城乡均衡。区县教育部门、督导机构要摸清底数，找准短板，“一校一策”制定时间表、路线图。各义务教育学校要进一步发挥自主发展活力，全面落实立德树人根本任务，促进学生全面发展，引领教师专业发展，提升教育教学质量。</w:t>
      </w:r>
    </w:p>
    <w:p w14:paraId="25B855FA">
      <w:pPr>
        <w:pStyle w:val="2"/>
        <w:keepNext w:val="0"/>
        <w:keepLines w:val="0"/>
        <w:widowControl/>
        <w:suppressLineNumbers w:val="0"/>
        <w:spacing w:before="0" w:beforeAutospacing="0" w:after="0" w:afterAutospacing="0" w:line="605" w:lineRule="atLeast"/>
        <w:ind w:left="0" w:right="0" w:firstLine="634"/>
        <w:jc w:val="both"/>
      </w:pPr>
      <w:r>
        <w:rPr>
          <w:rStyle w:val="5"/>
          <w:rFonts w:hint="eastAsia" w:ascii="方正楷体_GBK" w:hAnsi="方正楷体_GBK" w:eastAsia="方正楷体_GBK" w:cs="方正楷体_GBK"/>
          <w:sz w:val="32"/>
          <w:szCs w:val="32"/>
        </w:rPr>
        <w:t>（三）注重考核问责。</w:t>
      </w:r>
      <w:r>
        <w:rPr>
          <w:rFonts w:hint="eastAsia" w:ascii="方正仿宋_GBK" w:hAnsi="方正仿宋_GBK" w:eastAsia="方正仿宋_GBK" w:cs="方正仿宋_GBK"/>
          <w:sz w:val="32"/>
          <w:szCs w:val="32"/>
        </w:rPr>
        <w:t>将县域义务教育优质均衡发展重点指标纳入对区县政府履行教育职责评价指标体系。对工作进展快、推进效果好的区县，市级层面在政策支持、资源配置等方面予以倾斜支持；对按时通过国家县域义务教育优质均衡发展督导评估认定的区县在安排市级有关专项转移支付资金时予以优先考虑</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对市级奖补资金下发三年内未完成创建工作的区县严肃问责、追回款项。对推进县域义务教育优质均衡发展不力、复查结果达不到规定要求的区县，按《教育督导问责办法》进行问责追责。</w:t>
      </w:r>
    </w:p>
    <w:p w14:paraId="00F77641">
      <w:pPr>
        <w:pStyle w:val="2"/>
        <w:keepNext w:val="0"/>
        <w:keepLines w:val="0"/>
        <w:widowControl/>
        <w:suppressLineNumbers w:val="0"/>
        <w:spacing w:before="0" w:beforeAutospacing="0" w:after="0" w:afterAutospacing="0" w:line="605" w:lineRule="atLeast"/>
        <w:ind w:left="0" w:right="0" w:firstLine="634"/>
        <w:rPr>
          <w:sz w:val="19"/>
          <w:szCs w:val="19"/>
        </w:rPr>
      </w:pPr>
      <w:r>
        <w:rPr>
          <w:rStyle w:val="5"/>
          <w:rFonts w:hint="eastAsia" w:ascii="方正楷体_GBK" w:hAnsi="方正楷体_GBK" w:eastAsia="方正楷体_GBK" w:cs="方正楷体_GBK"/>
          <w:sz w:val="32"/>
          <w:szCs w:val="32"/>
        </w:rPr>
        <w:t>（四）加强宣传推广。</w:t>
      </w:r>
      <w:r>
        <w:rPr>
          <w:rFonts w:hint="eastAsia" w:ascii="方正仿宋_GBK" w:hAnsi="方正仿宋_GBK" w:eastAsia="方正仿宋_GBK" w:cs="方正仿宋_GBK"/>
          <w:sz w:val="32"/>
          <w:szCs w:val="32"/>
        </w:rPr>
        <w:t>广泛做好义务教育优质均衡督导评估政策宣传、解读，在全社会营造关心支持推进义务教育优质均衡发展的良好氛围，有效发挥社会监督和舆论监督的积极作用。总结义务教育优质均衡发展的实现路径和有效举措，形成一批可复制、可推广的典型经验，充分发挥示范引领和辐射带动作用。</w:t>
      </w:r>
    </w:p>
    <w:p w14:paraId="4E1BA10C">
      <w:pPr>
        <w:pStyle w:val="2"/>
        <w:keepNext w:val="0"/>
        <w:keepLines w:val="0"/>
        <w:widowControl/>
        <w:suppressLineNumbers w:val="0"/>
        <w:spacing w:before="0" w:beforeAutospacing="0" w:after="0" w:afterAutospacing="0" w:line="605" w:lineRule="atLeast"/>
        <w:ind w:left="0" w:right="0" w:firstLine="634"/>
        <w:rPr>
          <w:sz w:val="19"/>
          <w:szCs w:val="19"/>
        </w:rPr>
      </w:pPr>
    </w:p>
    <w:p w14:paraId="67869A2F">
      <w:pPr>
        <w:pStyle w:val="2"/>
        <w:keepNext w:val="0"/>
        <w:keepLines w:val="0"/>
        <w:widowControl/>
        <w:suppressLineNumbers w:val="0"/>
        <w:spacing w:before="0" w:beforeAutospacing="0" w:after="0" w:afterAutospacing="0" w:line="605" w:lineRule="atLeast"/>
        <w:ind w:left="1598" w:right="0" w:hanging="965"/>
        <w:rPr>
          <w:sz w:val="19"/>
          <w:szCs w:val="19"/>
        </w:rPr>
      </w:pPr>
      <w:r>
        <w:rPr>
          <w:rFonts w:hint="eastAsia" w:ascii="方正仿宋_GBK" w:hAnsi="方正仿宋_GBK" w:eastAsia="方正仿宋_GBK" w:cs="方正仿宋_GBK"/>
          <w:sz w:val="32"/>
          <w:szCs w:val="32"/>
        </w:rPr>
        <w:t>附件：重庆市县域义务教育优质均衡发展通过国家督导评估认定规划进度表</w:t>
      </w:r>
    </w:p>
    <w:p w14:paraId="1F6003DF">
      <w:pPr>
        <w:pStyle w:val="2"/>
        <w:keepNext w:val="0"/>
        <w:keepLines w:val="0"/>
        <w:widowControl/>
        <w:suppressLineNumbers w:val="0"/>
        <w:spacing w:before="0" w:beforeAutospacing="0" w:after="0" w:afterAutospacing="0" w:line="605" w:lineRule="atLeast"/>
        <w:ind w:left="0" w:right="0" w:firstLine="634"/>
        <w:rPr>
          <w:sz w:val="19"/>
          <w:szCs w:val="19"/>
        </w:rPr>
      </w:pPr>
    </w:p>
    <w:p w14:paraId="66D490D2">
      <w:pPr>
        <w:pStyle w:val="2"/>
        <w:keepNext w:val="0"/>
        <w:keepLines w:val="0"/>
        <w:widowControl/>
        <w:suppressLineNumbers w:val="0"/>
        <w:spacing w:before="0" w:beforeAutospacing="0" w:after="0" w:afterAutospacing="0" w:line="605" w:lineRule="atLeast"/>
        <w:ind w:left="0" w:right="0"/>
        <w:rPr>
          <w:sz w:val="19"/>
          <w:szCs w:val="19"/>
        </w:rPr>
      </w:pPr>
      <w:r>
        <w:rPr>
          <w:rFonts w:hint="eastAsia" w:ascii="方正黑体_GBK" w:hAnsi="方正黑体_GBK" w:eastAsia="方正黑体_GBK" w:cs="方正黑体_GBK"/>
          <w:sz w:val="32"/>
          <w:szCs w:val="32"/>
        </w:rPr>
        <w:t>附件</w:t>
      </w:r>
    </w:p>
    <w:p w14:paraId="2744D067">
      <w:pPr>
        <w:pStyle w:val="2"/>
        <w:keepNext w:val="0"/>
        <w:keepLines w:val="0"/>
        <w:widowControl/>
        <w:suppressLineNumbers w:val="0"/>
        <w:spacing w:before="0" w:beforeAutospacing="0" w:after="0" w:afterAutospacing="0" w:line="605" w:lineRule="atLeast"/>
        <w:ind w:left="0" w:right="0"/>
        <w:jc w:val="center"/>
        <w:rPr>
          <w:sz w:val="19"/>
          <w:szCs w:val="19"/>
        </w:rPr>
      </w:pPr>
      <w:r>
        <w:rPr>
          <w:rFonts w:hint="eastAsia" w:ascii="方正小标宋_GBK" w:hAnsi="方正小标宋_GBK" w:eastAsia="方正小标宋_GBK" w:cs="方正小标宋_GBK"/>
          <w:sz w:val="44"/>
          <w:szCs w:val="44"/>
        </w:rPr>
        <w:t>重庆市县域义务教育优质均衡发展</w:t>
      </w:r>
    </w:p>
    <w:p w14:paraId="406D8D1C">
      <w:pPr>
        <w:pStyle w:val="2"/>
        <w:keepNext w:val="0"/>
        <w:keepLines w:val="0"/>
        <w:widowControl/>
        <w:suppressLineNumbers w:val="0"/>
        <w:spacing w:before="0" w:beforeAutospacing="0" w:after="0" w:afterAutospacing="0" w:line="605" w:lineRule="atLeast"/>
        <w:ind w:left="0" w:right="0"/>
        <w:jc w:val="center"/>
        <w:rPr>
          <w:sz w:val="19"/>
          <w:szCs w:val="19"/>
        </w:rPr>
      </w:pPr>
      <w:r>
        <w:rPr>
          <w:rFonts w:hint="eastAsia" w:ascii="方正小标宋_GBK" w:hAnsi="方正小标宋_GBK" w:eastAsia="方正小标宋_GBK" w:cs="方正小标宋_GBK"/>
          <w:sz w:val="44"/>
          <w:szCs w:val="44"/>
        </w:rPr>
        <w:t>通过国家督导评估认定规划进度表</w:t>
      </w:r>
    </w:p>
    <w:tbl>
      <w:tblPr>
        <w:tblStyle w:val="3"/>
        <w:tblW w:w="9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75" w:type="dxa"/>
          <w:left w:w="150" w:type="dxa"/>
          <w:bottom w:w="75" w:type="dxa"/>
          <w:right w:w="150" w:type="dxa"/>
        </w:tblCellMar>
      </w:tblPr>
      <w:tblGrid>
        <w:gridCol w:w="933"/>
        <w:gridCol w:w="1400"/>
        <w:gridCol w:w="6001"/>
        <w:gridCol w:w="981"/>
      </w:tblGrid>
      <w:tr w14:paraId="75E73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150" w:type="dxa"/>
            <w:bottom w:w="75" w:type="dxa"/>
            <w:right w:w="150" w:type="dxa"/>
          </w:tblCellMar>
        </w:tblPrEx>
        <w:trPr>
          <w:trHeight w:val="510" w:hRule="atLeast"/>
          <w:jc w:val="center"/>
        </w:trPr>
        <w:tc>
          <w:tcPr>
            <w:tcW w:w="217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B8A0F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黑体_GBK" w:hAnsi="方正黑体_GBK" w:eastAsia="方正黑体_GBK" w:cs="方正黑体_GBK"/>
                <w:sz w:val="28"/>
                <w:szCs w:val="28"/>
              </w:rPr>
              <w:t>年份</w:t>
            </w:r>
          </w:p>
        </w:tc>
        <w:tc>
          <w:tcPr>
            <w:tcW w:w="55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8E51E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黑体_GBK" w:hAnsi="方正黑体_GBK" w:eastAsia="方正黑体_GBK" w:cs="方正黑体_GBK"/>
                <w:sz w:val="28"/>
                <w:szCs w:val="28"/>
              </w:rPr>
              <w:t>区县</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115AE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黑体_GBK" w:hAnsi="方正黑体_GBK" w:eastAsia="方正黑体_GBK" w:cs="方正黑体_GBK"/>
                <w:sz w:val="28"/>
                <w:szCs w:val="28"/>
              </w:rPr>
              <w:t>区县数</w:t>
            </w:r>
          </w:p>
        </w:tc>
      </w:tr>
      <w:tr w14:paraId="7691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87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9573A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2022—2030</w:t>
            </w:r>
            <w:r>
              <w:rPr>
                <w:rFonts w:hint="eastAsia" w:ascii="方正仿宋_GBK" w:hAnsi="方正仿宋_GBK" w:eastAsia="方正仿宋_GBK" w:cs="方正仿宋_GBK"/>
                <w:sz w:val="28"/>
                <w:szCs w:val="28"/>
              </w:rPr>
              <w:t>年</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3EBAC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2022</w:t>
            </w:r>
            <w:r>
              <w:rPr>
                <w:rFonts w:hint="eastAsia" w:ascii="方正仿宋_GBK" w:hAnsi="方正仿宋_GBK" w:eastAsia="方正仿宋_GBK" w:cs="方正仿宋_GBK"/>
                <w:sz w:val="28"/>
                <w:szCs w:val="28"/>
              </w:rPr>
              <w:t>年</w:t>
            </w:r>
          </w:p>
        </w:tc>
        <w:tc>
          <w:tcPr>
            <w:tcW w:w="55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8453E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8"/>
                <w:szCs w:val="28"/>
              </w:rPr>
              <w:t>沙坪坝区、南岸区、两江新区、重庆高新区</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31E8F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4</w:t>
            </w:r>
          </w:p>
        </w:tc>
      </w:tr>
      <w:tr w14:paraId="20C5A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8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ED32D1C">
            <w:pPr>
              <w:rPr>
                <w:rFonts w:hint="eastAsia" w:ascii="宋体"/>
                <w:sz w:val="24"/>
                <w:szCs w:val="24"/>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462E6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2023</w:t>
            </w:r>
            <w:r>
              <w:rPr>
                <w:rFonts w:hint="eastAsia" w:ascii="方正仿宋_GBK" w:hAnsi="方正仿宋_GBK" w:eastAsia="方正仿宋_GBK" w:cs="方正仿宋_GBK"/>
                <w:sz w:val="28"/>
                <w:szCs w:val="28"/>
              </w:rPr>
              <w:t>年</w:t>
            </w:r>
          </w:p>
        </w:tc>
        <w:tc>
          <w:tcPr>
            <w:tcW w:w="55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70F61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8"/>
                <w:szCs w:val="28"/>
              </w:rPr>
              <w:t>江北区、九龙坡区</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FFF5F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2</w:t>
            </w:r>
          </w:p>
        </w:tc>
      </w:tr>
      <w:tr w14:paraId="3E71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8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115DAE4">
            <w:pPr>
              <w:rPr>
                <w:rFonts w:hint="eastAsia" w:ascii="宋体"/>
                <w:sz w:val="24"/>
                <w:szCs w:val="24"/>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2C3FF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2024</w:t>
            </w:r>
            <w:r>
              <w:rPr>
                <w:rFonts w:hint="eastAsia" w:ascii="方正仿宋_GBK" w:hAnsi="方正仿宋_GBK" w:eastAsia="方正仿宋_GBK" w:cs="方正仿宋_GBK"/>
                <w:sz w:val="28"/>
                <w:szCs w:val="28"/>
              </w:rPr>
              <w:t>年</w:t>
            </w:r>
          </w:p>
        </w:tc>
        <w:tc>
          <w:tcPr>
            <w:tcW w:w="55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1E95B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8"/>
                <w:szCs w:val="28"/>
              </w:rPr>
              <w:t>黔江区、渝中区、北碚区、潼南区、垫江县</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377A2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5</w:t>
            </w:r>
          </w:p>
        </w:tc>
      </w:tr>
      <w:tr w14:paraId="05757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8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413F83F">
            <w:pPr>
              <w:rPr>
                <w:rFonts w:hint="eastAsia" w:ascii="宋体"/>
                <w:sz w:val="24"/>
                <w:szCs w:val="24"/>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17AC3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2025</w:t>
            </w:r>
            <w:r>
              <w:rPr>
                <w:rFonts w:hint="eastAsia" w:ascii="方正仿宋_GBK" w:hAnsi="方正仿宋_GBK" w:eastAsia="方正仿宋_GBK" w:cs="方正仿宋_GBK"/>
                <w:sz w:val="28"/>
                <w:szCs w:val="28"/>
              </w:rPr>
              <w:t>年</w:t>
            </w:r>
          </w:p>
        </w:tc>
        <w:tc>
          <w:tcPr>
            <w:tcW w:w="55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6C3A9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8"/>
                <w:szCs w:val="28"/>
              </w:rPr>
              <w:t>涪陵区、大渡口区、巴南区、长寿区、江津区、璧山区、梁平区</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1DB46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7</w:t>
            </w:r>
          </w:p>
        </w:tc>
      </w:tr>
      <w:tr w14:paraId="238F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8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9A5D969">
            <w:pPr>
              <w:rPr>
                <w:rFonts w:hint="eastAsia" w:ascii="宋体"/>
                <w:sz w:val="24"/>
                <w:szCs w:val="24"/>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C2CED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2026</w:t>
            </w:r>
            <w:r>
              <w:rPr>
                <w:rFonts w:hint="eastAsia" w:ascii="方正仿宋_GBK" w:hAnsi="方正仿宋_GBK" w:eastAsia="方正仿宋_GBK" w:cs="方正仿宋_GBK"/>
                <w:sz w:val="28"/>
                <w:szCs w:val="28"/>
              </w:rPr>
              <w:t>年</w:t>
            </w:r>
          </w:p>
        </w:tc>
        <w:tc>
          <w:tcPr>
            <w:tcW w:w="55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3915B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8"/>
                <w:szCs w:val="28"/>
              </w:rPr>
              <w:t>渝北区、永川区、大足区、铜梁区</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E8948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4</w:t>
            </w:r>
          </w:p>
        </w:tc>
      </w:tr>
      <w:tr w14:paraId="3C2E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8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BFB4468">
            <w:pPr>
              <w:rPr>
                <w:rFonts w:hint="eastAsia" w:ascii="宋体"/>
                <w:sz w:val="24"/>
                <w:szCs w:val="24"/>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459CE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2027</w:t>
            </w:r>
            <w:r>
              <w:rPr>
                <w:rFonts w:hint="eastAsia" w:ascii="方正仿宋_GBK" w:hAnsi="方正仿宋_GBK" w:eastAsia="方正仿宋_GBK" w:cs="方正仿宋_GBK"/>
                <w:sz w:val="28"/>
                <w:szCs w:val="28"/>
              </w:rPr>
              <w:t>年</w:t>
            </w:r>
          </w:p>
        </w:tc>
        <w:tc>
          <w:tcPr>
            <w:tcW w:w="55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A5A8C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8"/>
                <w:szCs w:val="28"/>
              </w:rPr>
              <w:t>南川区、荣昌区、丰都县、忠县、万盛经开区</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7BE7E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5</w:t>
            </w:r>
          </w:p>
        </w:tc>
      </w:tr>
      <w:tr w14:paraId="61B8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8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2C83D02">
            <w:pPr>
              <w:rPr>
                <w:rFonts w:hint="eastAsia" w:ascii="宋体"/>
                <w:sz w:val="24"/>
                <w:szCs w:val="24"/>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BBED6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2028</w:t>
            </w:r>
            <w:r>
              <w:rPr>
                <w:rFonts w:hint="eastAsia" w:ascii="方正仿宋_GBK" w:hAnsi="方正仿宋_GBK" w:eastAsia="方正仿宋_GBK" w:cs="方正仿宋_GBK"/>
                <w:sz w:val="28"/>
                <w:szCs w:val="28"/>
              </w:rPr>
              <w:t>年</w:t>
            </w:r>
          </w:p>
        </w:tc>
        <w:tc>
          <w:tcPr>
            <w:tcW w:w="55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73182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8"/>
                <w:szCs w:val="28"/>
              </w:rPr>
              <w:t>万州区、合川区、綦江区、开州区、武隆区、奉节县、秀山县、酉阳县、彭水县</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38959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9</w:t>
            </w:r>
          </w:p>
        </w:tc>
      </w:tr>
      <w:tr w14:paraId="2E6C7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8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F18E0B3">
            <w:pPr>
              <w:rPr>
                <w:rFonts w:hint="eastAsia" w:ascii="宋体"/>
                <w:sz w:val="24"/>
                <w:szCs w:val="24"/>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9B6B7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2029</w:t>
            </w:r>
            <w:r>
              <w:rPr>
                <w:rFonts w:hint="eastAsia" w:ascii="方正仿宋_GBK" w:hAnsi="方正仿宋_GBK" w:eastAsia="方正仿宋_GBK" w:cs="方正仿宋_GBK"/>
                <w:sz w:val="28"/>
                <w:szCs w:val="28"/>
              </w:rPr>
              <w:t>年</w:t>
            </w:r>
          </w:p>
        </w:tc>
        <w:tc>
          <w:tcPr>
            <w:tcW w:w="55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2E070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8"/>
                <w:szCs w:val="28"/>
              </w:rPr>
              <w:t>云阳县、石柱县</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76AB4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2</w:t>
            </w:r>
          </w:p>
        </w:tc>
      </w:tr>
      <w:tr w14:paraId="71C0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8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F3ABD9E">
            <w:pPr>
              <w:rPr>
                <w:rFonts w:hint="eastAsia" w:ascii="宋体"/>
                <w:sz w:val="24"/>
                <w:szCs w:val="24"/>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C6FE7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2030</w:t>
            </w:r>
            <w:r>
              <w:rPr>
                <w:rFonts w:hint="eastAsia" w:ascii="方正仿宋_GBK" w:hAnsi="方正仿宋_GBK" w:eastAsia="方正仿宋_GBK" w:cs="方正仿宋_GBK"/>
                <w:sz w:val="28"/>
                <w:szCs w:val="28"/>
              </w:rPr>
              <w:t>年</w:t>
            </w:r>
          </w:p>
        </w:tc>
        <w:tc>
          <w:tcPr>
            <w:tcW w:w="55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145C7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8"/>
                <w:szCs w:val="28"/>
              </w:rPr>
              <w:t>城口县、巫山县、巫溪县</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3B05B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28"/>
                <w:szCs w:val="28"/>
              </w:rPr>
              <w:t>3</w:t>
            </w:r>
          </w:p>
        </w:tc>
      </w:tr>
    </w:tbl>
    <w:p w14:paraId="64A26922">
      <w:pPr>
        <w:pStyle w:val="2"/>
        <w:keepNext w:val="0"/>
        <w:keepLines w:val="0"/>
        <w:widowControl/>
        <w:suppressLineNumbers w:val="0"/>
        <w:spacing w:before="0" w:beforeAutospacing="0" w:after="0" w:afterAutospacing="0" w:line="195" w:lineRule="atLeast"/>
        <w:ind w:left="0" w:right="0"/>
        <w:rPr>
          <w:sz w:val="19"/>
          <w:szCs w:val="19"/>
        </w:rPr>
      </w:pPr>
    </w:p>
    <w:p w14:paraId="655A7E41">
      <w:pPr>
        <w:pStyle w:val="2"/>
        <w:keepNext w:val="0"/>
        <w:keepLines w:val="0"/>
        <w:widowControl/>
        <w:suppressLineNumbers w:val="0"/>
        <w:spacing w:before="0" w:beforeAutospacing="0" w:after="0" w:afterAutospacing="0" w:line="605" w:lineRule="atLeast"/>
        <w:ind w:left="0" w:right="0"/>
        <w:rPr>
          <w:sz w:val="19"/>
          <w:szCs w:val="19"/>
        </w:rPr>
      </w:pPr>
    </w:p>
    <w:p w14:paraId="5B84EE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ZDlhYWU5NDBlNmQyOTVmMzMxYWZmYzM5YWRjODUifQ=="/>
  </w:docVars>
  <w:rsids>
    <w:rsidRoot w:val="00000000"/>
    <w:rsid w:val="096C248B"/>
    <w:rsid w:val="1A164ACD"/>
    <w:rsid w:val="65F5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2615</Words>
  <Characters>2781</Characters>
  <Lines>0</Lines>
  <Paragraphs>0</Paragraphs>
  <TotalTime>18</TotalTime>
  <ScaleCrop>false</ScaleCrop>
  <LinksUpToDate>false</LinksUpToDate>
  <CharactersWithSpaces>2789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2024-11-08T02:51:00Z</dcterms:created>
  <dc:creator>Administrator</dc:creator>
  <cp:lastModifiedBy>！</cp:lastModifiedBy>
  <cp:lastPrinted>2024-11-14T00:33:00Z</cp:lastPrinted>
  <dcterms:modified xsi:type="dcterms:W3CDTF">2024-11-14T00:51:02Z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93E67D72D8374E03B1B78A8E84766EB5_12</vt:lpwstr>
  </property>
</Properties>
</file>