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FE875">
      <w:pPr>
        <w:spacing w:line="600" w:lineRule="exact"/>
        <w:jc w:val="center"/>
        <w:rPr>
          <w:rFonts w:ascii="方正小标宋_GBK" w:hAnsi="华文中宋" w:eastAsia="方正小标宋_GBK" w:cs="Times New Roman"/>
          <w:b/>
          <w:color w:val="000000"/>
          <w:sz w:val="44"/>
          <w:szCs w:val="44"/>
        </w:rPr>
      </w:pPr>
      <w:r>
        <w:rPr>
          <w:rFonts w:hint="eastAsia" w:ascii="方正小标宋_GBK" w:hAnsi="华文中宋" w:eastAsia="方正小标宋_GBK" w:cs="Times New Roman"/>
          <w:b/>
          <w:color w:val="000000"/>
          <w:sz w:val="44"/>
          <w:szCs w:val="44"/>
        </w:rPr>
        <w:t>石柱县责任督学管理办法</w:t>
      </w:r>
    </w:p>
    <w:p w14:paraId="66FFBE38">
      <w:pPr>
        <w:widowControl/>
        <w:jc w:val="center"/>
        <w:rPr>
          <w:rFonts w:ascii="Times New Roman" w:hAnsi="Times New Roman" w:eastAsia="宋体" w:cs="Times New Roman"/>
          <w:kern w:val="0"/>
          <w:szCs w:val="21"/>
        </w:rPr>
      </w:pPr>
      <w:r>
        <w:rPr>
          <w:rFonts w:ascii="Times New Roman" w:hAnsi="Times New Roman" w:eastAsia="宋体" w:cs="Times New Roman"/>
          <w:kern w:val="0"/>
          <w:sz w:val="32"/>
          <w:szCs w:val="32"/>
        </w:rPr>
        <w:t> </w:t>
      </w:r>
    </w:p>
    <w:p w14:paraId="53C16E48">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为加强全县责任督学管理，充分发挥督学对学校教育工作监督、指导、帮助作用，切实提高挂牌督学督导工作的实效，根据国家《教育督导条例》、《中小学校责任督学挂牌督导办法》、《重庆市学校责任督学考核办法》等有关文件精神，结合本县督导工作实际，制定本管理办法。</w:t>
      </w:r>
    </w:p>
    <w:p w14:paraId="6829E20E">
      <w:pPr>
        <w:spacing w:line="600" w:lineRule="exact"/>
        <w:ind w:firstLine="640" w:firstLineChars="200"/>
        <w:rPr>
          <w:rFonts w:ascii="方正黑体_GBK" w:hAnsi="Calibri" w:eastAsia="方正黑体_GBK" w:cs="Times New Roman"/>
          <w:b/>
          <w:color w:val="000000" w:themeColor="text1"/>
          <w:sz w:val="32"/>
          <w:szCs w:val="32"/>
        </w:rPr>
      </w:pPr>
      <w:r>
        <w:rPr>
          <w:rFonts w:hint="eastAsia" w:ascii="方正黑体_GBK" w:hAnsi="Calibri" w:eastAsia="方正黑体_GBK" w:cs="Times New Roman"/>
          <w:b/>
          <w:color w:val="000000" w:themeColor="text1"/>
          <w:sz w:val="32"/>
          <w:szCs w:val="32"/>
        </w:rPr>
        <w:t>一、组织实施</w:t>
      </w:r>
    </w:p>
    <w:p w14:paraId="4C97A635">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责任督学管理由县人民政府教育督导室负责实施，安排县教育督导室人员负责联系督导责任区工作，每学期进行一次综合考核。考评结果报县人民政府教育督导委员会审核认定后，再报县委教育工委或县教委备案。</w:t>
      </w:r>
    </w:p>
    <w:p w14:paraId="12AC32BD">
      <w:pPr>
        <w:spacing w:line="600" w:lineRule="exact"/>
        <w:ind w:firstLine="640" w:firstLineChars="200"/>
        <w:rPr>
          <w:rFonts w:ascii="方正黑体_GBK" w:hAnsi="Calibri" w:eastAsia="方正黑体_GBK" w:cs="Times New Roman"/>
          <w:b/>
          <w:color w:val="000000" w:themeColor="text1"/>
          <w:sz w:val="32"/>
          <w:szCs w:val="32"/>
        </w:rPr>
      </w:pPr>
      <w:r>
        <w:rPr>
          <w:rFonts w:hint="eastAsia" w:ascii="方正黑体_GBK" w:hAnsi="Calibri" w:eastAsia="方正黑体_GBK" w:cs="Times New Roman"/>
          <w:b/>
          <w:color w:val="000000" w:themeColor="text1"/>
          <w:sz w:val="32"/>
          <w:szCs w:val="32"/>
        </w:rPr>
        <w:t>二、管理对象</w:t>
      </w:r>
    </w:p>
    <w:p w14:paraId="2D80E821">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由县人民政府办公室任命的、县政府教育督导室聘任的，且本学年度参与学校挂牌督导工作的专兼职责任督学。</w:t>
      </w:r>
    </w:p>
    <w:p w14:paraId="2C446225">
      <w:pPr>
        <w:spacing w:line="600" w:lineRule="exact"/>
        <w:ind w:firstLine="640" w:firstLineChars="200"/>
        <w:rPr>
          <w:rFonts w:ascii="方正黑体_GBK" w:hAnsi="Calibri" w:eastAsia="方正黑体_GBK" w:cs="Times New Roman"/>
          <w:b/>
          <w:color w:val="000000" w:themeColor="text1"/>
          <w:sz w:val="32"/>
          <w:szCs w:val="32"/>
        </w:rPr>
      </w:pPr>
      <w:r>
        <w:rPr>
          <w:rFonts w:hint="eastAsia" w:ascii="方正黑体_GBK" w:hAnsi="Calibri" w:eastAsia="方正黑体_GBK" w:cs="Times New Roman"/>
          <w:b/>
          <w:color w:val="000000" w:themeColor="text1"/>
          <w:sz w:val="32"/>
          <w:szCs w:val="32"/>
        </w:rPr>
        <w:t>三、管理内容</w:t>
      </w:r>
    </w:p>
    <w:p w14:paraId="7BB8320C">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对责任督学工作的管理主要包括出勤、督学素养、履行职责、绩效评价四个方面的内容。</w:t>
      </w:r>
    </w:p>
    <w:p w14:paraId="5491E74F">
      <w:pPr>
        <w:spacing w:line="600" w:lineRule="exact"/>
        <w:ind w:firstLine="640" w:firstLineChars="200"/>
        <w:rPr>
          <w:rFonts w:ascii="方正楷体_GBK" w:hAnsi="Calibri" w:eastAsia="方正楷体_GBK" w:cs="Times New Roman"/>
          <w:b/>
          <w:color w:val="000000" w:themeColor="text1"/>
          <w:sz w:val="32"/>
          <w:szCs w:val="32"/>
        </w:rPr>
      </w:pPr>
      <w:r>
        <w:rPr>
          <w:rFonts w:hint="eastAsia" w:ascii="方正楷体_GBK" w:hAnsi="Calibri" w:eastAsia="方正楷体_GBK" w:cs="Times New Roman"/>
          <w:b/>
          <w:color w:val="000000" w:themeColor="text1"/>
          <w:sz w:val="32"/>
          <w:szCs w:val="32"/>
        </w:rPr>
        <w:t>（一）出勤管理。</w:t>
      </w:r>
    </w:p>
    <w:p w14:paraId="08473A09">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1.责任督学上班时间为周一至周五的9:00-12:00 ，</w:t>
      </w:r>
      <w:bookmarkStart w:id="0" w:name="_GoBack"/>
      <w:bookmarkEnd w:id="0"/>
      <w:r>
        <w:rPr>
          <w:rFonts w:hint="eastAsia" w:ascii="方正仿宋_GBK" w:hAnsi="Calibri" w:eastAsia="方正仿宋_GBK" w:cs="方正仿宋_GBK"/>
          <w:color w:val="000000" w:themeColor="text1"/>
          <w:sz w:val="32"/>
          <w:szCs w:val="32"/>
        </w:rPr>
        <w:t>14:30-18:00。</w:t>
      </w:r>
    </w:p>
    <w:p w14:paraId="38314094">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2.上班考勤。采取定时和不定时方式考核，工作场所分责任学校和所在责任区办公室。责任督学考核时工作地点的认定以平台打卡为准，若因特殊情况无法打卡，则以门卫签到簿照片即时上传为准。每查到不在岗，且10分钟内赶到的，1人次扣1分。</w:t>
      </w:r>
    </w:p>
    <w:p w14:paraId="721569DE">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3.督学请假。责任区主任未出石柱县境找督导室办公室主任请假，离开石柱找分管领导请假。责任督学请假找责任区主任，提前一天履行请假手续，并到督导室办公室备案。若临时有急事需请假的，必须电话请示，假后及时补齐相关手续，否则请假无效。</w:t>
      </w:r>
    </w:p>
    <w:p w14:paraId="6468830D">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县政府教育督导办公室工作人员原则上每周下到责任区抽查出勤情况一次以上，凡未请假又不在岗的，视为旷工，1次扣5分。每人每个月请事假不超过三天，其他假从其相关规定。</w:t>
      </w:r>
    </w:p>
    <w:p w14:paraId="2236CEF6">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4.凡经考核或别人检举旷工一次者，取消本人该学年度评优评先资格，并在全县通报批评。</w:t>
      </w:r>
    </w:p>
    <w:p w14:paraId="1846109E">
      <w:pPr>
        <w:spacing w:line="600" w:lineRule="exact"/>
        <w:ind w:firstLine="640" w:firstLineChars="200"/>
        <w:rPr>
          <w:rFonts w:ascii="方正楷体_GBK" w:hAnsi="Calibri" w:eastAsia="方正楷体_GBK" w:cs="Times New Roman"/>
          <w:b/>
          <w:color w:val="000000" w:themeColor="text1"/>
          <w:sz w:val="32"/>
          <w:szCs w:val="32"/>
        </w:rPr>
      </w:pPr>
      <w:r>
        <w:rPr>
          <w:rFonts w:hint="eastAsia" w:ascii="方正楷体_GBK" w:hAnsi="Calibri" w:eastAsia="方正楷体_GBK" w:cs="Times New Roman"/>
          <w:b/>
          <w:color w:val="000000" w:themeColor="text1"/>
          <w:sz w:val="32"/>
          <w:szCs w:val="32"/>
        </w:rPr>
        <w:t>（二）督学素养管理。</w:t>
      </w:r>
    </w:p>
    <w:p w14:paraId="1CFDAC53">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督学素养是指作为责任督学应有的基本素养，主要包括责任督学的专业素养和督学形象。</w:t>
      </w:r>
    </w:p>
    <w:p w14:paraId="2143CFB8">
      <w:pPr>
        <w:numPr>
          <w:ilvl w:val="0"/>
          <w:numId w:val="1"/>
        </w:num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专业素养管理。</w:t>
      </w:r>
    </w:p>
    <w:p w14:paraId="1014036E">
      <w:pPr>
        <w:numPr>
          <w:ilvl w:val="0"/>
          <w:numId w:val="2"/>
        </w:num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培训内容</w:t>
      </w:r>
    </w:p>
    <w:p w14:paraId="0FE12A0B">
      <w:p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认真学习并督促贯彻执行党的教育方针，熟悉国家有关教育的政策法规，特别是国家《义务教育学校管理标准》（简称88条）中所涉及的24个相关法律法规和教育部减负提质的有关规定；</w:t>
      </w:r>
      <w:r>
        <w:rPr>
          <w:rFonts w:ascii="方正仿宋_GBK" w:hAnsi="Calibri" w:eastAsia="方正仿宋_GBK" w:cs="方正仿宋_GBK"/>
          <w:color w:val="000000" w:themeColor="text1"/>
          <w:sz w:val="32"/>
          <w:szCs w:val="32"/>
        </w:rPr>
        <w:t>学习教育教学理论</w:t>
      </w:r>
      <w:r>
        <w:rPr>
          <w:rFonts w:hint="eastAsia" w:ascii="方正仿宋_GBK" w:hAnsi="Calibri" w:eastAsia="方正仿宋_GBK" w:cs="方正仿宋_GBK"/>
          <w:color w:val="000000" w:themeColor="text1"/>
          <w:sz w:val="32"/>
          <w:szCs w:val="32"/>
        </w:rPr>
        <w:t>，</w:t>
      </w:r>
      <w:r>
        <w:rPr>
          <w:rFonts w:ascii="方正仿宋_GBK" w:hAnsi="Calibri" w:eastAsia="方正仿宋_GBK" w:cs="方正仿宋_GBK"/>
          <w:color w:val="000000" w:themeColor="text1"/>
          <w:sz w:val="32"/>
          <w:szCs w:val="32"/>
        </w:rPr>
        <w:t>研究教育教学方法</w:t>
      </w:r>
      <w:r>
        <w:rPr>
          <w:rFonts w:hint="eastAsia" w:ascii="方正仿宋_GBK" w:hAnsi="Calibri" w:eastAsia="方正仿宋_GBK" w:cs="方正仿宋_GBK"/>
          <w:color w:val="000000" w:themeColor="text1"/>
          <w:sz w:val="32"/>
          <w:szCs w:val="32"/>
        </w:rPr>
        <w:t>；学习新课标（分人分学科）。</w:t>
      </w:r>
    </w:p>
    <w:p w14:paraId="07E9227A">
      <w:pPr>
        <w:numPr>
          <w:ilvl w:val="0"/>
          <w:numId w:val="2"/>
        </w:num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培训方式</w:t>
      </w:r>
    </w:p>
    <w:p w14:paraId="36471CD9">
      <w:p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采取集中学习和分散学习相结合方式，以培带学，以学促培。责任区要安排专人负责培训工作，定期开展集中培训（或学习）活动。要有集体学习材料，督学要有学习笔记。县政府教育督导室在条件许可下，可积极组织责任督学外出培训。</w:t>
      </w:r>
    </w:p>
    <w:p w14:paraId="47DBEF9E">
      <w:pPr>
        <w:numPr>
          <w:ilvl w:val="0"/>
          <w:numId w:val="2"/>
        </w:num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考核方式</w:t>
      </w:r>
    </w:p>
    <w:p w14:paraId="35D1AC0D">
      <w:pPr>
        <w:spacing w:line="600" w:lineRule="exact"/>
        <w:ind w:firstLine="960" w:firstLineChars="300"/>
        <w:rPr>
          <w:rFonts w:ascii="方正仿宋_GBK" w:hAnsi="Calibri" w:eastAsia="方正仿宋_GBK" w:cs="方正仿宋_GBK"/>
          <w:color w:val="000000" w:themeColor="text1"/>
          <w:sz w:val="32"/>
          <w:szCs w:val="32"/>
        </w:rPr>
      </w:pPr>
      <w:r>
        <w:rPr>
          <w:rFonts w:ascii="Calibri" w:hAnsi="Calibri" w:eastAsia="方正仿宋_GBK" w:cs="Calibri"/>
          <w:color w:val="000000" w:themeColor="text1"/>
          <w:sz w:val="32"/>
          <w:szCs w:val="32"/>
        </w:rPr>
        <w:t>①</w:t>
      </w:r>
      <w:r>
        <w:rPr>
          <w:rFonts w:hint="eastAsia" w:ascii="方正仿宋_GBK" w:hAnsi="Calibri" w:eastAsia="方正仿宋_GBK" w:cs="方正仿宋_GBK"/>
          <w:color w:val="000000" w:themeColor="text1"/>
          <w:sz w:val="32"/>
          <w:szCs w:val="32"/>
        </w:rPr>
        <w:t>每月学习笔记不少于2次，缺1次扣1分；责任区缺1次扣责任区集体1分。</w:t>
      </w:r>
    </w:p>
    <w:p w14:paraId="23C8BD5C">
      <w:pPr>
        <w:spacing w:line="600" w:lineRule="exact"/>
        <w:ind w:firstLine="960" w:firstLineChars="300"/>
        <w:rPr>
          <w:rFonts w:ascii="方正仿宋_GBK" w:hAnsi="Calibri" w:eastAsia="方正仿宋_GBK" w:cs="方正仿宋_GBK"/>
          <w:color w:val="000000" w:themeColor="text1"/>
          <w:sz w:val="32"/>
          <w:szCs w:val="32"/>
        </w:rPr>
      </w:pPr>
      <w:r>
        <w:rPr>
          <w:rFonts w:ascii="Calibri" w:hAnsi="Calibri" w:eastAsia="方正仿宋_GBK" w:cs="Calibri"/>
          <w:color w:val="000000" w:themeColor="text1"/>
          <w:sz w:val="32"/>
          <w:szCs w:val="32"/>
        </w:rPr>
        <w:t>②</w:t>
      </w:r>
      <w:r>
        <w:rPr>
          <w:rFonts w:hint="eastAsia" w:ascii="方正仿宋_GBK" w:hAnsi="Calibri" w:eastAsia="方正仿宋_GBK" w:cs="方正仿宋_GBK"/>
          <w:color w:val="000000" w:themeColor="text1"/>
          <w:sz w:val="32"/>
          <w:szCs w:val="32"/>
        </w:rPr>
        <w:t>测试：各教育督导区根据当季学习重点开展一次督学学习效果检测，检测结果报到督导室备案，凡不及格者每次/季扣1分。</w:t>
      </w:r>
    </w:p>
    <w:p w14:paraId="4CE1BDE4">
      <w:pPr>
        <w:spacing w:line="600" w:lineRule="exact"/>
        <w:ind w:firstLine="960" w:firstLineChars="300"/>
        <w:rPr>
          <w:rFonts w:ascii="方正仿宋_GBK" w:hAnsi="Calibri" w:eastAsia="方正仿宋_GBK" w:cs="方正仿宋_GBK"/>
          <w:color w:val="000000" w:themeColor="text1"/>
          <w:sz w:val="32"/>
          <w:szCs w:val="32"/>
        </w:rPr>
      </w:pPr>
      <w:r>
        <w:rPr>
          <w:rFonts w:ascii="Calibri" w:hAnsi="Calibri" w:eastAsia="方正仿宋_GBK" w:cs="Calibri"/>
          <w:color w:val="000000" w:themeColor="text1"/>
          <w:sz w:val="32"/>
          <w:szCs w:val="32"/>
        </w:rPr>
        <w:t>③</w:t>
      </w:r>
      <w:r>
        <w:rPr>
          <w:rFonts w:hint="eastAsia" w:ascii="方正仿宋_GBK" w:hAnsi="Calibri" w:eastAsia="方正仿宋_GBK" w:cs="方正仿宋_GBK"/>
          <w:color w:val="000000" w:themeColor="text1"/>
          <w:sz w:val="32"/>
          <w:szCs w:val="32"/>
        </w:rPr>
        <w:t>责任区间督导知识竞赛：每学年组织一次。由各责任区选派该责任区竞赛的第一名参加。在成绩在90分及以上者，个人加2分，责任责任区加1分；80分及以上者，个人加1分，责任责任区加0.5分；60-79分为合格，不加分扣分；59以下者视为不合格，个人扣3分，责任区扣2分。</w:t>
      </w:r>
    </w:p>
    <w:p w14:paraId="28AA689C">
      <w:pPr>
        <w:spacing w:line="600" w:lineRule="exact"/>
        <w:ind w:firstLine="640" w:firstLineChars="200"/>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新入职督学设置专门考试制度，督导知识考核低于60分者，暂缓颁发督学聘任证书。合格者由分管领导当场颁发督学聘任书。未取得聘书的，可以以月为单位申请考试。</w:t>
      </w:r>
    </w:p>
    <w:p w14:paraId="6AB397D1">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2.督学形象管理</w:t>
      </w:r>
      <w:r>
        <w:rPr>
          <w:rFonts w:hint="eastAsia" w:ascii="方正楷体_GBK" w:hAnsi="Calibri" w:eastAsia="方正楷体_GBK" w:cs="Times New Roman"/>
          <w:b/>
          <w:color w:val="000000" w:themeColor="text1"/>
          <w:sz w:val="32"/>
          <w:szCs w:val="32"/>
        </w:rPr>
        <w:t>。</w:t>
      </w:r>
      <w:r>
        <w:rPr>
          <w:rFonts w:hint="eastAsia" w:ascii="方正仿宋_GBK" w:hAnsi="Calibri" w:eastAsia="方正仿宋_GBK" w:cs="方正仿宋_GBK"/>
          <w:color w:val="000000" w:themeColor="text1"/>
          <w:sz w:val="32"/>
          <w:szCs w:val="32"/>
        </w:rPr>
        <w:t>严格遵守《督学管理暂行办法》和《中小学校责任督学工作守则》。在工作纪律上要求做到“四个不”，即不干扰学校(幼儿园)正常教学秩序，不接受责任学校宴请和装包包烟，不提与责任学校工作无关的要求，不参与任何时间任何地点任何形式的赌博。挂牌督导学校被投诉的经过查证属实或基本属实但未造成较大不良影响的，相关责 任督学扣2分，责任区扣2分；被实名举报查证属实，又造成不良影响的，并被在全县范围内通报批评的，当事人扣4分，责任区扣4分。责任督学是是责任区领导的加1倍扣分。</w:t>
      </w:r>
    </w:p>
    <w:p w14:paraId="147B1F23">
      <w:pPr>
        <w:spacing w:line="600" w:lineRule="exact"/>
        <w:ind w:firstLine="640" w:firstLineChars="200"/>
        <w:rPr>
          <w:rFonts w:ascii="方正楷体_GBK" w:hAnsi="Calibri" w:eastAsia="方正楷体_GBK" w:cs="Times New Roman"/>
          <w:b/>
          <w:color w:val="000000" w:themeColor="text1"/>
          <w:sz w:val="32"/>
          <w:szCs w:val="32"/>
        </w:rPr>
      </w:pPr>
      <w:r>
        <w:rPr>
          <w:rFonts w:hint="eastAsia" w:ascii="方正楷体_GBK" w:hAnsi="Calibri" w:eastAsia="方正楷体_GBK" w:cs="Times New Roman"/>
          <w:b/>
          <w:color w:val="000000" w:themeColor="text1"/>
          <w:sz w:val="32"/>
          <w:szCs w:val="32"/>
        </w:rPr>
        <w:t>（三）履行职责管理</w:t>
      </w:r>
    </w:p>
    <w:p w14:paraId="7A18719A">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履行职责是指责任督学履行对挂牌学校工作的监督和指导职责情况。</w:t>
      </w:r>
    </w:p>
    <w:p w14:paraId="72F4C8AB">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每周工作安排。原则上每周一集中组织学习或工作例会，周二至周四深入学校经常性督导或“专”项（经常性督导中的重点）督导，周五进行交流汇总，形成督导记录或专项督导报告。</w:t>
      </w:r>
    </w:p>
    <w:p w14:paraId="3BF07758">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经常督导事项。一是学校管理和制度执行情况；二是招生、收费、择校情况；三是课程开设和课堂教学、教研情况；四是学生学习、体育锻炼和课业负担情况；五是师德师风和教师专业发展情况；六是校园周边安全、学生安全教育以及安全措施落实情况；七是学生食堂、食品、饮用水卫生，环境卫生、宿舍卫生情况；八是校风、教风、学风建设情况；九是其他涉及学校规范办学和提高教育教学质量的相关情况。</w:t>
      </w:r>
    </w:p>
    <w:p w14:paraId="28D4645E">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要求将以上8项内容分摊到每个月，进行经常性督导，也可以就以上某一项作重点督导（即非专项的“专”项督导），责任督学到校督导每月不少于2次，每次不少于半天。每缺1次，扣1分。以督导管理系统平台签到为准，因平台缘故无法签到的，以即时上传督导室门卫签到簿照片为准。</w:t>
      </w:r>
    </w:p>
    <w:p w14:paraId="45BB3819">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每学期听课（观课）不少于25节，全年不少于50节。听课要延伸到各年级各学科，评课（交流）要及时：成绩谈够、不足点透、建议给足。每堂听课笔记要有授课教师签字确认。每缺一节扣0.5分。</w:t>
      </w:r>
    </w:p>
    <w:p w14:paraId="73667D9F">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经常性督导要有督导要点，以“国务院教育督导委员会办公室中小学责任督学挂牌督导规程”为标准，做好详细记载，督导结束后可以口头交换意见。返回单位交流汇报后及时形成督导记录（即填写《督学手册》），同时以文字材料形式反馈给学校。需整改的要下整改通知书，并督促其及时整改到位。（如遇协作督导、综合督导视完成任务参照上述管理进行。）若只督导无记录，视为没有督导。</w:t>
      </w:r>
    </w:p>
    <w:p w14:paraId="0781934A">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专项督导（责任区的重点督导、市县的专项督导），督导结束后要以学校为单位形成督导报告，责任区要就该项督导内容汇总形成责任区督导报告，并上传县政府教育督导室汇总上报督导委员会。凡未完成报告的，每缺1个扣2分。</w:t>
      </w:r>
    </w:p>
    <w:p w14:paraId="729A34B2">
      <w:pPr>
        <w:spacing w:line="600" w:lineRule="exact"/>
        <w:ind w:firstLine="960" w:firstLineChars="3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教育诉求管理。主动了解责任区内教师、学生、家长及社会对教育的意见建议，认真受理有关举报和投诉，及时向县政府教育督导室和县教委报告并督促学校及时整改。对查出的问题及隐患要现场下发书面《问题整改通知书》，提出书面整改意见和建议，并对整改情况跟踪督办。将督导活动中发现的、可能影响学校正常教学秩序以及违背教育规律的倾向性问题，要及时纠正。未及时处理和移交的，一次扣扣5分。</w:t>
      </w:r>
    </w:p>
    <w:p w14:paraId="07562A9D">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培训考核管理。县级督学培训原则上每季度开展一次集中培训考核一次。县教育督导室积极争取外出培训学习机会，每个责任区可根据实际情况选派优秀督学参加。</w:t>
      </w:r>
    </w:p>
    <w:p w14:paraId="01D77553">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督导论文、案例管理。结合学校实际，总结和借鉴督导学校的办学经验，反思治校得失，寻找学校发展支点，完成有质量的督导案例或心得。责任督学要除了撰写半年及年度督导工作总结由责任区存档之外，还要按照县教育督导室确定的主题认真撰写论文或案例，上传到市政府教育督导室参加评选。未完成者，每个主题扣2分。</w:t>
      </w:r>
    </w:p>
    <w:p w14:paraId="58D24E76">
      <w:pPr>
        <w:spacing w:line="600" w:lineRule="exact"/>
        <w:ind w:firstLine="627" w:firstLineChars="196"/>
        <w:jc w:val="left"/>
        <w:rPr>
          <w:rFonts w:ascii="方正仿宋_GBK" w:hAnsi="Calibri" w:eastAsia="方正仿宋_GBK" w:cs="方正仿宋_GBK"/>
          <w:color w:val="000000" w:themeColor="text1"/>
          <w:sz w:val="32"/>
          <w:szCs w:val="32"/>
        </w:rPr>
      </w:pPr>
      <w:r>
        <w:rPr>
          <w:rFonts w:ascii="方正仿宋_GBK" w:hAnsi="Calibri" w:eastAsia="方正仿宋_GBK" w:cs="方正仿宋_GBK"/>
          <w:color w:val="000000" w:themeColor="text1"/>
          <w:sz w:val="32"/>
          <w:szCs w:val="32"/>
        </w:rPr>
        <w:t>完成</w:t>
      </w:r>
      <w:r>
        <w:rPr>
          <w:rFonts w:hint="eastAsia" w:ascii="方正仿宋_GBK" w:hAnsi="Calibri" w:eastAsia="方正仿宋_GBK" w:cs="方正仿宋_GBK"/>
          <w:color w:val="000000" w:themeColor="text1"/>
          <w:sz w:val="32"/>
          <w:szCs w:val="32"/>
        </w:rPr>
        <w:t>市、</w:t>
      </w:r>
      <w:r>
        <w:rPr>
          <w:rFonts w:ascii="方正仿宋_GBK" w:hAnsi="Calibri" w:eastAsia="方正仿宋_GBK" w:cs="方正仿宋_GBK"/>
          <w:color w:val="000000" w:themeColor="text1"/>
          <w:sz w:val="32"/>
          <w:szCs w:val="32"/>
        </w:rPr>
        <w:t>县</w:t>
      </w:r>
      <w:r>
        <w:rPr>
          <w:rFonts w:hint="eastAsia" w:ascii="方正仿宋_GBK" w:hAnsi="Calibri" w:eastAsia="方正仿宋_GBK" w:cs="方正仿宋_GBK"/>
          <w:color w:val="000000" w:themeColor="text1"/>
          <w:sz w:val="32"/>
          <w:szCs w:val="32"/>
        </w:rPr>
        <w:t>教委</w:t>
      </w:r>
      <w:r>
        <w:rPr>
          <w:rFonts w:ascii="方正仿宋_GBK" w:hAnsi="Calibri" w:eastAsia="方正仿宋_GBK" w:cs="方正仿宋_GBK"/>
          <w:color w:val="000000" w:themeColor="text1"/>
          <w:sz w:val="32"/>
          <w:szCs w:val="32"/>
        </w:rPr>
        <w:t>或</w:t>
      </w:r>
      <w:r>
        <w:rPr>
          <w:rFonts w:hint="eastAsia" w:ascii="方正仿宋_GBK" w:hAnsi="Calibri" w:eastAsia="方正仿宋_GBK" w:cs="方正仿宋_GBK"/>
          <w:color w:val="000000" w:themeColor="text1"/>
          <w:sz w:val="32"/>
          <w:szCs w:val="32"/>
        </w:rPr>
        <w:t>市、</w:t>
      </w:r>
      <w:r>
        <w:rPr>
          <w:rFonts w:ascii="方正仿宋_GBK" w:hAnsi="Calibri" w:eastAsia="方正仿宋_GBK" w:cs="方正仿宋_GBK"/>
          <w:color w:val="000000" w:themeColor="text1"/>
          <w:sz w:val="32"/>
          <w:szCs w:val="32"/>
        </w:rPr>
        <w:t>县教育督导室交办的其他工作任务。</w:t>
      </w:r>
    </w:p>
    <w:p w14:paraId="7DA2F83F">
      <w:pPr>
        <w:spacing w:line="600" w:lineRule="exact"/>
        <w:ind w:firstLine="627" w:firstLineChars="196"/>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资料的上传和材料的上报要及时。不按时上报（上传的）每次扣责任区0.5分。</w:t>
      </w:r>
    </w:p>
    <w:p w14:paraId="5D57E880">
      <w:pPr>
        <w:spacing w:line="600" w:lineRule="exact"/>
        <w:ind w:firstLine="640" w:firstLineChars="200"/>
        <w:rPr>
          <w:rFonts w:ascii="方正楷体_GBK" w:hAnsi="Calibri" w:eastAsia="方正楷体_GBK" w:cs="Times New Roman"/>
          <w:b/>
          <w:color w:val="000000" w:themeColor="text1"/>
          <w:sz w:val="32"/>
          <w:szCs w:val="32"/>
        </w:rPr>
      </w:pPr>
      <w:r>
        <w:rPr>
          <w:rFonts w:hint="eastAsia" w:ascii="方正楷体_GBK" w:hAnsi="Calibri" w:eastAsia="方正楷体_GBK" w:cs="Times New Roman"/>
          <w:b/>
          <w:color w:val="000000" w:themeColor="text1"/>
          <w:sz w:val="32"/>
          <w:szCs w:val="32"/>
        </w:rPr>
        <w:t>（四）工作绩效管理。</w:t>
      </w:r>
    </w:p>
    <w:p w14:paraId="6DBA1E0B">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工作实效是督学工作的效果及学校对督学工作的评价等，旨在帮助学校发现问题、解决问题，为学校发展提供指导和服务，在督学工作内容、工作方式上创出特色。</w:t>
      </w:r>
    </w:p>
    <w:p w14:paraId="078774C6">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1.</w:t>
      </w:r>
      <w:r>
        <w:rPr>
          <w:rFonts w:hint="eastAsia" w:ascii="方正仿宋_GBK" w:hAnsi="Calibri" w:eastAsia="方正仿宋_GBK" w:cs="方正仿宋_GBK"/>
          <w:color w:val="000000" w:themeColor="text1"/>
          <w:sz w:val="32"/>
          <w:szCs w:val="32"/>
        </w:rPr>
        <w:t>评估效果管理。对所督导的学校所作的督导评估结论客观公正、实现零申诉；责任学校对督导中发现的问题整改效果明显。有违规办学行为而被投诉的，责令及时整改。</w:t>
      </w:r>
      <w:r>
        <w:rPr>
          <w:rFonts w:ascii="方正仿宋_GBK" w:hAnsi="Calibri" w:eastAsia="方正仿宋_GBK" w:cs="方正仿宋_GBK"/>
          <w:color w:val="000000" w:themeColor="text1"/>
          <w:sz w:val="32"/>
          <w:szCs w:val="32"/>
        </w:rPr>
        <w:t>责任学校及所辖幼儿园办学行为规范，无群众投诉</w:t>
      </w:r>
      <w:r>
        <w:rPr>
          <w:rFonts w:hint="eastAsia" w:ascii="方正仿宋_GBK" w:hAnsi="Calibri" w:eastAsia="方正仿宋_GBK" w:cs="方正仿宋_GBK"/>
          <w:color w:val="000000" w:themeColor="text1"/>
          <w:sz w:val="32"/>
          <w:szCs w:val="32"/>
        </w:rPr>
        <w:t>，</w:t>
      </w:r>
      <w:r>
        <w:rPr>
          <w:rFonts w:ascii="方正仿宋_GBK" w:hAnsi="Calibri" w:eastAsia="方正仿宋_GBK" w:cs="方正仿宋_GBK"/>
          <w:color w:val="000000" w:themeColor="text1"/>
          <w:sz w:val="32"/>
          <w:szCs w:val="32"/>
        </w:rPr>
        <w:t>每被投诉一次扣</w:t>
      </w:r>
      <w:r>
        <w:rPr>
          <w:rFonts w:hint="eastAsia" w:ascii="方正仿宋_GBK" w:hAnsi="Calibri" w:eastAsia="方正仿宋_GBK" w:cs="方正仿宋_GBK"/>
          <w:color w:val="000000" w:themeColor="text1"/>
          <w:sz w:val="32"/>
          <w:szCs w:val="32"/>
        </w:rPr>
        <w:t>1分</w:t>
      </w:r>
      <w:r>
        <w:rPr>
          <w:rFonts w:ascii="方正仿宋_GBK" w:hAnsi="Calibri" w:eastAsia="方正仿宋_GBK" w:cs="方正仿宋_GBK"/>
          <w:color w:val="000000" w:themeColor="text1"/>
          <w:sz w:val="32"/>
          <w:szCs w:val="32"/>
        </w:rPr>
        <w:t>；</w:t>
      </w:r>
      <w:r>
        <w:rPr>
          <w:rFonts w:hint="eastAsia" w:ascii="方正仿宋_GBK" w:hAnsi="Calibri" w:eastAsia="方正仿宋_GBK" w:cs="方正仿宋_GBK"/>
          <w:color w:val="000000" w:themeColor="text1"/>
          <w:sz w:val="32"/>
          <w:szCs w:val="32"/>
        </w:rPr>
        <w:t>责任学校每学期每发生一次</w:t>
      </w:r>
      <w:r>
        <w:rPr>
          <w:rFonts w:ascii="方正仿宋_GBK" w:hAnsi="Calibri" w:eastAsia="方正仿宋_GBK" w:cs="方正仿宋_GBK"/>
          <w:color w:val="000000" w:themeColor="text1"/>
          <w:sz w:val="32"/>
          <w:szCs w:val="32"/>
        </w:rPr>
        <w:t>重大安全责任事故</w:t>
      </w:r>
      <w:r>
        <w:rPr>
          <w:rFonts w:hint="eastAsia" w:ascii="方正仿宋_GBK" w:hAnsi="Calibri" w:eastAsia="方正仿宋_GBK" w:cs="方正仿宋_GBK"/>
          <w:color w:val="000000" w:themeColor="text1"/>
          <w:sz w:val="32"/>
          <w:szCs w:val="32"/>
        </w:rPr>
        <w:t>（学校被全县通报及以上），视责任督学履职情况、责任大小扣1-5分</w:t>
      </w:r>
      <w:r>
        <w:rPr>
          <w:rFonts w:ascii="方正仿宋_GBK" w:hAnsi="Calibri" w:eastAsia="方正仿宋_GBK" w:cs="方正仿宋_GBK"/>
          <w:color w:val="000000" w:themeColor="text1"/>
          <w:sz w:val="32"/>
          <w:szCs w:val="32"/>
        </w:rPr>
        <w:t>。</w:t>
      </w:r>
    </w:p>
    <w:p w14:paraId="11A5AC39">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2.</w:t>
      </w:r>
      <w:r>
        <w:rPr>
          <w:rFonts w:hint="eastAsia" w:ascii="方正仿宋_GBK" w:hAnsi="Calibri" w:eastAsia="方正仿宋_GBK" w:cs="方正仿宋_GBK"/>
          <w:color w:val="000000" w:themeColor="text1"/>
          <w:sz w:val="32"/>
          <w:szCs w:val="32"/>
        </w:rPr>
        <w:t>学校评价管理。对责任督学的工作实效和学校的发展实行捆绑管理。采取走访、座谈、电话访谈等形式，根据学校或教师对责任督学督导的专业性、规范性进行满意度评价。</w:t>
      </w:r>
    </w:p>
    <w:p w14:paraId="501ED161">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3.</w:t>
      </w:r>
      <w:r>
        <w:rPr>
          <w:rFonts w:hint="eastAsia" w:ascii="方正仿宋_GBK" w:hAnsi="Calibri" w:eastAsia="方正仿宋_GBK" w:cs="方正仿宋_GBK"/>
          <w:color w:val="000000" w:themeColor="text1"/>
          <w:sz w:val="32"/>
          <w:szCs w:val="32"/>
        </w:rPr>
        <w:t>特色亮点。</w:t>
      </w:r>
      <w:r>
        <w:rPr>
          <w:rFonts w:ascii="方正仿宋_GBK" w:hAnsi="Calibri" w:eastAsia="方正仿宋_GBK" w:cs="方正仿宋_GBK"/>
          <w:color w:val="000000" w:themeColor="text1"/>
          <w:sz w:val="32"/>
          <w:szCs w:val="32"/>
        </w:rPr>
        <w:t>为交流展示</w:t>
      </w:r>
      <w:r>
        <w:rPr>
          <w:rFonts w:hint="eastAsia" w:ascii="方正仿宋_GBK" w:hAnsi="Calibri" w:eastAsia="方正仿宋_GBK" w:cs="方正仿宋_GBK"/>
          <w:color w:val="000000" w:themeColor="text1"/>
          <w:sz w:val="32"/>
          <w:szCs w:val="32"/>
        </w:rPr>
        <w:t>我县</w:t>
      </w:r>
      <w:r>
        <w:rPr>
          <w:rFonts w:ascii="方正仿宋_GBK" w:hAnsi="Calibri" w:eastAsia="方正仿宋_GBK" w:cs="方正仿宋_GBK"/>
          <w:color w:val="000000" w:themeColor="text1"/>
          <w:sz w:val="32"/>
          <w:szCs w:val="32"/>
        </w:rPr>
        <w:t>教育督导工作经验和研究成果，不断推动教育督导专业发展，</w:t>
      </w:r>
      <w:r>
        <w:rPr>
          <w:rFonts w:hint="eastAsia" w:ascii="方正仿宋_GBK" w:hAnsi="Calibri" w:eastAsia="方正仿宋_GBK" w:cs="方正仿宋_GBK"/>
          <w:color w:val="000000" w:themeColor="text1"/>
          <w:sz w:val="32"/>
          <w:szCs w:val="32"/>
        </w:rPr>
        <w:t>真实反映我县教育督导工作的水平，要求责任督学重视宣传报道和论文撰写。</w:t>
      </w:r>
    </w:p>
    <w:p w14:paraId="1D0691F1">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（1）总结责任区内学校办学的先进事迹、典型经验、突出成果等，并在相关媒体予以报道。</w:t>
      </w:r>
    </w:p>
    <w:p w14:paraId="0E972A51">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（2）高度重视论文（督导案例）撰写。论文撰写是督导工作的一部分，是对督导工作的思考、对方法、经验的提炼。</w:t>
      </w:r>
    </w:p>
    <w:p w14:paraId="3920C2B4">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仿宋_GBK" w:hAnsi="Calibri" w:eastAsia="方正仿宋_GBK" w:cs="方正仿宋_GBK"/>
          <w:color w:val="000000" w:themeColor="text1"/>
          <w:sz w:val="32"/>
          <w:szCs w:val="32"/>
        </w:rPr>
        <w:t>（3）平时注重积累。经验和顿悟来源于实践。要认真、开创性的开展工作，并有意识的设置课题，以问题为导向，以实践为依据，撰写高质量的论文。</w:t>
      </w:r>
    </w:p>
    <w:p w14:paraId="1D1D3797">
      <w:pPr>
        <w:spacing w:line="600" w:lineRule="exact"/>
        <w:ind w:firstLine="640" w:firstLineChars="200"/>
        <w:rPr>
          <w:rFonts w:ascii="方正黑体_GBK" w:hAnsi="Calibri" w:eastAsia="方正黑体_GBK" w:cs="Times New Roman"/>
          <w:b/>
          <w:color w:val="000000" w:themeColor="text1"/>
          <w:sz w:val="32"/>
          <w:szCs w:val="32"/>
        </w:rPr>
      </w:pPr>
      <w:r>
        <w:rPr>
          <w:rFonts w:ascii="方正黑体_GBK" w:hAnsi="Calibri" w:eastAsia="方正黑体_GBK" w:cs="Times New Roman"/>
          <w:b/>
          <w:color w:val="000000" w:themeColor="text1"/>
          <w:sz w:val="32"/>
          <w:szCs w:val="32"/>
        </w:rPr>
        <w:t>四、考核</w:t>
      </w:r>
      <w:r>
        <w:rPr>
          <w:rFonts w:hint="eastAsia" w:ascii="方正黑体_GBK" w:hAnsi="Calibri" w:eastAsia="方正黑体_GBK" w:cs="Times New Roman"/>
          <w:b/>
          <w:color w:val="000000" w:themeColor="text1"/>
          <w:sz w:val="32"/>
          <w:szCs w:val="32"/>
        </w:rPr>
        <w:t>管理</w:t>
      </w:r>
    </w:p>
    <w:p w14:paraId="5DB70686">
      <w:pPr>
        <w:spacing w:line="600" w:lineRule="exact"/>
        <w:ind w:firstLine="320" w:firstLineChars="100"/>
        <w:jc w:val="left"/>
        <w:rPr>
          <w:rFonts w:ascii="方正仿宋_GBK" w:hAnsi="Calibri" w:eastAsia="方正仿宋_GBK" w:cs="方正仿宋_GBK"/>
          <w:color w:val="000000" w:themeColor="text1"/>
          <w:sz w:val="32"/>
          <w:szCs w:val="32"/>
        </w:rPr>
      </w:pPr>
      <w:r>
        <w:rPr>
          <w:rFonts w:ascii="方正仿宋_GBK" w:hAnsi="Calibri" w:eastAsia="方正仿宋_GBK" w:cs="方正仿宋_GBK"/>
          <w:color w:val="000000" w:themeColor="text1"/>
          <w:sz w:val="32"/>
          <w:szCs w:val="32"/>
        </w:rPr>
        <w:t>考核工作按下列程序进行：</w:t>
      </w:r>
    </w:p>
    <w:p w14:paraId="605A3EB6">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（一）</w:t>
      </w:r>
      <w:r>
        <w:rPr>
          <w:rFonts w:ascii="方正楷体_GBK" w:hAnsi="Calibri" w:eastAsia="方正楷体_GBK" w:cs="Times New Roman"/>
          <w:b/>
          <w:color w:val="000000" w:themeColor="text1"/>
          <w:sz w:val="32"/>
          <w:szCs w:val="32"/>
        </w:rPr>
        <w:t>自查自评。</w:t>
      </w:r>
      <w:r>
        <w:rPr>
          <w:rFonts w:ascii="方正仿宋_GBK" w:hAnsi="Calibri" w:eastAsia="方正仿宋_GBK" w:cs="方正仿宋_GBK"/>
          <w:color w:val="000000" w:themeColor="text1"/>
          <w:sz w:val="32"/>
          <w:szCs w:val="32"/>
        </w:rPr>
        <w:t>责任督学对照考核要点自评并填写自评表，写出自评报告（对照考核细则逐项作答）。</w:t>
      </w:r>
    </w:p>
    <w:p w14:paraId="25388130">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（二）</w:t>
      </w:r>
      <w:r>
        <w:rPr>
          <w:rFonts w:ascii="方正楷体_GBK" w:hAnsi="Calibri" w:eastAsia="方正楷体_GBK" w:cs="Times New Roman"/>
          <w:b/>
          <w:color w:val="000000" w:themeColor="text1"/>
          <w:sz w:val="32"/>
          <w:szCs w:val="32"/>
        </w:rPr>
        <w:t>责任区初评。</w:t>
      </w:r>
      <w:r>
        <w:rPr>
          <w:rFonts w:ascii="方正仿宋_GBK" w:hAnsi="Calibri" w:eastAsia="方正仿宋_GBK" w:cs="方正仿宋_GBK"/>
          <w:color w:val="000000" w:themeColor="text1"/>
          <w:sz w:val="32"/>
          <w:szCs w:val="32"/>
        </w:rPr>
        <w:t>各督学责任区组长与联络员按照考核细则对本责任区内每位督学的工作进行初评。</w:t>
      </w:r>
    </w:p>
    <w:p w14:paraId="29940E0C">
      <w:pPr>
        <w:spacing w:line="600" w:lineRule="exact"/>
        <w:ind w:firstLine="640" w:firstLineChars="20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（三）</w:t>
      </w:r>
      <w:r>
        <w:rPr>
          <w:rFonts w:ascii="方正楷体_GBK" w:hAnsi="Calibri" w:eastAsia="方正楷体_GBK" w:cs="Times New Roman"/>
          <w:b/>
          <w:color w:val="000000" w:themeColor="text1"/>
          <w:sz w:val="32"/>
          <w:szCs w:val="32"/>
        </w:rPr>
        <w:t xml:space="preserve"> 县</w:t>
      </w:r>
      <w:r>
        <w:rPr>
          <w:rFonts w:hint="eastAsia" w:ascii="方正楷体_GBK" w:hAnsi="Calibri" w:eastAsia="方正楷体_GBK" w:cs="Times New Roman"/>
          <w:b/>
          <w:color w:val="000000" w:themeColor="text1"/>
          <w:sz w:val="32"/>
          <w:szCs w:val="32"/>
        </w:rPr>
        <w:t>政府</w:t>
      </w:r>
      <w:r>
        <w:rPr>
          <w:rFonts w:ascii="方正楷体_GBK" w:hAnsi="Calibri" w:eastAsia="方正楷体_GBK" w:cs="Times New Roman"/>
          <w:b/>
          <w:color w:val="000000" w:themeColor="text1"/>
          <w:sz w:val="32"/>
          <w:szCs w:val="32"/>
        </w:rPr>
        <w:t>教育</w:t>
      </w:r>
      <w:r>
        <w:rPr>
          <w:rFonts w:hint="eastAsia" w:ascii="方正楷体_GBK" w:hAnsi="Calibri" w:eastAsia="方正楷体_GBK" w:cs="Times New Roman"/>
          <w:b/>
          <w:color w:val="000000" w:themeColor="text1"/>
          <w:sz w:val="32"/>
          <w:szCs w:val="32"/>
        </w:rPr>
        <w:t>督导室</w:t>
      </w:r>
      <w:r>
        <w:rPr>
          <w:rFonts w:ascii="方正楷体_GBK" w:hAnsi="Calibri" w:eastAsia="方正楷体_GBK" w:cs="Times New Roman"/>
          <w:b/>
          <w:color w:val="000000" w:themeColor="text1"/>
          <w:sz w:val="32"/>
          <w:szCs w:val="32"/>
        </w:rPr>
        <w:t>综合考核。</w:t>
      </w:r>
      <w:r>
        <w:rPr>
          <w:rFonts w:ascii="方正仿宋_GBK" w:hAnsi="Calibri" w:eastAsia="方正仿宋_GBK" w:cs="方正仿宋_GBK"/>
          <w:color w:val="000000" w:themeColor="text1"/>
          <w:sz w:val="32"/>
          <w:szCs w:val="32"/>
        </w:rPr>
        <w:t>由</w:t>
      </w:r>
      <w:r>
        <w:rPr>
          <w:rFonts w:hint="eastAsia" w:ascii="方正仿宋_GBK" w:hAnsi="Calibri" w:eastAsia="方正仿宋_GBK" w:cs="方正仿宋_GBK"/>
          <w:color w:val="000000" w:themeColor="text1"/>
          <w:sz w:val="32"/>
          <w:szCs w:val="32"/>
        </w:rPr>
        <w:t>县政府教育督导室</w:t>
      </w:r>
      <w:r>
        <w:rPr>
          <w:rFonts w:ascii="方正仿宋_GBK" w:hAnsi="Calibri" w:eastAsia="方正仿宋_GBK" w:cs="方正仿宋_GBK"/>
          <w:color w:val="000000" w:themeColor="text1"/>
          <w:sz w:val="32"/>
          <w:szCs w:val="32"/>
        </w:rPr>
        <w:t>在各督学自评、各督学责任区初评的基础上通过访问相关人员、查阅</w:t>
      </w:r>
      <w:r>
        <w:rPr>
          <w:rFonts w:hint="eastAsia" w:ascii="方正仿宋_GBK" w:hAnsi="Calibri" w:eastAsia="方正仿宋_GBK" w:cs="方正仿宋_GBK"/>
          <w:color w:val="000000" w:themeColor="text1"/>
          <w:sz w:val="32"/>
          <w:szCs w:val="32"/>
        </w:rPr>
        <w:t>相关</w:t>
      </w:r>
      <w:r>
        <w:rPr>
          <w:rFonts w:ascii="方正仿宋_GBK" w:hAnsi="Calibri" w:eastAsia="方正仿宋_GBK" w:cs="方正仿宋_GBK"/>
          <w:color w:val="000000" w:themeColor="text1"/>
          <w:sz w:val="32"/>
          <w:szCs w:val="32"/>
        </w:rPr>
        <w:t>资料后进行综合考核，形成综合考核结论。</w:t>
      </w:r>
    </w:p>
    <w:p w14:paraId="0B37F661">
      <w:pPr>
        <w:spacing w:line="600" w:lineRule="exact"/>
        <w:ind w:firstLine="480" w:firstLineChars="150"/>
        <w:jc w:val="left"/>
        <w:rPr>
          <w:rFonts w:ascii="方正黑体_GBK" w:hAnsi="Calibri" w:eastAsia="方正黑体_GBK" w:cs="Times New Roman"/>
          <w:b/>
          <w:color w:val="000000" w:themeColor="text1"/>
          <w:sz w:val="32"/>
          <w:szCs w:val="32"/>
        </w:rPr>
      </w:pPr>
      <w:r>
        <w:rPr>
          <w:rFonts w:ascii="方正黑体_GBK" w:hAnsi="Calibri" w:eastAsia="方正黑体_GBK" w:cs="Times New Roman"/>
          <w:b/>
          <w:color w:val="000000" w:themeColor="text1"/>
          <w:sz w:val="32"/>
          <w:szCs w:val="32"/>
        </w:rPr>
        <w:t>四、</w:t>
      </w:r>
      <w:r>
        <w:rPr>
          <w:rFonts w:hint="eastAsia" w:ascii="方正黑体_GBK" w:hAnsi="Calibri" w:eastAsia="方正黑体_GBK" w:cs="Times New Roman"/>
          <w:b/>
          <w:color w:val="000000" w:themeColor="text1"/>
          <w:sz w:val="32"/>
          <w:szCs w:val="32"/>
        </w:rPr>
        <w:t>结果运用</w:t>
      </w:r>
    </w:p>
    <w:p w14:paraId="11286C71">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（一）</w:t>
      </w:r>
      <w:r>
        <w:rPr>
          <w:rFonts w:hint="eastAsia" w:ascii="方正仿宋_GBK" w:hAnsi="Calibri" w:eastAsia="方正仿宋_GBK" w:cs="方正仿宋_GBK"/>
          <w:color w:val="000000" w:themeColor="text1"/>
          <w:sz w:val="32"/>
          <w:szCs w:val="32"/>
        </w:rPr>
        <w:t>结果以报告形式上报县教育督导委员会和县教委</w:t>
      </w:r>
      <w:r>
        <w:rPr>
          <w:rFonts w:ascii="方正仿宋_GBK" w:hAnsi="Calibri" w:eastAsia="方正仿宋_GBK" w:cs="方正仿宋_GBK"/>
          <w:color w:val="000000" w:themeColor="text1"/>
          <w:sz w:val="32"/>
          <w:szCs w:val="32"/>
        </w:rPr>
        <w:t>。</w:t>
      </w:r>
    </w:p>
    <w:p w14:paraId="2CCC3A46">
      <w:pPr>
        <w:spacing w:line="600" w:lineRule="exact"/>
        <w:ind w:firstLine="800" w:firstLineChars="250"/>
        <w:jc w:val="left"/>
        <w:rPr>
          <w:rFonts w:ascii="方正仿宋_GBK" w:hAnsi="Calibri"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（二）</w:t>
      </w:r>
      <w:r>
        <w:rPr>
          <w:rFonts w:hint="eastAsia" w:ascii="方正仿宋_GBK" w:hAnsi="Calibri" w:eastAsia="方正仿宋_GBK" w:cs="方正仿宋_GBK"/>
          <w:color w:val="000000" w:themeColor="text1"/>
          <w:sz w:val="32"/>
          <w:szCs w:val="32"/>
        </w:rPr>
        <w:t>对排名没超过全体在岗督学人数1/2，取消参加教师节和其他县级以上的表扬、表彰资格；排名最后3名责任督学，由县政府教育督导室分管领导谈话。连续两年排名最后3名者全县通报批评。连续三年排名最后3名者，兼职督学暂时不予聘任，专职督学上报县人民政府办公室，建议不再任命。</w:t>
      </w:r>
    </w:p>
    <w:p w14:paraId="1AD9CDA8">
      <w:pPr>
        <w:widowControl/>
        <w:ind w:firstLine="477" w:firstLineChars="149"/>
        <w:rPr>
          <w:rFonts w:ascii="方正仿宋_GBK" w:hAnsi="Times New Roman" w:eastAsia="方正仿宋_GBK" w:cs="方正仿宋_GBK"/>
          <w:color w:val="000000" w:themeColor="text1"/>
          <w:sz w:val="32"/>
          <w:szCs w:val="32"/>
        </w:rPr>
      </w:pPr>
      <w:r>
        <w:rPr>
          <w:rFonts w:hint="eastAsia" w:ascii="方正楷体_GBK" w:hAnsi="Calibri" w:eastAsia="方正楷体_GBK" w:cs="Times New Roman"/>
          <w:b/>
          <w:color w:val="000000" w:themeColor="text1"/>
          <w:sz w:val="32"/>
          <w:szCs w:val="32"/>
        </w:rPr>
        <w:t>（三）</w:t>
      </w:r>
      <w:r>
        <w:rPr>
          <w:rFonts w:hint="eastAsia" w:ascii="方正仿宋_GBK" w:hAnsi="Times New Roman" w:eastAsia="方正仿宋_GBK" w:cs="方正仿宋_GBK"/>
          <w:color w:val="000000" w:themeColor="text1"/>
          <w:sz w:val="32"/>
          <w:szCs w:val="32"/>
        </w:rPr>
        <w:t>考核得分作为评优评先的重要依据。</w:t>
      </w:r>
    </w:p>
    <w:p w14:paraId="6E82A9DB">
      <w:pPr>
        <w:widowControl/>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 xml:space="preserve">    </w:t>
      </w:r>
      <w:r>
        <w:rPr>
          <w:rFonts w:ascii="方正仿宋_GBK" w:hAnsi="Times New Roman" w:eastAsia="方正仿宋_GBK" w:cs="方正仿宋_GBK"/>
          <w:color w:val="000000" w:themeColor="text1"/>
          <w:sz w:val="32"/>
          <w:szCs w:val="32"/>
        </w:rPr>
        <w:t>此方案从</w:t>
      </w:r>
      <w:r>
        <w:rPr>
          <w:rFonts w:hint="eastAsia" w:ascii="方正仿宋_GBK" w:hAnsi="Times New Roman" w:eastAsia="方正仿宋_GBK" w:cs="方正仿宋_GBK"/>
          <w:color w:val="000000" w:themeColor="text1"/>
          <w:sz w:val="32"/>
          <w:szCs w:val="32"/>
        </w:rPr>
        <w:t>2020年10月1日起执行。</w:t>
      </w:r>
    </w:p>
    <w:p w14:paraId="5C84B24D">
      <w:pPr>
        <w:widowControl/>
        <w:ind w:firstLine="480" w:firstLineChars="150"/>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（此考核方案解释权归石柱县人民政府教育督导室）</w:t>
      </w:r>
    </w:p>
    <w:p w14:paraId="61544B98">
      <w:pPr>
        <w:widowControl/>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 xml:space="preserve">    </w:t>
      </w:r>
    </w:p>
    <w:p w14:paraId="4CB24819">
      <w:pPr>
        <w:widowControl/>
        <w:ind w:firstLine="480" w:firstLineChars="150"/>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 xml:space="preserve"> 附件：石柱县责任督学管理考核细则(试行）                   </w:t>
      </w:r>
    </w:p>
    <w:p w14:paraId="39B017EE">
      <w:pPr>
        <w:widowControl/>
        <w:rPr>
          <w:rFonts w:ascii="方正仿宋_GBK" w:hAnsi="Times New Roman" w:eastAsia="方正仿宋_GBK" w:cs="方正仿宋_GBK"/>
          <w:color w:val="000000" w:themeColor="text1"/>
          <w:sz w:val="32"/>
          <w:szCs w:val="32"/>
        </w:rPr>
      </w:pPr>
    </w:p>
    <w:p w14:paraId="4AC94D9D">
      <w:pPr>
        <w:widowControl/>
        <w:rPr>
          <w:rFonts w:ascii="方正仿宋_GBK" w:hAnsi="Times New Roman" w:eastAsia="方正仿宋_GBK" w:cs="方正仿宋_GBK"/>
          <w:color w:val="000000" w:themeColor="text1"/>
          <w:sz w:val="32"/>
          <w:szCs w:val="32"/>
        </w:rPr>
      </w:pPr>
    </w:p>
    <w:p w14:paraId="55AE0190">
      <w:pPr>
        <w:widowControl/>
        <w:ind w:firstLine="3840" w:firstLineChars="1200"/>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 xml:space="preserve">  石柱县政府教育督导室</w:t>
      </w:r>
    </w:p>
    <w:p w14:paraId="69392898">
      <w:pPr>
        <w:widowControl/>
        <w:rPr>
          <w:rFonts w:ascii="方正仿宋_GBK" w:hAnsi="Times New Roman" w:eastAsia="方正仿宋_GBK" w:cs="方正仿宋_GBK"/>
          <w:color w:val="000000" w:themeColor="text1"/>
          <w:sz w:val="32"/>
          <w:szCs w:val="32"/>
        </w:rPr>
      </w:pPr>
      <w:r>
        <w:rPr>
          <w:rFonts w:hint="eastAsia" w:ascii="方正仿宋_GBK" w:hAnsi="Times New Roman" w:eastAsia="方正仿宋_GBK" w:cs="方正仿宋_GBK"/>
          <w:color w:val="000000" w:themeColor="text1"/>
          <w:sz w:val="32"/>
          <w:szCs w:val="32"/>
        </w:rPr>
        <w:t xml:space="preserve">                            2020年9月28日</w:t>
      </w:r>
    </w:p>
    <w:p w14:paraId="2C61E96B">
      <w:pPr>
        <w:widowControl/>
        <w:jc w:val="center"/>
        <w:rPr>
          <w:rFonts w:ascii="Times New Roman" w:hAnsi="Times New Roman" w:eastAsia="宋体" w:cs="Times New Roman"/>
          <w:kern w:val="0"/>
          <w:szCs w:val="21"/>
        </w:rPr>
      </w:pPr>
      <w:r>
        <w:rPr>
          <w:rFonts w:hint="eastAsia" w:ascii="方正大标宋简体" w:hAnsi="Times New Roman" w:eastAsia="方正大标宋简体" w:cs="Times New Roman"/>
          <w:kern w:val="0"/>
          <w:sz w:val="44"/>
          <w:szCs w:val="44"/>
        </w:rPr>
        <w:t>石柱县责任督学管理考核细则(试行)</w:t>
      </w:r>
    </w:p>
    <w:p w14:paraId="2F7BEB61">
      <w:pPr>
        <w:widowControl/>
        <w:jc w:val="center"/>
        <w:rPr>
          <w:rFonts w:ascii="Times New Roman" w:hAnsi="Times New Roman" w:eastAsia="宋体" w:cs="Times New Roman"/>
          <w:kern w:val="0"/>
          <w:szCs w:val="21"/>
        </w:rPr>
      </w:pPr>
      <w:r>
        <w:rPr>
          <w:rFonts w:hint="eastAsia" w:ascii="方正小标宋简体" w:hAnsi="Times New Roman" w:eastAsia="方正小标宋简体" w:cs="Times New Roman"/>
          <w:kern w:val="0"/>
          <w:sz w:val="44"/>
          <w:szCs w:val="44"/>
        </w:rPr>
        <w:t> </w:t>
      </w:r>
    </w:p>
    <w:tbl>
      <w:tblPr>
        <w:tblStyle w:val="4"/>
        <w:tblW w:w="910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91"/>
        <w:gridCol w:w="1245"/>
        <w:gridCol w:w="2460"/>
        <w:gridCol w:w="2313"/>
        <w:gridCol w:w="774"/>
        <w:gridCol w:w="551"/>
        <w:gridCol w:w="567"/>
      </w:tblGrid>
      <w:tr w14:paraId="28A1B7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0" w:hRule="atLeast"/>
        </w:trPr>
        <w:tc>
          <w:tcPr>
            <w:tcW w:w="1191" w:type="dxa"/>
            <w:tcMar>
              <w:top w:w="0" w:type="dxa"/>
              <w:left w:w="108" w:type="dxa"/>
              <w:bottom w:w="0" w:type="dxa"/>
              <w:right w:w="108" w:type="dxa"/>
            </w:tcMar>
            <w:vAlign w:val="center"/>
          </w:tcPr>
          <w:p w14:paraId="3B51A8B8">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一级</w:t>
            </w:r>
            <w:r>
              <w:rPr>
                <w:rFonts w:hint="eastAsia" w:ascii="黑体" w:hAnsi="黑体" w:eastAsia="黑体" w:cs="Times New Roman"/>
                <w:b/>
                <w:bCs/>
                <w:kern w:val="0"/>
                <w:szCs w:val="21"/>
              </w:rPr>
              <w:br w:type="textWrapping"/>
            </w:r>
            <w:r>
              <w:rPr>
                <w:rFonts w:hint="eastAsia" w:ascii="黑体" w:hAnsi="黑体" w:eastAsia="黑体" w:cs="Times New Roman"/>
                <w:b/>
                <w:bCs/>
                <w:kern w:val="0"/>
                <w:szCs w:val="21"/>
              </w:rPr>
              <w:t>指标</w:t>
            </w:r>
          </w:p>
        </w:tc>
        <w:tc>
          <w:tcPr>
            <w:tcW w:w="1245" w:type="dxa"/>
            <w:tcMar>
              <w:top w:w="0" w:type="dxa"/>
              <w:left w:w="108" w:type="dxa"/>
              <w:bottom w:w="0" w:type="dxa"/>
              <w:right w:w="108" w:type="dxa"/>
            </w:tcMar>
            <w:vAlign w:val="center"/>
          </w:tcPr>
          <w:p w14:paraId="1704FCCD">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二级</w:t>
            </w:r>
            <w:r>
              <w:rPr>
                <w:rFonts w:hint="eastAsia" w:ascii="黑体" w:hAnsi="黑体" w:eastAsia="黑体" w:cs="Times New Roman"/>
                <w:b/>
                <w:bCs/>
                <w:kern w:val="0"/>
                <w:szCs w:val="21"/>
              </w:rPr>
              <w:br w:type="textWrapping"/>
            </w:r>
            <w:r>
              <w:rPr>
                <w:rFonts w:hint="eastAsia" w:ascii="黑体" w:hAnsi="黑体" w:eastAsia="黑体" w:cs="Times New Roman"/>
                <w:b/>
                <w:bCs/>
                <w:kern w:val="0"/>
                <w:szCs w:val="21"/>
              </w:rPr>
              <w:t>指标</w:t>
            </w:r>
          </w:p>
        </w:tc>
        <w:tc>
          <w:tcPr>
            <w:tcW w:w="2460" w:type="dxa"/>
            <w:tcMar>
              <w:top w:w="0" w:type="dxa"/>
              <w:left w:w="108" w:type="dxa"/>
              <w:bottom w:w="0" w:type="dxa"/>
              <w:right w:w="108" w:type="dxa"/>
            </w:tcMar>
            <w:vAlign w:val="center"/>
          </w:tcPr>
          <w:p w14:paraId="293632CA">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考核内容</w:t>
            </w:r>
          </w:p>
        </w:tc>
        <w:tc>
          <w:tcPr>
            <w:tcW w:w="2313" w:type="dxa"/>
            <w:tcMar>
              <w:top w:w="0" w:type="dxa"/>
              <w:left w:w="108" w:type="dxa"/>
              <w:bottom w:w="0" w:type="dxa"/>
              <w:right w:w="108" w:type="dxa"/>
            </w:tcMar>
            <w:vAlign w:val="center"/>
          </w:tcPr>
          <w:p w14:paraId="36E9EEC7">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考核标准（分值）</w:t>
            </w:r>
          </w:p>
        </w:tc>
        <w:tc>
          <w:tcPr>
            <w:tcW w:w="774" w:type="dxa"/>
            <w:tcMar>
              <w:top w:w="0" w:type="dxa"/>
              <w:left w:w="108" w:type="dxa"/>
              <w:bottom w:w="0" w:type="dxa"/>
              <w:right w:w="108" w:type="dxa"/>
            </w:tcMar>
            <w:vAlign w:val="center"/>
          </w:tcPr>
          <w:p w14:paraId="72539075">
            <w:pPr>
              <w:widowControl/>
              <w:rPr>
                <w:rFonts w:ascii="Times New Roman" w:hAnsi="Times New Roman" w:eastAsia="宋体" w:cs="Times New Roman"/>
                <w:kern w:val="0"/>
                <w:szCs w:val="21"/>
              </w:rPr>
            </w:pPr>
            <w:r>
              <w:rPr>
                <w:rFonts w:hint="eastAsia" w:ascii="黑体" w:hAnsi="黑体" w:eastAsia="黑体" w:cs="Times New Roman"/>
                <w:b/>
                <w:bCs/>
                <w:kern w:val="0"/>
                <w:szCs w:val="21"/>
              </w:rPr>
              <w:t>考核</w:t>
            </w:r>
          </w:p>
          <w:p w14:paraId="50677950">
            <w:pPr>
              <w:widowControl/>
              <w:rPr>
                <w:rFonts w:ascii="Times New Roman" w:hAnsi="Times New Roman" w:eastAsia="宋体" w:cs="Times New Roman"/>
                <w:kern w:val="0"/>
                <w:szCs w:val="21"/>
              </w:rPr>
            </w:pPr>
            <w:r>
              <w:rPr>
                <w:rFonts w:hint="eastAsia" w:ascii="黑体" w:hAnsi="黑体" w:eastAsia="黑体" w:cs="Times New Roman"/>
                <w:b/>
                <w:bCs/>
                <w:kern w:val="0"/>
                <w:szCs w:val="21"/>
              </w:rPr>
              <w:t>方式</w:t>
            </w:r>
            <w:r>
              <w:rPr>
                <w:rFonts w:hint="eastAsia" w:ascii="宋体" w:hAnsi="宋体" w:eastAsia="宋体" w:cs="Times New Roman"/>
                <w:b/>
                <w:bCs/>
                <w:kern w:val="0"/>
                <w:szCs w:val="21"/>
              </w:rPr>
              <w:t> </w:t>
            </w:r>
          </w:p>
        </w:tc>
        <w:tc>
          <w:tcPr>
            <w:tcW w:w="551" w:type="dxa"/>
            <w:tcMar>
              <w:top w:w="0" w:type="dxa"/>
              <w:left w:w="108" w:type="dxa"/>
              <w:bottom w:w="0" w:type="dxa"/>
              <w:right w:w="108" w:type="dxa"/>
            </w:tcMar>
            <w:vAlign w:val="center"/>
          </w:tcPr>
          <w:p w14:paraId="1A7422F5">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自评得分</w:t>
            </w:r>
          </w:p>
        </w:tc>
        <w:tc>
          <w:tcPr>
            <w:tcW w:w="567" w:type="dxa"/>
            <w:tcMar>
              <w:top w:w="0" w:type="dxa"/>
              <w:left w:w="108" w:type="dxa"/>
              <w:bottom w:w="0" w:type="dxa"/>
              <w:right w:w="108" w:type="dxa"/>
            </w:tcMar>
            <w:vAlign w:val="center"/>
          </w:tcPr>
          <w:p w14:paraId="2CF7185B">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考核得分</w:t>
            </w:r>
          </w:p>
        </w:tc>
      </w:tr>
      <w:tr w14:paraId="62C4C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60" w:hRule="atLeast"/>
        </w:trPr>
        <w:tc>
          <w:tcPr>
            <w:tcW w:w="1191" w:type="dxa"/>
            <w:vMerge w:val="restart"/>
            <w:tcMar>
              <w:top w:w="0" w:type="dxa"/>
              <w:left w:w="108" w:type="dxa"/>
              <w:bottom w:w="0" w:type="dxa"/>
              <w:right w:w="108" w:type="dxa"/>
            </w:tcMar>
            <w:vAlign w:val="center"/>
          </w:tcPr>
          <w:p w14:paraId="218F40AD">
            <w:pPr>
              <w:widowControl/>
              <w:jc w:val="center"/>
              <w:rPr>
                <w:rFonts w:ascii="Times New Roman" w:hAnsi="Times New Roman" w:eastAsia="宋体" w:cs="Times New Roman"/>
                <w:kern w:val="0"/>
                <w:szCs w:val="21"/>
              </w:rPr>
            </w:pPr>
            <w:r>
              <w:rPr>
                <w:rFonts w:hint="eastAsia" w:ascii="黑体" w:hAnsi="黑体" w:eastAsia="黑体" w:cs="Times New Roman"/>
                <w:kern w:val="0"/>
                <w:szCs w:val="21"/>
              </w:rPr>
              <w:t>督学</w:t>
            </w:r>
          </w:p>
          <w:p w14:paraId="5FDB6BDF">
            <w:pPr>
              <w:widowControl/>
              <w:jc w:val="center"/>
              <w:rPr>
                <w:rFonts w:ascii="Times New Roman" w:hAnsi="Times New Roman" w:eastAsia="宋体" w:cs="Times New Roman"/>
                <w:kern w:val="0"/>
                <w:szCs w:val="21"/>
              </w:rPr>
            </w:pPr>
            <w:r>
              <w:rPr>
                <w:rFonts w:hint="eastAsia" w:ascii="黑体" w:hAnsi="黑体" w:eastAsia="黑体" w:cs="Times New Roman"/>
                <w:kern w:val="0"/>
                <w:szCs w:val="21"/>
              </w:rPr>
              <w:t>素养</w:t>
            </w:r>
          </w:p>
          <w:p w14:paraId="6B161F3D">
            <w:pPr>
              <w:widowControl/>
              <w:jc w:val="center"/>
              <w:rPr>
                <w:rFonts w:ascii="Times New Roman" w:hAnsi="Times New Roman" w:eastAsia="宋体" w:cs="Times New Roman"/>
                <w:kern w:val="0"/>
                <w:szCs w:val="21"/>
              </w:rPr>
            </w:pPr>
            <w:r>
              <w:rPr>
                <w:rFonts w:hint="eastAsia" w:ascii="黑体" w:hAnsi="黑体" w:eastAsia="黑体" w:cs="Times New Roman"/>
                <w:kern w:val="0"/>
                <w:szCs w:val="21"/>
              </w:rPr>
              <w:t>（20）</w:t>
            </w:r>
          </w:p>
        </w:tc>
        <w:tc>
          <w:tcPr>
            <w:tcW w:w="1245" w:type="dxa"/>
            <w:tcMar>
              <w:top w:w="0" w:type="dxa"/>
              <w:left w:w="108" w:type="dxa"/>
              <w:bottom w:w="0" w:type="dxa"/>
              <w:right w:w="108" w:type="dxa"/>
            </w:tcMar>
            <w:vAlign w:val="center"/>
          </w:tcPr>
          <w:p w14:paraId="090D0A5B">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专业</w:t>
            </w:r>
          </w:p>
          <w:p w14:paraId="2B92E2C0">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素养</w:t>
            </w:r>
          </w:p>
          <w:p w14:paraId="54F8ED3B">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p>
        </w:tc>
        <w:tc>
          <w:tcPr>
            <w:tcW w:w="2460" w:type="dxa"/>
            <w:tcMar>
              <w:top w:w="0" w:type="dxa"/>
              <w:left w:w="108" w:type="dxa"/>
              <w:bottom w:w="0" w:type="dxa"/>
              <w:right w:w="108" w:type="dxa"/>
            </w:tcMar>
            <w:vAlign w:val="center"/>
          </w:tcPr>
          <w:p w14:paraId="073C5EA4">
            <w:pPr>
              <w:widowControl/>
              <w:rPr>
                <w:rFonts w:ascii="Times New Roman" w:hAnsi="Times New Roman" w:eastAsia="宋体" w:cs="Times New Roman"/>
                <w:kern w:val="0"/>
                <w:szCs w:val="21"/>
              </w:rPr>
            </w:pPr>
            <w:r>
              <w:rPr>
                <w:rFonts w:hint="eastAsia" w:ascii="仿宋" w:hAnsi="仿宋" w:eastAsia="仿宋" w:cs="Times New Roman"/>
                <w:kern w:val="0"/>
                <w:szCs w:val="21"/>
              </w:rPr>
              <w:t>贯彻党的教育方针，熟悉政策法规和督导业务；定期参加教育督导培训和考核。</w:t>
            </w:r>
          </w:p>
        </w:tc>
        <w:tc>
          <w:tcPr>
            <w:tcW w:w="2313" w:type="dxa"/>
            <w:tcMar>
              <w:top w:w="0" w:type="dxa"/>
              <w:left w:w="108" w:type="dxa"/>
              <w:bottom w:w="0" w:type="dxa"/>
              <w:right w:w="108" w:type="dxa"/>
            </w:tcMar>
            <w:vAlign w:val="center"/>
          </w:tcPr>
          <w:p w14:paraId="7FFBE93C">
            <w:pPr>
              <w:widowControl/>
              <w:rPr>
                <w:rFonts w:ascii="Times New Roman" w:hAnsi="Times New Roman" w:eastAsia="仿宋" w:cs="Times New Roman"/>
                <w:kern w:val="0"/>
                <w:szCs w:val="21"/>
              </w:rPr>
            </w:pPr>
            <w:r>
              <w:rPr>
                <w:rFonts w:hint="eastAsia" w:ascii="仿宋" w:hAnsi="仿宋" w:eastAsia="仿宋" w:cs="Times New Roman"/>
                <w:kern w:val="0"/>
                <w:szCs w:val="21"/>
              </w:rPr>
              <w:t>积极参加培训的，得8分；缺席工作培训或例会一次扣1分；督导知识竞赛90分以上者，加2分，80分以上者，加1分。59分以下者扣3分。</w:t>
            </w:r>
          </w:p>
        </w:tc>
        <w:tc>
          <w:tcPr>
            <w:tcW w:w="774" w:type="dxa"/>
            <w:tcMar>
              <w:top w:w="0" w:type="dxa"/>
              <w:left w:w="108" w:type="dxa"/>
              <w:bottom w:w="0" w:type="dxa"/>
              <w:right w:w="108" w:type="dxa"/>
            </w:tcMar>
            <w:vAlign w:val="center"/>
          </w:tcPr>
          <w:p w14:paraId="51FB69E2">
            <w:pPr>
              <w:widowControl/>
              <w:jc w:val="center"/>
              <w:rPr>
                <w:rFonts w:ascii="Times New Roman" w:hAnsi="Times New Roman" w:eastAsia="宋体" w:cs="Times New Roman"/>
                <w:kern w:val="0"/>
                <w:szCs w:val="21"/>
              </w:rPr>
            </w:pPr>
            <w:r>
              <w:rPr>
                <w:rFonts w:hint="eastAsia" w:ascii="宋体" w:hAnsi="宋体" w:eastAsia="宋体" w:cs="宋体"/>
                <w:kern w:val="0"/>
                <w:szCs w:val="21"/>
              </w:rPr>
              <w:t> </w:t>
            </w:r>
          </w:p>
          <w:p w14:paraId="0F515A12">
            <w:pPr>
              <w:widowControl/>
              <w:spacing w:line="24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签到</w:t>
            </w:r>
          </w:p>
          <w:p w14:paraId="02A4F874">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情况、</w:t>
            </w:r>
          </w:p>
          <w:p w14:paraId="0030C9FE">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竞赛结果</w:t>
            </w:r>
          </w:p>
        </w:tc>
        <w:tc>
          <w:tcPr>
            <w:tcW w:w="551" w:type="dxa"/>
            <w:tcMar>
              <w:top w:w="0" w:type="dxa"/>
              <w:left w:w="108" w:type="dxa"/>
              <w:bottom w:w="0" w:type="dxa"/>
              <w:right w:w="108" w:type="dxa"/>
            </w:tcMar>
            <w:vAlign w:val="center"/>
          </w:tcPr>
          <w:p w14:paraId="5C7A3CFA">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03723F15">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restart"/>
            <w:tcMar>
              <w:top w:w="0" w:type="dxa"/>
              <w:left w:w="108" w:type="dxa"/>
              <w:bottom w:w="0" w:type="dxa"/>
              <w:right w:w="108" w:type="dxa"/>
            </w:tcMar>
            <w:vAlign w:val="center"/>
          </w:tcPr>
          <w:p w14:paraId="25101EEE">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6F03C9C2">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49CAC2E0">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332F3C05">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r>
      <w:tr w14:paraId="65D95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84" w:hRule="atLeast"/>
        </w:trPr>
        <w:tc>
          <w:tcPr>
            <w:tcW w:w="1191" w:type="dxa"/>
            <w:vMerge w:val="continue"/>
            <w:vAlign w:val="center"/>
          </w:tcPr>
          <w:p w14:paraId="60CB3278">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784C8BBB">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督学</w:t>
            </w:r>
          </w:p>
          <w:p w14:paraId="23123E0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形象</w:t>
            </w:r>
          </w:p>
          <w:p w14:paraId="6B2BD849">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307097F9">
            <w:pPr>
              <w:widowControl/>
              <w:rPr>
                <w:rFonts w:ascii="Times New Roman" w:hAnsi="Times New Roman" w:eastAsia="宋体" w:cs="Times New Roman"/>
                <w:kern w:val="0"/>
                <w:szCs w:val="21"/>
              </w:rPr>
            </w:pPr>
            <w:r>
              <w:rPr>
                <w:rFonts w:hint="eastAsia" w:ascii="仿宋" w:hAnsi="仿宋" w:eastAsia="仿宋" w:cs="Times New Roman"/>
                <w:kern w:val="0"/>
                <w:szCs w:val="21"/>
              </w:rPr>
              <w:t>按规定程序开展督导工作，严格遵守督导工作纪律，维护督学形象。</w:t>
            </w:r>
          </w:p>
        </w:tc>
        <w:tc>
          <w:tcPr>
            <w:tcW w:w="2313" w:type="dxa"/>
            <w:tcMar>
              <w:top w:w="0" w:type="dxa"/>
              <w:left w:w="108" w:type="dxa"/>
              <w:bottom w:w="0" w:type="dxa"/>
              <w:right w:w="108" w:type="dxa"/>
            </w:tcMar>
            <w:vAlign w:val="center"/>
          </w:tcPr>
          <w:p w14:paraId="6028377C">
            <w:pPr>
              <w:widowControl/>
              <w:rPr>
                <w:rFonts w:ascii="Times New Roman" w:hAnsi="Times New Roman" w:eastAsia="宋体" w:cs="Times New Roman"/>
                <w:kern w:val="0"/>
                <w:szCs w:val="21"/>
              </w:rPr>
            </w:pPr>
            <w:r>
              <w:rPr>
                <w:rFonts w:hint="eastAsia" w:ascii="仿宋" w:hAnsi="仿宋" w:eastAsia="仿宋" w:cs="Times New Roman"/>
                <w:kern w:val="0"/>
                <w:szCs w:val="21"/>
              </w:rPr>
              <w:t>按规定程序开展督导并严格遵守督导工作纪律的，得10分；被投诉，未造成重大影响的，扣2分；被举报，造成不良影响的，一次扣4分。</w:t>
            </w:r>
          </w:p>
        </w:tc>
        <w:tc>
          <w:tcPr>
            <w:tcW w:w="774" w:type="dxa"/>
            <w:tcMar>
              <w:top w:w="0" w:type="dxa"/>
              <w:left w:w="108" w:type="dxa"/>
              <w:bottom w:w="0" w:type="dxa"/>
              <w:right w:w="108" w:type="dxa"/>
            </w:tcMar>
            <w:vAlign w:val="center"/>
          </w:tcPr>
          <w:p w14:paraId="2889E20C">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问卷</w:t>
            </w:r>
          </w:p>
          <w:p w14:paraId="005277F5">
            <w:pPr>
              <w:widowControl/>
              <w:jc w:val="center"/>
              <w:rPr>
                <w:rFonts w:ascii="Times New Roman" w:hAnsi="Times New Roman" w:eastAsia="宋体" w:cs="Times New Roman"/>
                <w:kern w:val="0"/>
                <w:szCs w:val="21"/>
              </w:rPr>
            </w:pPr>
            <w:r>
              <w:rPr>
                <w:rFonts w:hint="eastAsia" w:ascii="宋体" w:hAnsi="宋体" w:eastAsia="宋体" w:cs="宋体"/>
                <w:kern w:val="0"/>
                <w:szCs w:val="21"/>
              </w:rPr>
              <w:t> </w:t>
            </w:r>
            <w:r>
              <w:rPr>
                <w:rFonts w:hint="eastAsia" w:ascii="仿宋" w:hAnsi="仿宋" w:eastAsia="仿宋" w:cs="Times New Roman"/>
                <w:kern w:val="0"/>
                <w:szCs w:val="21"/>
              </w:rPr>
              <w:t>访谈</w:t>
            </w:r>
            <w:r>
              <w:rPr>
                <w:rFonts w:hint="eastAsia" w:ascii="华文仿宋" w:hAnsi="华文仿宋" w:eastAsia="华文仿宋" w:cs="Times New Roman"/>
                <w:kern w:val="0"/>
                <w:szCs w:val="21"/>
              </w:rPr>
              <w:t> </w:t>
            </w:r>
          </w:p>
        </w:tc>
        <w:tc>
          <w:tcPr>
            <w:tcW w:w="551" w:type="dxa"/>
            <w:tcMar>
              <w:top w:w="0" w:type="dxa"/>
              <w:left w:w="108" w:type="dxa"/>
              <w:bottom w:w="0" w:type="dxa"/>
              <w:right w:w="108" w:type="dxa"/>
            </w:tcMar>
            <w:vAlign w:val="center"/>
          </w:tcPr>
          <w:p w14:paraId="7B6B2023">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40CDDB0C">
            <w:pPr>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continue"/>
            <w:vAlign w:val="center"/>
          </w:tcPr>
          <w:p w14:paraId="57AB0989">
            <w:pPr>
              <w:widowControl/>
              <w:jc w:val="left"/>
              <w:rPr>
                <w:rFonts w:ascii="Times New Roman" w:hAnsi="Times New Roman" w:eastAsia="宋体" w:cs="Times New Roman"/>
                <w:kern w:val="0"/>
                <w:szCs w:val="21"/>
              </w:rPr>
            </w:pPr>
          </w:p>
        </w:tc>
      </w:tr>
      <w:tr w14:paraId="13DDE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5" w:hRule="atLeast"/>
        </w:trPr>
        <w:tc>
          <w:tcPr>
            <w:tcW w:w="1191" w:type="dxa"/>
            <w:vMerge w:val="restart"/>
            <w:tcMar>
              <w:top w:w="0" w:type="dxa"/>
              <w:left w:w="108" w:type="dxa"/>
              <w:bottom w:w="0" w:type="dxa"/>
              <w:right w:w="108" w:type="dxa"/>
            </w:tcMar>
            <w:vAlign w:val="center"/>
          </w:tcPr>
          <w:p w14:paraId="4B6F657D">
            <w:pPr>
              <w:widowControl/>
              <w:jc w:val="center"/>
              <w:rPr>
                <w:rFonts w:ascii="Times New Roman" w:hAnsi="Times New Roman" w:eastAsia="宋体" w:cs="Times New Roman"/>
                <w:kern w:val="0"/>
                <w:szCs w:val="21"/>
              </w:rPr>
            </w:pPr>
            <w:r>
              <w:rPr>
                <w:rFonts w:hint="eastAsia" w:ascii="黑体" w:hAnsi="黑体" w:eastAsia="黑体" w:cs="Times New Roman"/>
                <w:kern w:val="0"/>
                <w:szCs w:val="21"/>
              </w:rPr>
              <w:t>履行</w:t>
            </w:r>
          </w:p>
          <w:p w14:paraId="55217862">
            <w:pPr>
              <w:widowControl/>
              <w:jc w:val="center"/>
              <w:rPr>
                <w:rFonts w:ascii="Times New Roman" w:hAnsi="Times New Roman" w:eastAsia="宋体" w:cs="Times New Roman"/>
                <w:kern w:val="0"/>
                <w:szCs w:val="21"/>
              </w:rPr>
            </w:pPr>
            <w:r>
              <w:rPr>
                <w:rFonts w:hint="eastAsia" w:ascii="黑体" w:hAnsi="黑体" w:eastAsia="黑体" w:cs="Times New Roman"/>
                <w:kern w:val="0"/>
                <w:szCs w:val="21"/>
              </w:rPr>
              <w:t>职责</w:t>
            </w:r>
            <w:r>
              <w:rPr>
                <w:rFonts w:hint="eastAsia" w:ascii="黑体" w:hAnsi="黑体" w:eastAsia="黑体" w:cs="Times New Roman"/>
                <w:kern w:val="0"/>
                <w:szCs w:val="21"/>
              </w:rPr>
              <w:br w:type="textWrapping"/>
            </w:r>
            <w:r>
              <w:rPr>
                <w:rFonts w:hint="eastAsia" w:ascii="黑体" w:hAnsi="黑体" w:eastAsia="黑体" w:cs="Times New Roman"/>
                <w:kern w:val="0"/>
                <w:szCs w:val="21"/>
              </w:rPr>
              <w:t>（50）</w:t>
            </w:r>
          </w:p>
        </w:tc>
        <w:tc>
          <w:tcPr>
            <w:tcW w:w="1245" w:type="dxa"/>
            <w:tcMar>
              <w:top w:w="0" w:type="dxa"/>
              <w:left w:w="108" w:type="dxa"/>
              <w:bottom w:w="0" w:type="dxa"/>
              <w:right w:w="108" w:type="dxa"/>
            </w:tcMar>
            <w:vAlign w:val="center"/>
          </w:tcPr>
          <w:p w14:paraId="5E3DB549">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计划</w:t>
            </w:r>
          </w:p>
          <w:p w14:paraId="1E73E44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制定</w:t>
            </w:r>
          </w:p>
          <w:p w14:paraId="6618924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（5）</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17A39876">
            <w:pPr>
              <w:widowControl/>
              <w:rPr>
                <w:rFonts w:ascii="Times New Roman" w:hAnsi="Times New Roman" w:eastAsia="宋体" w:cs="Times New Roman"/>
                <w:kern w:val="0"/>
                <w:szCs w:val="21"/>
              </w:rPr>
            </w:pPr>
            <w:r>
              <w:rPr>
                <w:rFonts w:hint="eastAsia" w:ascii="仿宋" w:hAnsi="仿宋" w:eastAsia="仿宋" w:cs="Times New Roman"/>
                <w:kern w:val="0"/>
                <w:szCs w:val="21"/>
              </w:rPr>
              <w:t>结合区内学校实际，拟写年度督导计划，并按计划落实督导工作。</w:t>
            </w:r>
          </w:p>
        </w:tc>
        <w:tc>
          <w:tcPr>
            <w:tcW w:w="2313" w:type="dxa"/>
            <w:tcMar>
              <w:top w:w="0" w:type="dxa"/>
              <w:left w:w="108" w:type="dxa"/>
              <w:bottom w:w="0" w:type="dxa"/>
              <w:right w:w="108" w:type="dxa"/>
            </w:tcMar>
            <w:vAlign w:val="center"/>
          </w:tcPr>
          <w:p w14:paraId="334D36FC">
            <w:pPr>
              <w:widowControl/>
              <w:rPr>
                <w:rFonts w:ascii="Times New Roman" w:hAnsi="Times New Roman" w:eastAsia="宋体" w:cs="Times New Roman"/>
                <w:kern w:val="0"/>
                <w:szCs w:val="21"/>
              </w:rPr>
            </w:pPr>
            <w:r>
              <w:rPr>
                <w:rFonts w:hint="eastAsia" w:ascii="仿宋" w:hAnsi="仿宋" w:eastAsia="仿宋" w:cs="Times New Roman"/>
                <w:kern w:val="0"/>
                <w:szCs w:val="21"/>
              </w:rPr>
              <w:t>督导计划内容详实，操作性强，得5分；无计划扣5分。</w:t>
            </w:r>
          </w:p>
        </w:tc>
        <w:tc>
          <w:tcPr>
            <w:tcW w:w="774" w:type="dxa"/>
            <w:tcMar>
              <w:top w:w="0" w:type="dxa"/>
              <w:left w:w="108" w:type="dxa"/>
              <w:bottom w:w="0" w:type="dxa"/>
              <w:right w:w="108" w:type="dxa"/>
            </w:tcMar>
            <w:vAlign w:val="center"/>
          </w:tcPr>
          <w:p w14:paraId="3E8A0F8E">
            <w:pPr>
              <w:widowControl/>
              <w:spacing w:line="240" w:lineRule="atLeast"/>
              <w:jc w:val="center"/>
              <w:rPr>
                <w:rFonts w:ascii="Times New Roman" w:hAnsi="Times New Roman" w:eastAsia="宋体" w:cs="Times New Roman"/>
                <w:kern w:val="0"/>
                <w:szCs w:val="21"/>
              </w:rPr>
            </w:pPr>
            <w:r>
              <w:rPr>
                <w:rFonts w:hint="eastAsia" w:ascii="仿宋" w:hAnsi="仿宋" w:eastAsia="仿宋" w:cs="Times New Roman"/>
                <w:kern w:val="0"/>
                <w:szCs w:val="21"/>
              </w:rPr>
              <w:t>上传</w:t>
            </w:r>
          </w:p>
          <w:p w14:paraId="6E483167">
            <w:pPr>
              <w:widowControl/>
              <w:spacing w:line="240" w:lineRule="atLeast"/>
              <w:jc w:val="center"/>
              <w:rPr>
                <w:rFonts w:ascii="Times New Roman" w:hAnsi="Times New Roman" w:eastAsia="宋体" w:cs="Times New Roman"/>
                <w:kern w:val="0"/>
                <w:szCs w:val="21"/>
              </w:rPr>
            </w:pPr>
            <w:r>
              <w:rPr>
                <w:rFonts w:hint="eastAsia" w:ascii="宋体" w:hAnsi="宋体" w:eastAsia="宋体" w:cs="宋体"/>
                <w:kern w:val="0"/>
                <w:szCs w:val="21"/>
              </w:rPr>
              <w:t> </w:t>
            </w:r>
            <w:r>
              <w:rPr>
                <w:rFonts w:hint="eastAsia" w:ascii="仿宋" w:hAnsi="仿宋" w:eastAsia="仿宋" w:cs="Times New Roman"/>
                <w:kern w:val="0"/>
                <w:szCs w:val="21"/>
              </w:rPr>
              <w:t>材料</w:t>
            </w:r>
            <w:r>
              <w:rPr>
                <w:rFonts w:hint="eastAsia" w:ascii="华文仿宋" w:hAnsi="华文仿宋" w:eastAsia="华文仿宋" w:cs="Times New Roman"/>
                <w:kern w:val="0"/>
                <w:szCs w:val="21"/>
              </w:rPr>
              <w:t> </w:t>
            </w:r>
          </w:p>
        </w:tc>
        <w:tc>
          <w:tcPr>
            <w:tcW w:w="551" w:type="dxa"/>
            <w:tcMar>
              <w:top w:w="0" w:type="dxa"/>
              <w:left w:w="108" w:type="dxa"/>
              <w:bottom w:w="0" w:type="dxa"/>
              <w:right w:w="108" w:type="dxa"/>
            </w:tcMar>
            <w:vAlign w:val="center"/>
          </w:tcPr>
          <w:p w14:paraId="6575E339">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restart"/>
            <w:tcMar>
              <w:top w:w="0" w:type="dxa"/>
              <w:left w:w="108" w:type="dxa"/>
              <w:bottom w:w="0" w:type="dxa"/>
              <w:right w:w="108" w:type="dxa"/>
            </w:tcMar>
            <w:vAlign w:val="center"/>
          </w:tcPr>
          <w:p w14:paraId="649349E0">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0FDCFDE4">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r>
      <w:tr w14:paraId="401F7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34" w:hRule="atLeast"/>
        </w:trPr>
        <w:tc>
          <w:tcPr>
            <w:tcW w:w="1191" w:type="dxa"/>
            <w:vMerge w:val="continue"/>
            <w:vAlign w:val="center"/>
          </w:tcPr>
          <w:p w14:paraId="2A22B927">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0FF55D56">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工作</w:t>
            </w:r>
          </w:p>
          <w:p w14:paraId="40310621">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制度</w:t>
            </w:r>
          </w:p>
          <w:p w14:paraId="112C24F4">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（25）</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2B8B278D">
            <w:pPr>
              <w:widowControl/>
              <w:rPr>
                <w:rFonts w:ascii="Times New Roman" w:hAnsi="Times New Roman" w:eastAsia="宋体" w:cs="Times New Roman"/>
                <w:kern w:val="0"/>
                <w:szCs w:val="21"/>
              </w:rPr>
            </w:pPr>
            <w:r>
              <w:rPr>
                <w:rFonts w:hint="eastAsia" w:ascii="仿宋" w:hAnsi="仿宋" w:eastAsia="仿宋" w:cs="Times New Roman"/>
                <w:kern w:val="0"/>
                <w:szCs w:val="21"/>
              </w:rPr>
              <w:t>责任学校实施经常性督导每月不少于2次，每期听课不少于25节，及时评课，指导教师教学，促进教师专业成长；每次督导全方位巡视校园，发现亮点或问题，认真完成《责任督学工作手册》相关内容。</w:t>
            </w:r>
          </w:p>
        </w:tc>
        <w:tc>
          <w:tcPr>
            <w:tcW w:w="2313" w:type="dxa"/>
            <w:tcMar>
              <w:top w:w="0" w:type="dxa"/>
              <w:left w:w="108" w:type="dxa"/>
              <w:bottom w:w="0" w:type="dxa"/>
              <w:right w:w="108" w:type="dxa"/>
            </w:tcMar>
            <w:vAlign w:val="center"/>
          </w:tcPr>
          <w:p w14:paraId="1AB1CE72">
            <w:pPr>
              <w:widowControl/>
              <w:rPr>
                <w:rFonts w:ascii="Times New Roman" w:hAnsi="Times New Roman" w:eastAsia="宋体" w:cs="Times New Roman"/>
                <w:kern w:val="0"/>
                <w:szCs w:val="21"/>
              </w:rPr>
            </w:pPr>
            <w:r>
              <w:rPr>
                <w:rFonts w:hint="eastAsia" w:ascii="仿宋" w:hAnsi="仿宋" w:eastAsia="仿宋" w:cs="Times New Roman"/>
                <w:kern w:val="0"/>
                <w:szCs w:val="21"/>
              </w:rPr>
              <w:t>非法定节假日按时到责任区办公室或责任学校上班，每迟到一次扣1分，旷工扣5分；每月到校不少于2次，每次不少于半，每缺一次扣1分；每年听课不少于50节，缺一节扣0.5分；及时向学校反馈督导意见并跟踪督查整改，有记载，有反馈，并视《督学手册》填写情况予以评分。（如遇协作督导、综合督导视完成任务参照上述考核进行。）</w:t>
            </w:r>
          </w:p>
        </w:tc>
        <w:tc>
          <w:tcPr>
            <w:tcW w:w="774" w:type="dxa"/>
            <w:tcMar>
              <w:top w:w="0" w:type="dxa"/>
              <w:left w:w="108" w:type="dxa"/>
              <w:bottom w:w="0" w:type="dxa"/>
              <w:right w:w="108" w:type="dxa"/>
            </w:tcMar>
            <w:vAlign w:val="center"/>
          </w:tcPr>
          <w:p w14:paraId="5159B811">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签到平台和实地考核，查阅工作手册</w:t>
            </w:r>
          </w:p>
          <w:p w14:paraId="12C2C6A5">
            <w:pPr>
              <w:widowControl/>
              <w:jc w:val="center"/>
              <w:rPr>
                <w:rFonts w:ascii="Times New Roman" w:hAnsi="Times New Roman" w:eastAsia="宋体" w:cs="Times New Roman"/>
                <w:kern w:val="0"/>
                <w:szCs w:val="21"/>
              </w:rPr>
            </w:pPr>
            <w:r>
              <w:rPr>
                <w:rFonts w:hint="eastAsia" w:ascii="宋体" w:hAnsi="宋体" w:eastAsia="宋体" w:cs="宋体"/>
                <w:kern w:val="0"/>
                <w:szCs w:val="21"/>
              </w:rPr>
              <w:t> </w:t>
            </w:r>
          </w:p>
          <w:p w14:paraId="1B8ACA55">
            <w:pPr>
              <w:widowControl/>
              <w:jc w:val="center"/>
              <w:rPr>
                <w:rFonts w:ascii="Times New Roman" w:hAnsi="Times New Roman" w:eastAsia="宋体" w:cs="Times New Roman"/>
                <w:kern w:val="0"/>
                <w:szCs w:val="21"/>
              </w:rPr>
            </w:pPr>
          </w:p>
        </w:tc>
        <w:tc>
          <w:tcPr>
            <w:tcW w:w="551" w:type="dxa"/>
            <w:tcMar>
              <w:top w:w="0" w:type="dxa"/>
              <w:left w:w="108" w:type="dxa"/>
              <w:bottom w:w="0" w:type="dxa"/>
              <w:right w:w="108" w:type="dxa"/>
            </w:tcMar>
            <w:vAlign w:val="center"/>
          </w:tcPr>
          <w:p w14:paraId="08BAC78C">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continue"/>
            <w:vAlign w:val="center"/>
          </w:tcPr>
          <w:p w14:paraId="2A4A8C90">
            <w:pPr>
              <w:widowControl/>
              <w:jc w:val="left"/>
              <w:rPr>
                <w:rFonts w:ascii="Times New Roman" w:hAnsi="Times New Roman" w:eastAsia="宋体" w:cs="Times New Roman"/>
                <w:kern w:val="0"/>
                <w:szCs w:val="21"/>
              </w:rPr>
            </w:pPr>
          </w:p>
        </w:tc>
      </w:tr>
      <w:tr w14:paraId="476AD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55" w:hRule="atLeast"/>
        </w:trPr>
        <w:tc>
          <w:tcPr>
            <w:tcW w:w="1191" w:type="dxa"/>
            <w:vMerge w:val="continue"/>
            <w:vAlign w:val="center"/>
          </w:tcPr>
          <w:p w14:paraId="04D107FF">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74990E92">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教育</w:t>
            </w:r>
          </w:p>
          <w:p w14:paraId="6BB7BB93">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诉求</w:t>
            </w:r>
          </w:p>
          <w:p w14:paraId="7C50AC03">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4D637342">
            <w:pPr>
              <w:widowControl/>
              <w:rPr>
                <w:rFonts w:ascii="Times New Roman" w:hAnsi="Times New Roman" w:eastAsia="宋体" w:cs="Times New Roman"/>
                <w:kern w:val="0"/>
                <w:szCs w:val="21"/>
              </w:rPr>
            </w:pPr>
            <w:r>
              <w:rPr>
                <w:rFonts w:hint="eastAsia" w:ascii="仿宋" w:hAnsi="仿宋" w:eastAsia="仿宋" w:cs="Times New Roman"/>
                <w:kern w:val="0"/>
                <w:szCs w:val="21"/>
              </w:rPr>
              <w:t>主动了解责任区内教师、学生、家长及社会对教育的意见建议，认真受理有关举报和投诉，及时向教育主管部门报告并督促学校及时整改。</w:t>
            </w:r>
          </w:p>
        </w:tc>
        <w:tc>
          <w:tcPr>
            <w:tcW w:w="2313" w:type="dxa"/>
            <w:tcMar>
              <w:top w:w="0" w:type="dxa"/>
              <w:left w:w="108" w:type="dxa"/>
              <w:bottom w:w="0" w:type="dxa"/>
              <w:right w:w="108" w:type="dxa"/>
            </w:tcMar>
            <w:vAlign w:val="center"/>
          </w:tcPr>
          <w:p w14:paraId="2A6C3A8A">
            <w:pPr>
              <w:widowControl/>
              <w:rPr>
                <w:rFonts w:ascii="Times New Roman" w:hAnsi="Times New Roman" w:eastAsia="宋体" w:cs="Times New Roman"/>
                <w:kern w:val="0"/>
                <w:szCs w:val="21"/>
              </w:rPr>
            </w:pPr>
            <w:r>
              <w:rPr>
                <w:rFonts w:hint="eastAsia" w:ascii="仿宋" w:hAnsi="仿宋" w:eastAsia="仿宋" w:cs="Times New Roman"/>
                <w:kern w:val="0"/>
                <w:szCs w:val="21"/>
              </w:rPr>
              <w:t>对教师、学生、家长及社会对学校教育的诉求及时处理，得10分，未及时处理和移交的，一次扣1分。</w:t>
            </w:r>
          </w:p>
        </w:tc>
        <w:tc>
          <w:tcPr>
            <w:tcW w:w="774" w:type="dxa"/>
            <w:tcMar>
              <w:top w:w="0" w:type="dxa"/>
              <w:left w:w="108" w:type="dxa"/>
              <w:bottom w:w="0" w:type="dxa"/>
              <w:right w:w="108" w:type="dxa"/>
            </w:tcMar>
            <w:vAlign w:val="center"/>
          </w:tcPr>
          <w:p w14:paraId="19401DE3">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访谈</w:t>
            </w:r>
          </w:p>
          <w:p w14:paraId="547F3FF9">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br w:type="textWrapping"/>
            </w:r>
            <w:r>
              <w:rPr>
                <w:rFonts w:hint="eastAsia" w:ascii="仿宋" w:hAnsi="仿宋" w:eastAsia="仿宋" w:cs="Times New Roman"/>
                <w:kern w:val="0"/>
                <w:szCs w:val="21"/>
              </w:rPr>
              <w:t>调查</w:t>
            </w:r>
          </w:p>
        </w:tc>
        <w:tc>
          <w:tcPr>
            <w:tcW w:w="551" w:type="dxa"/>
            <w:tcMar>
              <w:top w:w="0" w:type="dxa"/>
              <w:left w:w="108" w:type="dxa"/>
              <w:bottom w:w="0" w:type="dxa"/>
              <w:right w:w="108" w:type="dxa"/>
            </w:tcMar>
            <w:vAlign w:val="center"/>
          </w:tcPr>
          <w:p w14:paraId="1CD63048">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restart"/>
            <w:tcMar>
              <w:top w:w="0" w:type="dxa"/>
              <w:left w:w="108" w:type="dxa"/>
              <w:bottom w:w="0" w:type="dxa"/>
              <w:right w:w="108" w:type="dxa"/>
            </w:tcMar>
            <w:vAlign w:val="center"/>
          </w:tcPr>
          <w:p w14:paraId="48BAD576">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399350D3">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r>
      <w:tr w14:paraId="693FA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84" w:hRule="atLeast"/>
        </w:trPr>
        <w:tc>
          <w:tcPr>
            <w:tcW w:w="1191" w:type="dxa"/>
            <w:vMerge w:val="continue"/>
            <w:vAlign w:val="center"/>
          </w:tcPr>
          <w:p w14:paraId="520237D8">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1CD02317">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督导</w:t>
            </w:r>
          </w:p>
          <w:p w14:paraId="776086B1">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汇报</w:t>
            </w:r>
          </w:p>
          <w:p w14:paraId="008E3387">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5D32E455">
            <w:pPr>
              <w:widowControl/>
              <w:rPr>
                <w:rFonts w:ascii="Times New Roman" w:hAnsi="Times New Roman" w:eastAsia="宋体" w:cs="Times New Roman"/>
                <w:kern w:val="0"/>
                <w:szCs w:val="21"/>
              </w:rPr>
            </w:pPr>
            <w:r>
              <w:rPr>
                <w:rFonts w:hint="eastAsia" w:ascii="仿宋" w:hAnsi="仿宋" w:eastAsia="仿宋" w:cs="Times New Roman"/>
                <w:kern w:val="0"/>
                <w:szCs w:val="21"/>
              </w:rPr>
              <w:t>结合学校实际，总结和借鉴督导学校的办学经验，反思治校得失，寻找学校发展支点，完成有质量的督导案例或心得。</w:t>
            </w:r>
          </w:p>
        </w:tc>
        <w:tc>
          <w:tcPr>
            <w:tcW w:w="2313" w:type="dxa"/>
            <w:tcMar>
              <w:top w:w="0" w:type="dxa"/>
              <w:left w:w="108" w:type="dxa"/>
              <w:bottom w:w="0" w:type="dxa"/>
              <w:right w:w="108" w:type="dxa"/>
            </w:tcMar>
            <w:vAlign w:val="center"/>
          </w:tcPr>
          <w:p w14:paraId="50BB6463">
            <w:pPr>
              <w:widowControl/>
              <w:rPr>
                <w:rFonts w:ascii="Times New Roman" w:hAnsi="Times New Roman" w:eastAsia="宋体" w:cs="Times New Roman"/>
                <w:kern w:val="0"/>
                <w:szCs w:val="21"/>
              </w:rPr>
            </w:pPr>
            <w:r>
              <w:rPr>
                <w:rFonts w:hint="eastAsia" w:ascii="仿宋" w:hAnsi="仿宋" w:eastAsia="仿宋" w:cs="Times New Roman"/>
                <w:kern w:val="0"/>
                <w:szCs w:val="21"/>
              </w:rPr>
              <w:t>督学撰写相关督导心得或案例，完成督导室安排的专题报告撰写，得10分；未提交的，1次扣2分。未按时上传的每次扣0.5分；未完成市县教育督导室组织的论文或案例，每个主题扣2分。</w:t>
            </w:r>
          </w:p>
        </w:tc>
        <w:tc>
          <w:tcPr>
            <w:tcW w:w="774" w:type="dxa"/>
            <w:tcMar>
              <w:top w:w="0" w:type="dxa"/>
              <w:left w:w="108" w:type="dxa"/>
              <w:bottom w:w="0" w:type="dxa"/>
              <w:right w:w="108" w:type="dxa"/>
            </w:tcMar>
            <w:vAlign w:val="center"/>
          </w:tcPr>
          <w:p w14:paraId="5AA71F6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督导相关资料</w:t>
            </w:r>
          </w:p>
        </w:tc>
        <w:tc>
          <w:tcPr>
            <w:tcW w:w="551" w:type="dxa"/>
            <w:tcMar>
              <w:top w:w="0" w:type="dxa"/>
              <w:left w:w="108" w:type="dxa"/>
              <w:bottom w:w="0" w:type="dxa"/>
              <w:right w:w="108" w:type="dxa"/>
            </w:tcMar>
            <w:vAlign w:val="center"/>
          </w:tcPr>
          <w:p w14:paraId="637BC4DC">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continue"/>
            <w:vAlign w:val="center"/>
          </w:tcPr>
          <w:p w14:paraId="7D5E22B9">
            <w:pPr>
              <w:widowControl/>
              <w:jc w:val="left"/>
              <w:rPr>
                <w:rFonts w:ascii="Times New Roman" w:hAnsi="Times New Roman" w:eastAsia="宋体" w:cs="Times New Roman"/>
                <w:kern w:val="0"/>
                <w:szCs w:val="21"/>
              </w:rPr>
            </w:pPr>
          </w:p>
        </w:tc>
      </w:tr>
      <w:tr w14:paraId="78E1F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92" w:hRule="atLeast"/>
        </w:trPr>
        <w:tc>
          <w:tcPr>
            <w:tcW w:w="1191" w:type="dxa"/>
            <w:vMerge w:val="restart"/>
            <w:tcMar>
              <w:top w:w="0" w:type="dxa"/>
              <w:left w:w="108" w:type="dxa"/>
              <w:bottom w:w="0" w:type="dxa"/>
              <w:right w:w="108" w:type="dxa"/>
            </w:tcMar>
            <w:vAlign w:val="center"/>
          </w:tcPr>
          <w:p w14:paraId="0F481937">
            <w:pPr>
              <w:widowControl/>
              <w:jc w:val="center"/>
              <w:rPr>
                <w:rFonts w:ascii="Times New Roman" w:hAnsi="Times New Roman" w:eastAsia="宋体" w:cs="Times New Roman"/>
                <w:kern w:val="0"/>
                <w:szCs w:val="21"/>
              </w:rPr>
            </w:pPr>
            <w:r>
              <w:rPr>
                <w:rFonts w:hint="eastAsia" w:ascii="宋体" w:hAnsi="宋体" w:eastAsia="宋体" w:cs="宋体"/>
                <w:b/>
                <w:bCs/>
                <w:kern w:val="0"/>
                <w:szCs w:val="21"/>
              </w:rPr>
              <w:t>              </w:t>
            </w:r>
          </w:p>
          <w:p w14:paraId="25EC2A39">
            <w:pPr>
              <w:widowControl/>
              <w:jc w:val="center"/>
              <w:rPr>
                <w:rFonts w:ascii="Times New Roman" w:hAnsi="Times New Roman" w:eastAsia="宋体" w:cs="Times New Roman"/>
                <w:kern w:val="0"/>
                <w:szCs w:val="21"/>
              </w:rPr>
            </w:pPr>
            <w:r>
              <w:rPr>
                <w:rFonts w:hint="eastAsia" w:ascii="黑体" w:hAnsi="黑体" w:eastAsia="黑体" w:cs="Times New Roman"/>
                <w:b/>
                <w:bCs/>
                <w:kern w:val="0"/>
                <w:szCs w:val="21"/>
              </w:rPr>
              <w:t>工作</w:t>
            </w:r>
            <w:r>
              <w:rPr>
                <w:rFonts w:hint="eastAsia" w:ascii="黑体" w:hAnsi="黑体" w:eastAsia="黑体" w:cs="Times New Roman"/>
                <w:b/>
                <w:bCs/>
                <w:kern w:val="0"/>
                <w:szCs w:val="21"/>
              </w:rPr>
              <w:br w:type="textWrapping"/>
            </w:r>
            <w:r>
              <w:rPr>
                <w:rFonts w:hint="eastAsia" w:ascii="黑体" w:hAnsi="黑体" w:eastAsia="黑体" w:cs="Times New Roman"/>
                <w:b/>
                <w:bCs/>
                <w:kern w:val="0"/>
                <w:szCs w:val="21"/>
              </w:rPr>
              <w:t>绩效</w:t>
            </w:r>
            <w:r>
              <w:rPr>
                <w:rFonts w:hint="eastAsia" w:ascii="黑体" w:hAnsi="黑体" w:eastAsia="黑体" w:cs="Times New Roman"/>
                <w:b/>
                <w:bCs/>
                <w:kern w:val="0"/>
                <w:szCs w:val="21"/>
              </w:rPr>
              <w:br w:type="textWrapping"/>
            </w:r>
            <w:r>
              <w:rPr>
                <w:rFonts w:hint="eastAsia" w:ascii="黑体" w:hAnsi="黑体" w:eastAsia="黑体" w:cs="Times New Roman"/>
                <w:b/>
                <w:bCs/>
                <w:kern w:val="0"/>
                <w:szCs w:val="21"/>
              </w:rPr>
              <w:t>（30）</w:t>
            </w:r>
          </w:p>
          <w:p w14:paraId="167C3E22">
            <w:pPr>
              <w:widowControl/>
              <w:jc w:val="center"/>
              <w:rPr>
                <w:rFonts w:ascii="Times New Roman" w:hAnsi="Times New Roman" w:eastAsia="宋体" w:cs="Times New Roman"/>
                <w:kern w:val="0"/>
                <w:szCs w:val="21"/>
              </w:rPr>
            </w:pPr>
            <w:r>
              <w:rPr>
                <w:rFonts w:hint="eastAsia" w:ascii="宋体" w:hAnsi="宋体" w:eastAsia="宋体" w:cs="宋体"/>
                <w:b/>
                <w:bCs/>
                <w:kern w:val="0"/>
                <w:szCs w:val="21"/>
              </w:rPr>
              <w:t> </w:t>
            </w:r>
          </w:p>
        </w:tc>
        <w:tc>
          <w:tcPr>
            <w:tcW w:w="1245" w:type="dxa"/>
            <w:tcMar>
              <w:top w:w="0" w:type="dxa"/>
              <w:left w:w="108" w:type="dxa"/>
              <w:bottom w:w="0" w:type="dxa"/>
              <w:right w:w="108" w:type="dxa"/>
            </w:tcMar>
            <w:vAlign w:val="center"/>
          </w:tcPr>
          <w:p w14:paraId="1931F5D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评估</w:t>
            </w:r>
          </w:p>
          <w:p w14:paraId="6B84C32D">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效果</w:t>
            </w:r>
          </w:p>
          <w:p w14:paraId="1C90ED3E">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464EF0AF">
            <w:pPr>
              <w:widowControl/>
              <w:rPr>
                <w:rFonts w:ascii="Times New Roman" w:hAnsi="Times New Roman" w:eastAsia="宋体" w:cs="Times New Roman"/>
                <w:kern w:val="0"/>
                <w:szCs w:val="21"/>
              </w:rPr>
            </w:pPr>
            <w:r>
              <w:rPr>
                <w:rFonts w:hint="eastAsia" w:ascii="仿宋" w:hAnsi="仿宋" w:eastAsia="仿宋" w:cs="Times New Roman"/>
                <w:kern w:val="0"/>
                <w:szCs w:val="21"/>
              </w:rPr>
              <w:t>对所督导的学校所作的督导评估结论客观公正、实现零申诉；责任学校对督导中发现的问题整改效果明显。</w:t>
            </w:r>
          </w:p>
        </w:tc>
        <w:tc>
          <w:tcPr>
            <w:tcW w:w="2313" w:type="dxa"/>
            <w:tcMar>
              <w:top w:w="0" w:type="dxa"/>
              <w:left w:w="108" w:type="dxa"/>
              <w:bottom w:w="0" w:type="dxa"/>
              <w:right w:w="108" w:type="dxa"/>
            </w:tcMar>
            <w:vAlign w:val="center"/>
          </w:tcPr>
          <w:p w14:paraId="73E79738">
            <w:pPr>
              <w:widowControl/>
              <w:rPr>
                <w:rFonts w:ascii="Times New Roman" w:hAnsi="Times New Roman" w:eastAsia="宋体" w:cs="Times New Roman"/>
                <w:kern w:val="0"/>
                <w:szCs w:val="21"/>
              </w:rPr>
            </w:pPr>
            <w:r>
              <w:rPr>
                <w:rFonts w:hint="eastAsia" w:ascii="仿宋" w:hAnsi="仿宋" w:eastAsia="仿宋" w:cs="Times New Roman"/>
                <w:kern w:val="0"/>
                <w:szCs w:val="21"/>
              </w:rPr>
              <w:t>有违规办学行为而被投诉的，每次扣1分；责任学校发生一次重大安全事故，视履职情况扣1-5分。</w:t>
            </w:r>
          </w:p>
        </w:tc>
        <w:tc>
          <w:tcPr>
            <w:tcW w:w="774" w:type="dxa"/>
            <w:tcMar>
              <w:top w:w="0" w:type="dxa"/>
              <w:left w:w="108" w:type="dxa"/>
              <w:bottom w:w="0" w:type="dxa"/>
              <w:right w:w="108" w:type="dxa"/>
            </w:tcMar>
            <w:vAlign w:val="center"/>
          </w:tcPr>
          <w:p w14:paraId="1AF36F5D">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查看</w:t>
            </w:r>
          </w:p>
          <w:p w14:paraId="7E0F06F2">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记录</w:t>
            </w:r>
            <w:r>
              <w:rPr>
                <w:rFonts w:hint="eastAsia" w:ascii="仿宋" w:hAnsi="仿宋" w:eastAsia="仿宋" w:cs="Times New Roman"/>
                <w:kern w:val="0"/>
                <w:szCs w:val="21"/>
              </w:rPr>
              <w:br w:type="textWrapping"/>
            </w:r>
            <w:r>
              <w:rPr>
                <w:rFonts w:hint="eastAsia" w:ascii="仿宋" w:hAnsi="仿宋" w:eastAsia="仿宋" w:cs="Times New Roman"/>
                <w:kern w:val="0"/>
                <w:szCs w:val="21"/>
              </w:rPr>
              <w:t>回访</w:t>
            </w:r>
          </w:p>
          <w:p w14:paraId="370BBB95">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了解</w:t>
            </w:r>
          </w:p>
        </w:tc>
        <w:tc>
          <w:tcPr>
            <w:tcW w:w="551" w:type="dxa"/>
            <w:tcMar>
              <w:top w:w="0" w:type="dxa"/>
              <w:left w:w="108" w:type="dxa"/>
              <w:bottom w:w="0" w:type="dxa"/>
              <w:right w:w="108" w:type="dxa"/>
            </w:tcMar>
            <w:vAlign w:val="center"/>
          </w:tcPr>
          <w:p w14:paraId="23A9AA12">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27117223">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7E1E4FD2">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restart"/>
            <w:tcMar>
              <w:top w:w="0" w:type="dxa"/>
              <w:left w:w="108" w:type="dxa"/>
              <w:bottom w:w="0" w:type="dxa"/>
              <w:right w:w="108" w:type="dxa"/>
            </w:tcMar>
            <w:vAlign w:val="center"/>
          </w:tcPr>
          <w:p w14:paraId="6DEDEDD0">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0B0CF813">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10534A05">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241C4932">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666E1243">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p w14:paraId="4AF11E61">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r>
      <w:tr w14:paraId="34510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60" w:hRule="atLeast"/>
        </w:trPr>
        <w:tc>
          <w:tcPr>
            <w:tcW w:w="1191" w:type="dxa"/>
            <w:vMerge w:val="continue"/>
            <w:vAlign w:val="center"/>
          </w:tcPr>
          <w:p w14:paraId="6654DC9C">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3EEA5646">
            <w:pPr>
              <w:widowControl/>
              <w:jc w:val="center"/>
              <w:rPr>
                <w:rFonts w:ascii="仿宋" w:hAnsi="仿宋" w:eastAsia="仿宋" w:cs="Times New Roman"/>
                <w:kern w:val="0"/>
                <w:szCs w:val="21"/>
              </w:rPr>
            </w:pPr>
            <w:r>
              <w:rPr>
                <w:rFonts w:hint="eastAsia" w:ascii="仿宋" w:hAnsi="仿宋" w:eastAsia="仿宋" w:cs="Times New Roman"/>
                <w:kern w:val="0"/>
                <w:szCs w:val="21"/>
              </w:rPr>
              <w:t>学校</w:t>
            </w:r>
          </w:p>
          <w:p w14:paraId="58708C2A">
            <w:pPr>
              <w:widowControl/>
              <w:jc w:val="center"/>
              <w:rPr>
                <w:rFonts w:ascii="Times New Roman" w:hAnsi="Times New Roman" w:eastAsia="仿宋" w:cs="Times New Roman"/>
                <w:kern w:val="0"/>
                <w:szCs w:val="21"/>
              </w:rPr>
            </w:pPr>
            <w:r>
              <w:rPr>
                <w:rFonts w:hint="eastAsia" w:ascii="仿宋" w:hAnsi="仿宋" w:eastAsia="仿宋" w:cs="Times New Roman"/>
                <w:kern w:val="0"/>
                <w:szCs w:val="21"/>
              </w:rPr>
              <w:t>社会</w:t>
            </w:r>
          </w:p>
          <w:p w14:paraId="0557A154">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评价</w:t>
            </w:r>
          </w:p>
          <w:p w14:paraId="785AAA4A">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r>
              <w:rPr>
                <w:rFonts w:hint="eastAsia" w:ascii="华文仿宋" w:hAnsi="华文仿宋" w:eastAsia="华文仿宋" w:cs="Times New Roman"/>
                <w:kern w:val="0"/>
                <w:szCs w:val="21"/>
              </w:rPr>
              <w:t> </w:t>
            </w:r>
          </w:p>
        </w:tc>
        <w:tc>
          <w:tcPr>
            <w:tcW w:w="2460" w:type="dxa"/>
            <w:tcMar>
              <w:top w:w="0" w:type="dxa"/>
              <w:left w:w="108" w:type="dxa"/>
              <w:bottom w:w="0" w:type="dxa"/>
              <w:right w:w="108" w:type="dxa"/>
            </w:tcMar>
            <w:vAlign w:val="center"/>
          </w:tcPr>
          <w:p w14:paraId="1C2FA255">
            <w:pPr>
              <w:widowControl/>
              <w:rPr>
                <w:rFonts w:ascii="Times New Roman" w:hAnsi="Times New Roman" w:eastAsia="宋体" w:cs="Times New Roman"/>
                <w:kern w:val="0"/>
                <w:szCs w:val="21"/>
              </w:rPr>
            </w:pPr>
            <w:r>
              <w:rPr>
                <w:rFonts w:hint="eastAsia" w:ascii="仿宋" w:hAnsi="仿宋" w:eastAsia="仿宋" w:cs="Times New Roman"/>
                <w:kern w:val="0"/>
                <w:szCs w:val="21"/>
              </w:rPr>
              <w:t>根据学校、教师社会人士对责任督学的满意度进行评价。</w:t>
            </w:r>
          </w:p>
        </w:tc>
        <w:tc>
          <w:tcPr>
            <w:tcW w:w="2313" w:type="dxa"/>
            <w:tcMar>
              <w:top w:w="0" w:type="dxa"/>
              <w:left w:w="108" w:type="dxa"/>
              <w:bottom w:w="0" w:type="dxa"/>
              <w:right w:w="108" w:type="dxa"/>
            </w:tcMar>
            <w:vAlign w:val="center"/>
          </w:tcPr>
          <w:p w14:paraId="2E8940DF">
            <w:pPr>
              <w:widowControl/>
              <w:rPr>
                <w:rFonts w:ascii="Times New Roman" w:hAnsi="Times New Roman" w:eastAsia="宋体" w:cs="Times New Roman"/>
                <w:kern w:val="0"/>
                <w:szCs w:val="21"/>
              </w:rPr>
            </w:pPr>
            <w:r>
              <w:rPr>
                <w:rFonts w:hint="eastAsia" w:ascii="仿宋" w:hAnsi="仿宋" w:eastAsia="仿宋" w:cs="Times New Roman"/>
                <w:kern w:val="0"/>
                <w:szCs w:val="21"/>
              </w:rPr>
              <w:t>凡收到学校、教师、社会人士书面、电话反映督学的督导行为不规范、不专业、效果差等反映，查证落实者，1次扣2分。</w:t>
            </w:r>
          </w:p>
        </w:tc>
        <w:tc>
          <w:tcPr>
            <w:tcW w:w="774" w:type="dxa"/>
            <w:tcMar>
              <w:top w:w="0" w:type="dxa"/>
              <w:left w:w="108" w:type="dxa"/>
              <w:bottom w:w="0" w:type="dxa"/>
              <w:right w:w="108" w:type="dxa"/>
            </w:tcMar>
            <w:vAlign w:val="center"/>
          </w:tcPr>
          <w:p w14:paraId="0CFD30AC">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访谈</w:t>
            </w:r>
          </w:p>
          <w:p w14:paraId="2D1BF6E7">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调查</w:t>
            </w:r>
          </w:p>
        </w:tc>
        <w:tc>
          <w:tcPr>
            <w:tcW w:w="551" w:type="dxa"/>
            <w:tcMar>
              <w:top w:w="0" w:type="dxa"/>
              <w:left w:w="108" w:type="dxa"/>
              <w:bottom w:w="0" w:type="dxa"/>
              <w:right w:w="108" w:type="dxa"/>
            </w:tcMar>
            <w:vAlign w:val="center"/>
          </w:tcPr>
          <w:p w14:paraId="5453A6DA">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continue"/>
            <w:vAlign w:val="center"/>
          </w:tcPr>
          <w:p w14:paraId="528B3E2A">
            <w:pPr>
              <w:widowControl/>
              <w:jc w:val="left"/>
              <w:rPr>
                <w:rFonts w:ascii="Times New Roman" w:hAnsi="Times New Roman" w:eastAsia="宋体" w:cs="Times New Roman"/>
                <w:kern w:val="0"/>
                <w:szCs w:val="21"/>
              </w:rPr>
            </w:pPr>
          </w:p>
        </w:tc>
      </w:tr>
      <w:tr w14:paraId="7A0CD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4" w:hRule="atLeast"/>
        </w:trPr>
        <w:tc>
          <w:tcPr>
            <w:tcW w:w="1191" w:type="dxa"/>
            <w:vMerge w:val="continue"/>
            <w:vAlign w:val="center"/>
          </w:tcPr>
          <w:p w14:paraId="507D72AE">
            <w:pPr>
              <w:widowControl/>
              <w:jc w:val="left"/>
              <w:rPr>
                <w:rFonts w:ascii="Times New Roman" w:hAnsi="Times New Roman" w:eastAsia="宋体" w:cs="Times New Roman"/>
                <w:kern w:val="0"/>
                <w:szCs w:val="21"/>
              </w:rPr>
            </w:pPr>
          </w:p>
        </w:tc>
        <w:tc>
          <w:tcPr>
            <w:tcW w:w="1245" w:type="dxa"/>
            <w:tcMar>
              <w:top w:w="0" w:type="dxa"/>
              <w:left w:w="108" w:type="dxa"/>
              <w:bottom w:w="0" w:type="dxa"/>
              <w:right w:w="108" w:type="dxa"/>
            </w:tcMar>
            <w:vAlign w:val="center"/>
          </w:tcPr>
          <w:p w14:paraId="4134A34D">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特色</w:t>
            </w:r>
          </w:p>
          <w:p w14:paraId="38E619FB">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亮点</w:t>
            </w:r>
          </w:p>
          <w:p w14:paraId="124AC67D">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（10）</w:t>
            </w:r>
          </w:p>
        </w:tc>
        <w:tc>
          <w:tcPr>
            <w:tcW w:w="2460" w:type="dxa"/>
            <w:tcMar>
              <w:top w:w="0" w:type="dxa"/>
              <w:left w:w="108" w:type="dxa"/>
              <w:bottom w:w="0" w:type="dxa"/>
              <w:right w:w="108" w:type="dxa"/>
            </w:tcMar>
            <w:vAlign w:val="center"/>
          </w:tcPr>
          <w:p w14:paraId="2800A663">
            <w:pPr>
              <w:widowControl/>
              <w:rPr>
                <w:rFonts w:ascii="Times New Roman" w:hAnsi="Times New Roman" w:eastAsia="宋体" w:cs="Times New Roman"/>
                <w:kern w:val="0"/>
                <w:szCs w:val="21"/>
              </w:rPr>
            </w:pPr>
            <w:r>
              <w:rPr>
                <w:rFonts w:hint="eastAsia" w:ascii="仿宋" w:hAnsi="仿宋" w:eastAsia="仿宋" w:cs="Times New Roman"/>
                <w:kern w:val="0"/>
                <w:szCs w:val="21"/>
              </w:rPr>
              <w:t>结合责任区特点，突出各自重点，创新工作亮点，形成责任区的督导特色并加以示范推广。</w:t>
            </w:r>
          </w:p>
        </w:tc>
        <w:tc>
          <w:tcPr>
            <w:tcW w:w="2313" w:type="dxa"/>
            <w:tcMar>
              <w:top w:w="0" w:type="dxa"/>
              <w:left w:w="108" w:type="dxa"/>
              <w:bottom w:w="0" w:type="dxa"/>
              <w:right w:w="108" w:type="dxa"/>
            </w:tcMar>
            <w:vAlign w:val="center"/>
          </w:tcPr>
          <w:p w14:paraId="0B6B2B9B">
            <w:pPr>
              <w:widowControl/>
              <w:rPr>
                <w:rFonts w:ascii="Times New Roman" w:hAnsi="Times New Roman" w:eastAsia="仿宋" w:cs="Times New Roman"/>
                <w:kern w:val="0"/>
                <w:szCs w:val="21"/>
              </w:rPr>
            </w:pPr>
            <w:r>
              <w:rPr>
                <w:rFonts w:hint="eastAsia" w:ascii="仿宋" w:hAnsi="仿宋" w:eastAsia="仿宋" w:cs="Times New Roman"/>
                <w:kern w:val="0"/>
                <w:szCs w:val="21"/>
              </w:rPr>
              <w:t>总结责任区内学校办学的先进事迹、典型经验、突出成果等，并在相关媒体予以报道。在国家级媒体上发表一篇加5分，在市级媒体上发表一篇加3分，在县级媒体上发表一篇加1分。在国家、市、县级论文及其他形式的比赛中获一二三等奖的分别加10、7、6分，6、4、3分,6、3、2分。</w:t>
            </w:r>
          </w:p>
        </w:tc>
        <w:tc>
          <w:tcPr>
            <w:tcW w:w="774" w:type="dxa"/>
            <w:tcMar>
              <w:top w:w="0" w:type="dxa"/>
              <w:left w:w="108" w:type="dxa"/>
              <w:bottom w:w="0" w:type="dxa"/>
              <w:right w:w="108" w:type="dxa"/>
            </w:tcMar>
            <w:vAlign w:val="center"/>
          </w:tcPr>
          <w:p w14:paraId="17D6B4C4">
            <w:pPr>
              <w:widowControl/>
              <w:jc w:val="center"/>
              <w:rPr>
                <w:rFonts w:ascii="Times New Roman" w:hAnsi="Times New Roman" w:eastAsia="宋体" w:cs="Times New Roman"/>
                <w:kern w:val="0"/>
                <w:szCs w:val="21"/>
              </w:rPr>
            </w:pPr>
            <w:r>
              <w:rPr>
                <w:rFonts w:hint="eastAsia" w:ascii="仿宋" w:hAnsi="仿宋" w:eastAsia="仿宋" w:cs="Times New Roman"/>
                <w:kern w:val="0"/>
                <w:szCs w:val="21"/>
              </w:rPr>
              <w:t>查看相关资料</w:t>
            </w:r>
          </w:p>
        </w:tc>
        <w:tc>
          <w:tcPr>
            <w:tcW w:w="551" w:type="dxa"/>
            <w:tcMar>
              <w:top w:w="0" w:type="dxa"/>
              <w:left w:w="108" w:type="dxa"/>
              <w:bottom w:w="0" w:type="dxa"/>
              <w:right w:w="108" w:type="dxa"/>
            </w:tcMar>
            <w:vAlign w:val="center"/>
          </w:tcPr>
          <w:p w14:paraId="5C12D8EF">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　</w:t>
            </w:r>
          </w:p>
        </w:tc>
        <w:tc>
          <w:tcPr>
            <w:tcW w:w="567" w:type="dxa"/>
            <w:vMerge w:val="continue"/>
            <w:vAlign w:val="center"/>
          </w:tcPr>
          <w:p w14:paraId="63BC1D2A">
            <w:pPr>
              <w:widowControl/>
              <w:jc w:val="left"/>
              <w:rPr>
                <w:rFonts w:ascii="Times New Roman" w:hAnsi="Times New Roman" w:eastAsia="宋体" w:cs="Times New Roman"/>
                <w:kern w:val="0"/>
                <w:szCs w:val="21"/>
              </w:rPr>
            </w:pPr>
          </w:p>
        </w:tc>
      </w:tr>
      <w:tr w14:paraId="2624B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atLeast"/>
        </w:trPr>
        <w:tc>
          <w:tcPr>
            <w:tcW w:w="1191" w:type="dxa"/>
            <w:shd w:val="clear" w:color="auto" w:fill="FFFFFF"/>
            <w:tcMar>
              <w:top w:w="0" w:type="dxa"/>
              <w:left w:w="108" w:type="dxa"/>
              <w:bottom w:w="0" w:type="dxa"/>
              <w:right w:w="108" w:type="dxa"/>
            </w:tcMar>
            <w:vAlign w:val="center"/>
          </w:tcPr>
          <w:p w14:paraId="0CD5E3C9">
            <w:pPr>
              <w:widowControl/>
              <w:jc w:val="center"/>
              <w:rPr>
                <w:rFonts w:ascii="Times New Roman" w:hAnsi="Times New Roman" w:eastAsia="宋体" w:cs="Times New Roman"/>
                <w:color w:val="333333"/>
                <w:kern w:val="0"/>
                <w:szCs w:val="21"/>
              </w:rPr>
            </w:pPr>
            <w:r>
              <w:rPr>
                <w:rFonts w:hint="eastAsia" w:ascii="黑体" w:hAnsi="黑体" w:eastAsia="黑体" w:cs="Times New Roman"/>
                <w:b/>
                <w:bCs/>
                <w:color w:val="333333"/>
                <w:kern w:val="0"/>
                <w:szCs w:val="21"/>
              </w:rPr>
              <w:t>总分</w:t>
            </w:r>
          </w:p>
        </w:tc>
        <w:tc>
          <w:tcPr>
            <w:tcW w:w="1245" w:type="dxa"/>
            <w:shd w:val="clear" w:color="auto" w:fill="FFFFFF"/>
            <w:tcMar>
              <w:top w:w="0" w:type="dxa"/>
              <w:left w:w="108" w:type="dxa"/>
              <w:bottom w:w="0" w:type="dxa"/>
              <w:right w:w="108" w:type="dxa"/>
            </w:tcMar>
            <w:vAlign w:val="center"/>
          </w:tcPr>
          <w:p w14:paraId="4926FA34">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100分</w:t>
            </w:r>
          </w:p>
        </w:tc>
        <w:tc>
          <w:tcPr>
            <w:tcW w:w="2460" w:type="dxa"/>
            <w:shd w:val="clear" w:color="auto" w:fill="FFFFFF"/>
            <w:tcMar>
              <w:top w:w="0" w:type="dxa"/>
              <w:left w:w="108" w:type="dxa"/>
              <w:bottom w:w="0" w:type="dxa"/>
              <w:right w:w="108" w:type="dxa"/>
            </w:tcMar>
            <w:vAlign w:val="center"/>
          </w:tcPr>
          <w:p w14:paraId="398DD7F9">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名次　</w:t>
            </w:r>
          </w:p>
        </w:tc>
        <w:tc>
          <w:tcPr>
            <w:tcW w:w="2313" w:type="dxa"/>
            <w:shd w:val="clear" w:color="auto" w:fill="FFFFFF"/>
            <w:tcMar>
              <w:top w:w="0" w:type="dxa"/>
              <w:left w:w="108" w:type="dxa"/>
              <w:bottom w:w="0" w:type="dxa"/>
              <w:right w:w="108" w:type="dxa"/>
            </w:tcMar>
            <w:vAlign w:val="center"/>
          </w:tcPr>
          <w:p w14:paraId="5EB27F1D">
            <w:pPr>
              <w:widowControl/>
              <w:jc w:val="left"/>
              <w:rPr>
                <w:rFonts w:ascii="宋体" w:hAnsi="宋体" w:eastAsia="宋体" w:cs="宋体"/>
                <w:color w:val="333333"/>
                <w:kern w:val="0"/>
                <w:sz w:val="18"/>
                <w:szCs w:val="18"/>
              </w:rPr>
            </w:pPr>
          </w:p>
        </w:tc>
        <w:tc>
          <w:tcPr>
            <w:tcW w:w="774" w:type="dxa"/>
            <w:vAlign w:val="center"/>
          </w:tcPr>
          <w:p w14:paraId="56EF768D">
            <w:pPr>
              <w:widowControl/>
              <w:tabs>
                <w:tab w:val="center" w:pos="-105"/>
              </w:tabs>
              <w:jc w:val="left"/>
              <w:rPr>
                <w:rFonts w:ascii="Times New Roman" w:hAnsi="Times New Roman" w:eastAsia="Times New Roman" w:cs="Times New Roman"/>
                <w:kern w:val="0"/>
                <w:sz w:val="20"/>
                <w:szCs w:val="20"/>
              </w:rPr>
            </w:pPr>
          </w:p>
        </w:tc>
        <w:tc>
          <w:tcPr>
            <w:tcW w:w="551" w:type="dxa"/>
            <w:vAlign w:val="center"/>
          </w:tcPr>
          <w:p w14:paraId="704A82CE">
            <w:pPr>
              <w:widowControl/>
              <w:tabs>
                <w:tab w:val="center" w:pos="-105"/>
              </w:tabs>
              <w:jc w:val="left"/>
              <w:rPr>
                <w:rFonts w:ascii="Times New Roman" w:hAnsi="Times New Roman" w:eastAsia="Times New Roman" w:cs="Times New Roman"/>
                <w:kern w:val="0"/>
                <w:sz w:val="20"/>
                <w:szCs w:val="20"/>
              </w:rPr>
            </w:pPr>
          </w:p>
        </w:tc>
        <w:tc>
          <w:tcPr>
            <w:tcW w:w="567" w:type="dxa"/>
            <w:vAlign w:val="center"/>
          </w:tcPr>
          <w:p w14:paraId="6158940F">
            <w:pPr>
              <w:widowControl/>
              <w:tabs>
                <w:tab w:val="center" w:pos="-105"/>
              </w:tabs>
              <w:jc w:val="left"/>
              <w:rPr>
                <w:rFonts w:ascii="Times New Roman" w:hAnsi="Times New Roman" w:eastAsia="Times New Roman" w:cs="Times New Roman"/>
                <w:kern w:val="0"/>
                <w:sz w:val="20"/>
                <w:szCs w:val="20"/>
              </w:rPr>
            </w:pPr>
          </w:p>
        </w:tc>
      </w:tr>
    </w:tbl>
    <w:p w14:paraId="1A9C0ADC">
      <w:pPr>
        <w:widowControl/>
        <w:rPr>
          <w:rFonts w:ascii="方正仿宋_GBK" w:hAnsi="Times New Roman" w:eastAsia="方正仿宋_GBK" w:cs="方正仿宋_GBK"/>
          <w:sz w:val="32"/>
          <w:szCs w:val="32"/>
        </w:rPr>
      </w:pPr>
    </w:p>
    <w:p w14:paraId="220F5120">
      <w:pPr>
        <w:widowControl/>
        <w:rPr>
          <w:rFonts w:ascii="方正仿宋_GBK" w:hAnsi="Times New Roman" w:eastAsia="方正仿宋_GBK" w:cs="方正仿宋_GBK"/>
          <w:sz w:val="32"/>
          <w:szCs w:val="32"/>
        </w:rPr>
      </w:pPr>
    </w:p>
    <w:p w14:paraId="6D1DA042">
      <w:pPr>
        <w:widowControl/>
        <w:rPr>
          <w:rFonts w:ascii="方正仿宋_GBK" w:hAnsi="Times New Roman" w:eastAsia="方正仿宋_GBK" w:cs="方正仿宋_GBK"/>
          <w:sz w:val="32"/>
          <w:szCs w:val="32"/>
        </w:rPr>
      </w:pPr>
    </w:p>
    <w:p w14:paraId="30AF1F2C">
      <w:pPr>
        <w:widowControl/>
        <w:rPr>
          <w:rFonts w:ascii="方正仿宋_GBK" w:hAnsi="Times New Roman" w:eastAsia="方正仿宋_GBK" w:cs="方正仿宋_GBK"/>
          <w:sz w:val="32"/>
          <w:szCs w:val="32"/>
        </w:rPr>
      </w:pPr>
    </w:p>
    <w:p w14:paraId="1DE7839C">
      <w:pPr>
        <w:widowControl/>
        <w:rPr>
          <w:rFonts w:ascii="方正仿宋_GBK" w:hAnsi="Times New Roman" w:eastAsia="方正仿宋_GBK" w:cs="方正仿宋_GBK"/>
          <w:sz w:val="32"/>
          <w:szCs w:val="32"/>
        </w:rPr>
      </w:pPr>
    </w:p>
    <w:p w14:paraId="63DE63F5">
      <w:pPr>
        <w:widowControl/>
        <w:rPr>
          <w:rFonts w:ascii="方正仿宋_GBK" w:hAnsi="Times New Roman" w:eastAsia="方正仿宋_GBK" w:cs="方正仿宋_GBK"/>
          <w:sz w:val="32"/>
          <w:szCs w:val="32"/>
        </w:rPr>
      </w:pPr>
    </w:p>
    <w:p w14:paraId="70894149">
      <w:pPr>
        <w:widowControl/>
        <w:rPr>
          <w:rFonts w:ascii="方正仿宋_GBK" w:hAnsi="Times New Roman" w:eastAsia="方正仿宋_GBK" w:cs="方正仿宋_GBK"/>
          <w:sz w:val="32"/>
          <w:szCs w:val="32"/>
        </w:rPr>
      </w:pPr>
    </w:p>
    <w:p w14:paraId="65048D19">
      <w:pPr>
        <w:widowControl/>
        <w:rPr>
          <w:rFonts w:ascii="方正仿宋_GBK" w:hAnsi="Times New Roman" w:eastAsia="方正仿宋_GBK" w:cs="方正仿宋_GBK"/>
          <w:sz w:val="32"/>
          <w:szCs w:val="32"/>
        </w:rPr>
      </w:pPr>
    </w:p>
    <w:p w14:paraId="6444F551">
      <w:pPr>
        <w:widowControl/>
        <w:rPr>
          <w:rFonts w:ascii="方正仿宋_GBK" w:hAnsi="Times New Roman" w:eastAsia="方正仿宋_GBK" w:cs="方正仿宋_GBK"/>
          <w:sz w:val="32"/>
          <w:szCs w:val="32"/>
        </w:rPr>
      </w:pPr>
    </w:p>
    <w:p w14:paraId="31DB45BE">
      <w:pPr>
        <w:widowControl/>
        <w:rPr>
          <w:rFonts w:ascii="方正仿宋_GBK" w:hAnsi="Times New Roman" w:eastAsia="方正仿宋_GBK" w:cs="方正仿宋_GBK"/>
          <w:sz w:val="32"/>
          <w:szCs w:val="32"/>
        </w:rPr>
      </w:pPr>
    </w:p>
    <w:p w14:paraId="78350024">
      <w:pPr>
        <w:widowControl/>
        <w:rPr>
          <w:rFonts w:ascii="方正仿宋_GBK" w:hAnsi="Times New Roman" w:eastAsia="方正仿宋_GBK" w:cs="方正仿宋_GBK"/>
          <w:sz w:val="32"/>
          <w:szCs w:val="32"/>
        </w:rPr>
      </w:pPr>
    </w:p>
    <w:p w14:paraId="6CB9302C">
      <w:pPr>
        <w:widowControl/>
        <w:rPr>
          <w:rFonts w:ascii="方正仿宋_GBK" w:hAnsi="Times New Roman" w:eastAsia="方正仿宋_GBK" w:cs="方正仿宋_GBK"/>
          <w:sz w:val="32"/>
          <w:szCs w:val="32"/>
        </w:rPr>
      </w:pPr>
    </w:p>
    <w:p w14:paraId="775AB8AA">
      <w:pPr>
        <w:widowControl/>
        <w:rPr>
          <w:rFonts w:ascii="方正仿宋_GBK" w:hAnsi="Times New Roman" w:eastAsia="方正仿宋_GBK" w:cs="方正仿宋_GBK"/>
          <w:sz w:val="32"/>
          <w:szCs w:val="32"/>
        </w:rPr>
      </w:pPr>
    </w:p>
    <w:p w14:paraId="684573B7">
      <w:pPr>
        <w:widowControl/>
        <w:rPr>
          <w:rFonts w:ascii="方正仿宋_GBK" w:hAnsi="Times New Roman" w:eastAsia="方正仿宋_GBK" w:cs="方正仿宋_GBK"/>
          <w:sz w:val="32"/>
          <w:szCs w:val="32"/>
        </w:rPr>
      </w:pPr>
    </w:p>
    <w:p w14:paraId="265E7EC5">
      <w:pPr>
        <w:widowControl/>
        <w:rPr>
          <w:rFonts w:ascii="方正仿宋_GBK" w:hAnsi="Times New Roman" w:eastAsia="方正仿宋_GBK" w:cs="方正仿宋_GBK"/>
          <w:sz w:val="32"/>
          <w:szCs w:val="32"/>
        </w:rPr>
      </w:pPr>
    </w:p>
    <w:p w14:paraId="42EADCFE">
      <w:pPr>
        <w:widowControl/>
        <w:rPr>
          <w:rFonts w:ascii="方正仿宋_GBK" w:hAnsi="Times New Roman" w:eastAsia="方正仿宋_GBK" w:cs="方正仿宋_GBK"/>
          <w:sz w:val="32"/>
          <w:szCs w:val="32"/>
        </w:rPr>
      </w:pPr>
    </w:p>
    <w:p w14:paraId="682A45F7">
      <w:pPr>
        <w:widowControl/>
        <w:rPr>
          <w:rFonts w:ascii="方正仿宋_GBK" w:hAnsi="Times New Roman" w:eastAsia="方正仿宋_GBK" w:cs="方正仿宋_GBK"/>
          <w:sz w:val="32"/>
          <w:szCs w:val="32"/>
        </w:rPr>
      </w:pPr>
    </w:p>
    <w:p w14:paraId="05AD8048">
      <w:pPr>
        <w:widowControl/>
        <w:rPr>
          <w:rFonts w:ascii="方正仿宋_GBK" w:hAnsi="Times New Roman"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7A4F">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7981940">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A6CBD"/>
    <w:multiLevelType w:val="singleLevel"/>
    <w:tmpl w:val="BA5A6CBD"/>
    <w:lvl w:ilvl="0" w:tentative="0">
      <w:start w:val="1"/>
      <w:numFmt w:val="decimal"/>
      <w:suff w:val="nothing"/>
      <w:lvlText w:val="（%1）"/>
      <w:lvlJc w:val="left"/>
    </w:lvl>
  </w:abstractNum>
  <w:abstractNum w:abstractNumId="1">
    <w:nsid w:val="78C51AE1"/>
    <w:multiLevelType w:val="singleLevel"/>
    <w:tmpl w:val="78C51AE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59BB"/>
    <w:rsid w:val="00004F6A"/>
    <w:rsid w:val="00005E9D"/>
    <w:rsid w:val="0003107F"/>
    <w:rsid w:val="00036ED2"/>
    <w:rsid w:val="000438DE"/>
    <w:rsid w:val="00057D87"/>
    <w:rsid w:val="00075FF8"/>
    <w:rsid w:val="00086C4A"/>
    <w:rsid w:val="000A4EEA"/>
    <w:rsid w:val="000C610C"/>
    <w:rsid w:val="000D52EB"/>
    <w:rsid w:val="00106ADF"/>
    <w:rsid w:val="00124D37"/>
    <w:rsid w:val="00132171"/>
    <w:rsid w:val="001424CD"/>
    <w:rsid w:val="001440F8"/>
    <w:rsid w:val="00145136"/>
    <w:rsid w:val="00152292"/>
    <w:rsid w:val="00180555"/>
    <w:rsid w:val="001B7A94"/>
    <w:rsid w:val="001F7C50"/>
    <w:rsid w:val="0022160F"/>
    <w:rsid w:val="00227B84"/>
    <w:rsid w:val="00247A19"/>
    <w:rsid w:val="002641B1"/>
    <w:rsid w:val="002802DB"/>
    <w:rsid w:val="0028728B"/>
    <w:rsid w:val="0028789B"/>
    <w:rsid w:val="002B4971"/>
    <w:rsid w:val="002C63BD"/>
    <w:rsid w:val="002D5B33"/>
    <w:rsid w:val="002E7A12"/>
    <w:rsid w:val="002F5753"/>
    <w:rsid w:val="00354EDB"/>
    <w:rsid w:val="00356BA8"/>
    <w:rsid w:val="00392A44"/>
    <w:rsid w:val="003932AB"/>
    <w:rsid w:val="003A3FFB"/>
    <w:rsid w:val="003A44FC"/>
    <w:rsid w:val="003A4F9E"/>
    <w:rsid w:val="003C0BA0"/>
    <w:rsid w:val="003C5D9E"/>
    <w:rsid w:val="003C69FE"/>
    <w:rsid w:val="004001F2"/>
    <w:rsid w:val="00416C6A"/>
    <w:rsid w:val="00416D04"/>
    <w:rsid w:val="004258A3"/>
    <w:rsid w:val="00432065"/>
    <w:rsid w:val="00447C79"/>
    <w:rsid w:val="00450A64"/>
    <w:rsid w:val="004D68A6"/>
    <w:rsid w:val="004D7774"/>
    <w:rsid w:val="004E6854"/>
    <w:rsid w:val="004F6D87"/>
    <w:rsid w:val="00500BCF"/>
    <w:rsid w:val="00536A38"/>
    <w:rsid w:val="00594AC8"/>
    <w:rsid w:val="00600904"/>
    <w:rsid w:val="00632BCE"/>
    <w:rsid w:val="006445D4"/>
    <w:rsid w:val="006A163E"/>
    <w:rsid w:val="006B1189"/>
    <w:rsid w:val="006B23E7"/>
    <w:rsid w:val="006D22F8"/>
    <w:rsid w:val="006D7D03"/>
    <w:rsid w:val="006F6EB3"/>
    <w:rsid w:val="00700CD7"/>
    <w:rsid w:val="00706DE2"/>
    <w:rsid w:val="007422A2"/>
    <w:rsid w:val="007447B4"/>
    <w:rsid w:val="0075416E"/>
    <w:rsid w:val="00784B1D"/>
    <w:rsid w:val="0079073F"/>
    <w:rsid w:val="007A3D18"/>
    <w:rsid w:val="007B6DF0"/>
    <w:rsid w:val="007C2F03"/>
    <w:rsid w:val="007E29B7"/>
    <w:rsid w:val="008155D0"/>
    <w:rsid w:val="00854A09"/>
    <w:rsid w:val="00877F85"/>
    <w:rsid w:val="008A72CB"/>
    <w:rsid w:val="008D5010"/>
    <w:rsid w:val="00902BE1"/>
    <w:rsid w:val="00903C63"/>
    <w:rsid w:val="00914106"/>
    <w:rsid w:val="009338FD"/>
    <w:rsid w:val="009619D9"/>
    <w:rsid w:val="0097334D"/>
    <w:rsid w:val="009960D8"/>
    <w:rsid w:val="009A2FBC"/>
    <w:rsid w:val="009C4754"/>
    <w:rsid w:val="00A1091D"/>
    <w:rsid w:val="00A109A8"/>
    <w:rsid w:val="00A22A9C"/>
    <w:rsid w:val="00A427A7"/>
    <w:rsid w:val="00A452BF"/>
    <w:rsid w:val="00A603EB"/>
    <w:rsid w:val="00A85DFD"/>
    <w:rsid w:val="00AB0FDA"/>
    <w:rsid w:val="00AB4458"/>
    <w:rsid w:val="00AE2CBE"/>
    <w:rsid w:val="00B1540F"/>
    <w:rsid w:val="00B332BC"/>
    <w:rsid w:val="00B3569F"/>
    <w:rsid w:val="00B40F85"/>
    <w:rsid w:val="00B41927"/>
    <w:rsid w:val="00B6426F"/>
    <w:rsid w:val="00B759BB"/>
    <w:rsid w:val="00B76982"/>
    <w:rsid w:val="00BA78F3"/>
    <w:rsid w:val="00BD12D3"/>
    <w:rsid w:val="00BF2645"/>
    <w:rsid w:val="00BF552D"/>
    <w:rsid w:val="00BF55DA"/>
    <w:rsid w:val="00C047A9"/>
    <w:rsid w:val="00C15DE4"/>
    <w:rsid w:val="00C4026F"/>
    <w:rsid w:val="00C559D8"/>
    <w:rsid w:val="00C85283"/>
    <w:rsid w:val="00C862F5"/>
    <w:rsid w:val="00CA1B41"/>
    <w:rsid w:val="00CC7DB5"/>
    <w:rsid w:val="00CD386D"/>
    <w:rsid w:val="00CD408C"/>
    <w:rsid w:val="00CE5B86"/>
    <w:rsid w:val="00CF6A9A"/>
    <w:rsid w:val="00D106C0"/>
    <w:rsid w:val="00D23B54"/>
    <w:rsid w:val="00D33061"/>
    <w:rsid w:val="00D53588"/>
    <w:rsid w:val="00D704C6"/>
    <w:rsid w:val="00D95173"/>
    <w:rsid w:val="00D973A1"/>
    <w:rsid w:val="00DA7096"/>
    <w:rsid w:val="00DC109A"/>
    <w:rsid w:val="00DC1DA4"/>
    <w:rsid w:val="00DD6E89"/>
    <w:rsid w:val="00DE1593"/>
    <w:rsid w:val="00DE2D1E"/>
    <w:rsid w:val="00DF4932"/>
    <w:rsid w:val="00E3640F"/>
    <w:rsid w:val="00E474F4"/>
    <w:rsid w:val="00E517F2"/>
    <w:rsid w:val="00E6142E"/>
    <w:rsid w:val="00EC7EAA"/>
    <w:rsid w:val="00EF2908"/>
    <w:rsid w:val="00EF4673"/>
    <w:rsid w:val="00F3160D"/>
    <w:rsid w:val="00F40A0B"/>
    <w:rsid w:val="00F43047"/>
    <w:rsid w:val="00F5330D"/>
    <w:rsid w:val="00F573B8"/>
    <w:rsid w:val="00F75C55"/>
    <w:rsid w:val="00F80922"/>
    <w:rsid w:val="00F969E6"/>
    <w:rsid w:val="00FA1185"/>
    <w:rsid w:val="00FB1974"/>
    <w:rsid w:val="00FC0428"/>
    <w:rsid w:val="00FC6A22"/>
    <w:rsid w:val="00FD486B"/>
    <w:rsid w:val="00FE4459"/>
    <w:rsid w:val="00FE74F4"/>
    <w:rsid w:val="01741504"/>
    <w:rsid w:val="01A34F99"/>
    <w:rsid w:val="01E16030"/>
    <w:rsid w:val="02035D28"/>
    <w:rsid w:val="02932CB7"/>
    <w:rsid w:val="030530BD"/>
    <w:rsid w:val="04FF5545"/>
    <w:rsid w:val="062C06F5"/>
    <w:rsid w:val="067C03AE"/>
    <w:rsid w:val="09B72612"/>
    <w:rsid w:val="0B166918"/>
    <w:rsid w:val="0BA11BF4"/>
    <w:rsid w:val="0CA80636"/>
    <w:rsid w:val="0ED41E92"/>
    <w:rsid w:val="10357882"/>
    <w:rsid w:val="110E0C97"/>
    <w:rsid w:val="12140C60"/>
    <w:rsid w:val="139B3F7F"/>
    <w:rsid w:val="14E45D00"/>
    <w:rsid w:val="1742788B"/>
    <w:rsid w:val="174F15D6"/>
    <w:rsid w:val="18F231C9"/>
    <w:rsid w:val="1ACF3003"/>
    <w:rsid w:val="1B455770"/>
    <w:rsid w:val="1E1269D3"/>
    <w:rsid w:val="205172F3"/>
    <w:rsid w:val="20E6382A"/>
    <w:rsid w:val="221534F6"/>
    <w:rsid w:val="245667D4"/>
    <w:rsid w:val="275B4B80"/>
    <w:rsid w:val="282A261E"/>
    <w:rsid w:val="28CF01E8"/>
    <w:rsid w:val="29137CE1"/>
    <w:rsid w:val="298E62F0"/>
    <w:rsid w:val="2A5A02A5"/>
    <w:rsid w:val="2C7D4CF1"/>
    <w:rsid w:val="2D683078"/>
    <w:rsid w:val="2D6F2766"/>
    <w:rsid w:val="2D7A3E50"/>
    <w:rsid w:val="2DD32E31"/>
    <w:rsid w:val="2DD53723"/>
    <w:rsid w:val="32B06139"/>
    <w:rsid w:val="33496190"/>
    <w:rsid w:val="3593595B"/>
    <w:rsid w:val="36E10ED0"/>
    <w:rsid w:val="3804349F"/>
    <w:rsid w:val="38221AB2"/>
    <w:rsid w:val="3A37480D"/>
    <w:rsid w:val="3A49509D"/>
    <w:rsid w:val="3C3D305B"/>
    <w:rsid w:val="3C3D6BE7"/>
    <w:rsid w:val="3D824DFD"/>
    <w:rsid w:val="3E143E43"/>
    <w:rsid w:val="3FE0724A"/>
    <w:rsid w:val="41CE5DBC"/>
    <w:rsid w:val="42093336"/>
    <w:rsid w:val="42F45C45"/>
    <w:rsid w:val="466C4666"/>
    <w:rsid w:val="48E01FCD"/>
    <w:rsid w:val="496954A2"/>
    <w:rsid w:val="4AA71015"/>
    <w:rsid w:val="4C4767C0"/>
    <w:rsid w:val="4C7D3BDD"/>
    <w:rsid w:val="4F5D1547"/>
    <w:rsid w:val="50706BA5"/>
    <w:rsid w:val="510D7F3F"/>
    <w:rsid w:val="519F2E70"/>
    <w:rsid w:val="52754595"/>
    <w:rsid w:val="548960CC"/>
    <w:rsid w:val="55224CCC"/>
    <w:rsid w:val="554F2BDB"/>
    <w:rsid w:val="5582777E"/>
    <w:rsid w:val="560C7E2C"/>
    <w:rsid w:val="58590135"/>
    <w:rsid w:val="58FA4C80"/>
    <w:rsid w:val="59DC5534"/>
    <w:rsid w:val="5C4B2CDB"/>
    <w:rsid w:val="5CA2180D"/>
    <w:rsid w:val="5DF57D40"/>
    <w:rsid w:val="5F5D4011"/>
    <w:rsid w:val="5FA23B43"/>
    <w:rsid w:val="62336ED6"/>
    <w:rsid w:val="63981BAA"/>
    <w:rsid w:val="64BA527D"/>
    <w:rsid w:val="6522166A"/>
    <w:rsid w:val="66244E48"/>
    <w:rsid w:val="66476CBD"/>
    <w:rsid w:val="66932960"/>
    <w:rsid w:val="67603559"/>
    <w:rsid w:val="69C91B88"/>
    <w:rsid w:val="6AFC719A"/>
    <w:rsid w:val="6B9E2D6D"/>
    <w:rsid w:val="6C9C515C"/>
    <w:rsid w:val="6DA527AD"/>
    <w:rsid w:val="6DF90E82"/>
    <w:rsid w:val="6FAA5F62"/>
    <w:rsid w:val="71220A8C"/>
    <w:rsid w:val="720A4BB1"/>
    <w:rsid w:val="721C6CD2"/>
    <w:rsid w:val="743C765C"/>
    <w:rsid w:val="74D3388C"/>
    <w:rsid w:val="782727D6"/>
    <w:rsid w:val="7AC82170"/>
    <w:rsid w:val="7DEB4D9C"/>
    <w:rsid w:val="7EA43933"/>
    <w:rsid w:val="7F6472F1"/>
    <w:rsid w:val="7FD91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6E1B3-1F0F-4301-910D-9D6CCDBDE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5028</Words>
  <Characters>5115</Characters>
  <Lines>38</Lines>
  <Paragraphs>10</Paragraphs>
  <TotalTime>176</TotalTime>
  <ScaleCrop>false</ScaleCrop>
  <LinksUpToDate>false</LinksUpToDate>
  <CharactersWithSpaces>5237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2020-07-21T08:59:00Z</dcterms:created>
  <dc:creator>微软用户</dc:creator>
  <cp:lastModifiedBy>梅</cp:lastModifiedBy>
  <cp:lastPrinted>2020-09-25T06:52:00Z</cp:lastPrinted>
  <dcterms:modified xsi:type="dcterms:W3CDTF">2025-03-12T02:27:26Z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eyJoZGlkIjoiM2VmN2NkNzlhZDllNTk4ZDQyYWY1YjAzNzZkNTk2YWEiLCJ1c2VySWQiOiI0NzA0NTc0NTYifQ==</vt:lpwstr>
  </property>
  <property fmtid="{D5CDD505-2E9C-101B-9397-08002B2CF9AE}" pid="4" name="ICV">
    <vt:lpwstr>AE72C60C56CC4B8EB033584B589A380A_12</vt:lpwstr>
  </property>
</Properties>
</file>