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C985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石柱土家族自治县示范幼儿园202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年度决算说明</w:t>
      </w:r>
    </w:p>
    <w:p w14:paraId="7675FC39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964" w:firstLineChars="300"/>
        <w:textAlignment w:val="auto"/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</w:rPr>
        <w:t>一、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</w:rPr>
        <w:t>基本情况</w:t>
      </w:r>
    </w:p>
    <w:p w14:paraId="061905A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eastAsia" w:ascii="楷体" w:hAnsi="楷体" w:eastAsia="楷体" w:cs="楷体"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 w14:paraId="20510189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textAlignment w:val="auto"/>
        <w:rPr>
          <w:rFonts w:hint="eastAsia" w:ascii="Times New Roman" w:hAnsi="Times New Roman" w:eastAsia="方正仿宋_GBK" w:cs="仿宋_GB2312"/>
          <w:sz w:val="32"/>
        </w:rPr>
      </w:pPr>
      <w:r>
        <w:rPr>
          <w:rFonts w:hint="eastAsia" w:ascii="Times New Roman" w:hAnsi="Times New Roman" w:eastAsia="方正仿宋_GBK" w:cs="仿宋_GB2312"/>
          <w:sz w:val="32"/>
        </w:rPr>
        <w:t>（1）拟定幼儿园发展的长期规划、学年、学期计划并组织实施。</w:t>
      </w:r>
    </w:p>
    <w:p w14:paraId="376D599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textAlignment w:val="auto"/>
        <w:rPr>
          <w:rFonts w:hint="eastAsia" w:ascii="Times New Roman" w:hAnsi="Times New Roman" w:eastAsia="方正仿宋_GBK" w:cs="仿宋_GB2312"/>
          <w:sz w:val="32"/>
        </w:rPr>
      </w:pPr>
      <w:r>
        <w:rPr>
          <w:rFonts w:hint="eastAsia" w:ascii="Times New Roman" w:hAnsi="Times New Roman" w:eastAsia="方正仿宋_GBK" w:cs="仿宋_GB2312"/>
          <w:sz w:val="32"/>
        </w:rPr>
        <w:t>（2）实施幼儿保育和幼儿启蒙教育。</w:t>
      </w:r>
    </w:p>
    <w:p w14:paraId="1E9CCFED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textAlignment w:val="auto"/>
        <w:rPr>
          <w:rStyle w:val="8"/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仿宋_GB2312"/>
          <w:sz w:val="32"/>
        </w:rPr>
        <w:t>（3）承担幼儿教育和幼儿示范、实验教育任务。</w:t>
      </w:r>
    </w:p>
    <w:p w14:paraId="74C4C05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eastAsia" w:ascii="楷体" w:hAnsi="楷体" w:eastAsia="楷体" w:cs="楷体"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sz w:val="32"/>
          <w:szCs w:val="32"/>
          <w:shd w:val="clear" w:color="auto" w:fill="FFFFFF"/>
        </w:rPr>
        <w:t>（二）机构设置</w:t>
      </w:r>
    </w:p>
    <w:p w14:paraId="0486E80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textAlignment w:val="auto"/>
        <w:rPr>
          <w:rFonts w:hint="eastAsia" w:ascii="Times New Roman" w:hAnsi="Times New Roman" w:eastAsia="方正仿宋_GBK" w:cs="仿宋_GB2312"/>
          <w:sz w:val="32"/>
          <w:lang w:val="en-US" w:eastAsia="zh-CN"/>
        </w:rPr>
      </w:pP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 xml:space="preserve">本单位由1个财政拨款事业单位组成，根据石委编委发〔2021〕24号文件，核定教职工编制64名。园长1名，副园长 3 名；内设机构领导职数4名。其中，办公室主任1名、总务处主任1名、体艺卫处主任1名、保教处主任1名。 </w:t>
      </w:r>
    </w:p>
    <w:p w14:paraId="5F03188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textAlignment w:val="auto"/>
        <w:rPr>
          <w:rFonts w:hint="eastAsia" w:ascii="Times New Roman" w:hAnsi="Times New Roman" w:eastAsia="方正仿宋_GBK" w:cs="仿宋_GB2312"/>
          <w:sz w:val="32"/>
          <w:lang w:val="en-US" w:eastAsia="zh-CN"/>
        </w:rPr>
      </w:pP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党内职务按规定配备。</w:t>
      </w:r>
    </w:p>
    <w:p w14:paraId="403C4567">
      <w:pPr>
        <w:snapToGrid w:val="0"/>
        <w:spacing w:line="520" w:lineRule="exact"/>
        <w:ind w:firstLine="643" w:firstLineChars="200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二、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单位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决算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收支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情况说明</w:t>
      </w:r>
    </w:p>
    <w:p w14:paraId="4E7DC1B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</w:pPr>
      <w:r>
        <w:rPr>
          <w:rStyle w:val="8"/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</w:rPr>
        <w:t>（一）收入支出决算总体情况说明</w:t>
      </w:r>
    </w:p>
    <w:p w14:paraId="3C7895D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textAlignment w:val="auto"/>
        <w:rPr>
          <w:rFonts w:hint="eastAsia" w:ascii="Times New Roman" w:hAnsi="Times New Roman" w:eastAsia="方正仿宋_GBK" w:cs="仿宋_GB2312"/>
          <w:sz w:val="32"/>
          <w:lang w:val="en-US" w:eastAsia="zh-CN"/>
        </w:rPr>
      </w:pP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2024年度收、支总计均为2526.16万元。收、支与2023年度相比，减少2550.32万元，下降50.2%，主要原因是减少债券资金的收、支减少。</w:t>
      </w:r>
    </w:p>
    <w:p w14:paraId="6D9A79E7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hint="default" w:ascii="Times New Roman" w:hAnsi="Times New Roman" w:eastAsia="方正仿宋_GBK" w:cs="仿宋_GB2312"/>
          <w:sz w:val="32"/>
          <w:lang w:val="en-US" w:eastAsia="zh-CN"/>
        </w:rPr>
      </w:pPr>
      <w:r>
        <w:rPr>
          <w:rStyle w:val="8"/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2024年度收入合计2526.16万元，与2023年度相比，减少2550.32万元，下降50.2%，主要原因是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减少债券资金的收入、幼儿人数减少、人员经费减少。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其中：财政拨款收入2039.69万元，占80.7%；事业收入472.67万元，占18.7%；经营收入0.00万元，占0.0%；其他收入13.81万元，占0.6%。此外，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使用非财政拨款结余（含专用结余）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0.00万元，年初结转和结余0.00万元。</w:t>
      </w:r>
    </w:p>
    <w:p w14:paraId="68A7BA6E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Times New Roman" w:hAnsi="Times New Roman" w:eastAsia="方正仿宋_GBK" w:cs="仿宋_GB2312"/>
          <w:sz w:val="32"/>
          <w:lang w:val="en-US" w:eastAsia="zh-CN"/>
        </w:rPr>
      </w:pPr>
      <w:r>
        <w:rPr>
          <w:rStyle w:val="8"/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2.支出情况。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2024年度支出合计2523.36万元，与2023年度相比，减少2553.12万元，下降50.3%，主要原因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是债券资金项目支出减少、学生人数减少。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其中：基本支出1731.96万元，占68.6%；项目支出791.41万元，占31.4%；经营支出0.00万元，占0.0%。此外，结余分配0.00万元。</w:t>
      </w:r>
    </w:p>
    <w:p w14:paraId="00B55617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方正仿宋_GBK" w:hAnsi="方正仿宋_GBK" w:eastAsia="方正仿宋_GBK" w:cs="方正仿宋_GBK"/>
          <w:sz w:val="32"/>
          <w:szCs w:val="24"/>
          <w:lang w:val="en-US" w:eastAsia="zh-CN" w:bidi="ar-SA"/>
        </w:rPr>
      </w:pPr>
      <w:r>
        <w:rPr>
          <w:rStyle w:val="8"/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3.结转结余情况。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2024年度年末结转和结余2.80万元，与2023年度相比，增加2.80万元，增长100.0%，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主要原因是2024年秋季学期于2025年1月结束，故秋季学期的课后延时服务费未在2024年支出，该笔费用于2025年1月已经支出。</w:t>
      </w:r>
    </w:p>
    <w:p w14:paraId="4C62B0AC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558DBE4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eastAsia" w:ascii="楷体" w:hAnsi="楷体" w:eastAsia="楷体" w:cs="楷体"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sz w:val="32"/>
          <w:szCs w:val="32"/>
          <w:shd w:val="clear" w:color="auto" w:fill="FFFFFF"/>
        </w:rPr>
        <w:t>（二）财政拨款收入支出决算总体情况说明</w:t>
      </w:r>
    </w:p>
    <w:p w14:paraId="128CF36A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2024年度财政拨款收、支总计均为2039.69万元。与2023年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度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相比，财政拨款收、支总计各减少2599.35万元，下降56.0%。主要原因是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债券资金收入和学生人数减少。</w:t>
      </w:r>
    </w:p>
    <w:p w14:paraId="6307A12B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eastAsia" w:ascii="楷体" w:hAnsi="楷体" w:eastAsia="楷体" w:cs="楷体"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sz w:val="32"/>
          <w:szCs w:val="32"/>
          <w:shd w:val="clear" w:color="auto" w:fill="FFFFFF"/>
        </w:rPr>
        <w:t>（三）一般公共预算财政拨款收入支出决算情况说明</w:t>
      </w:r>
    </w:p>
    <w:p w14:paraId="0D4F7823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Times New Roman" w:hAnsi="Times New Roman" w:eastAsia="方正仿宋_GBK" w:cs="仿宋_GB2312"/>
          <w:sz w:val="32"/>
          <w:lang w:val="en-US" w:eastAsia="zh-CN"/>
        </w:rPr>
      </w:pPr>
      <w:r>
        <w:rPr>
          <w:rStyle w:val="8"/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.收入情况。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2024年度一般公共预算财政拨款收入2039.69万元，与2023年度相比，增加700.65万元，增长52.3%。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主要原因是本年度人员工资自然调资社保等经费增加、扩大学前教育奖补项目收入增加。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较年初预算数增加388.71万元，增长23.5%。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主要原因是本年度人员工资自然调资社保等经费增加、扩大学前教育奖补资金项目收入增加。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此外，年初财政拨款结转和结余0.00万元。</w:t>
      </w:r>
    </w:p>
    <w:p w14:paraId="5580C7B8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Times New Roman" w:hAnsi="Times New Roman" w:eastAsia="方正仿宋_GBK" w:cs="仿宋_GB2312"/>
          <w:sz w:val="32"/>
          <w:lang w:val="en-US" w:eastAsia="zh-CN"/>
        </w:rPr>
      </w:pPr>
      <w:r>
        <w:rPr>
          <w:rStyle w:val="8"/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2.支出情况。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2024年度一般公共预算财政拨款支出2039.69万元，与2023年度相比，增加700.65万元，增长52.3%。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主要原因是本年度人员工资自然调资社保等经费增加、扩大学前教育项目支出增加。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较年初预算数增加388.71万元，增长23.5%。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主要原因是本年度人员工资自然调资社保等经费增加、扩大学前教育项目支出增加。</w:t>
      </w:r>
    </w:p>
    <w:p w14:paraId="6838AD69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仿宋_GB2312"/>
          <w:sz w:val="32"/>
          <w:lang w:val="en-US" w:eastAsia="zh-CN"/>
        </w:rPr>
      </w:pP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一般公共预算财政拨款支出主要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用途如下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：</w:t>
      </w:r>
    </w:p>
    <w:p w14:paraId="39D2673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仿宋_GB2312"/>
          <w:sz w:val="32"/>
          <w:lang w:val="en-US" w:eastAsia="zh-CN"/>
        </w:rPr>
      </w:pPr>
      <w:r>
        <w:rPr>
          <w:rFonts w:hint="default" w:ascii="Times New Roman" w:hAnsi="Times New Roman" w:eastAsia="方正仿宋_GBK" w:cs="仿宋_GB2312"/>
          <w:sz w:val="32"/>
          <w:szCs w:val="24"/>
          <w:lang w:val="en-US" w:eastAsia="zh-CN" w:bidi="ar-SA"/>
        </w:rPr>
        <w:t>（1）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教育支出1684.37万元，占82.6%，较年初预算数增加332.79万元，增长24.6%，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主要原因是学前教育奖补资金项目支出增加，薪级工资增加，岗位晋升人员工资变动较大，绩效工资增加。</w:t>
      </w:r>
    </w:p>
    <w:p w14:paraId="0660D72F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 w:cs="仿宋_GB2312"/>
          <w:sz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24"/>
          <w:lang w:val="en-US" w:eastAsia="zh-CN" w:bidi="ar-SA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24"/>
          <w:lang w:val="en-US" w:eastAsia="zh-CN" w:bidi="ar-SA"/>
        </w:rPr>
        <w:t>2</w:t>
      </w:r>
      <w:r>
        <w:rPr>
          <w:rFonts w:hint="default" w:ascii="方正仿宋_GBK" w:hAnsi="方正仿宋_GBK" w:eastAsia="方正仿宋_GBK" w:cs="方正仿宋_GBK"/>
          <w:sz w:val="32"/>
          <w:szCs w:val="24"/>
          <w:lang w:val="en-US" w:eastAsia="zh-CN" w:bidi="ar-SA"/>
        </w:rPr>
        <w:t>）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社会保障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和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就业支出229.96万元，占11.3%，较年初预算数增加60.94万元，增长36.1%，主要原因是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薪级工资增加，岗位晋升人员工资变动较大，绩效工资增加。</w:t>
      </w:r>
    </w:p>
    <w:p w14:paraId="582F2F1F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 w:cs="仿宋_GB2312"/>
          <w:sz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24"/>
          <w:lang w:val="en-US" w:eastAsia="zh-CN" w:bidi="ar-SA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24"/>
          <w:lang w:val="en-US" w:eastAsia="zh-CN" w:bidi="ar-SA"/>
        </w:rPr>
        <w:t>3</w:t>
      </w:r>
      <w:r>
        <w:rPr>
          <w:rFonts w:hint="default" w:ascii="方正仿宋_GBK" w:hAnsi="方正仿宋_GBK" w:eastAsia="方正仿宋_GBK" w:cs="方正仿宋_GBK"/>
          <w:sz w:val="32"/>
          <w:szCs w:val="24"/>
          <w:lang w:val="en-US" w:eastAsia="zh-CN" w:bidi="ar-SA"/>
        </w:rPr>
        <w:t>）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卫生健康支出67.39万元，占3.3%，较年初预算数减少0.21万元，下降0.3%，主要原因是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基数调整。</w:t>
      </w:r>
    </w:p>
    <w:p w14:paraId="5D69AC2E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 w:cs="仿宋_GB2312"/>
          <w:sz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24"/>
          <w:lang w:val="en-US" w:eastAsia="zh-CN" w:bidi="ar-SA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24"/>
          <w:lang w:val="en-US" w:eastAsia="zh-CN" w:bidi="ar-SA"/>
        </w:rPr>
        <w:t>4</w:t>
      </w:r>
      <w:r>
        <w:rPr>
          <w:rFonts w:hint="default" w:ascii="方正仿宋_GBK" w:hAnsi="方正仿宋_GBK" w:eastAsia="方正仿宋_GBK" w:cs="方正仿宋_GBK"/>
          <w:sz w:val="32"/>
          <w:szCs w:val="24"/>
          <w:lang w:val="en-US" w:eastAsia="zh-CN" w:bidi="ar-SA"/>
        </w:rPr>
        <w:t>）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住房保障支出57.97万元，占2.8%，较年初预算数减少4.81万元，下降7.7%，主要原因是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基数调整。</w:t>
      </w:r>
    </w:p>
    <w:p w14:paraId="1CFCD8F6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hint="default" w:ascii="Times New Roman" w:hAnsi="Times New Roman" w:eastAsia="方正仿宋_GBK" w:cs="仿宋_GB2312"/>
          <w:sz w:val="32"/>
          <w:lang w:val="en-US" w:eastAsia="zh-CN"/>
        </w:rPr>
      </w:pPr>
      <w:r>
        <w:rPr>
          <w:rStyle w:val="8"/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3.结转结余情况。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2024年度年末一般公共预算财政拨款结转和结余0.00万元，与2023年度相比，无增减，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主要原因是我单位为财政全额拨款事业单位，年底无结转结余。</w:t>
      </w:r>
    </w:p>
    <w:p w14:paraId="44B4472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eastAsia" w:ascii="楷体" w:hAnsi="楷体" w:eastAsia="楷体" w:cs="楷体"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sz w:val="32"/>
          <w:szCs w:val="32"/>
          <w:shd w:val="clear" w:color="auto" w:fill="FFFFFF"/>
        </w:rPr>
        <w:t>（四）一般公共预算财政拨款基本支出决算情况说明</w:t>
      </w:r>
    </w:p>
    <w:p w14:paraId="7C7E0EEC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仿宋_GB2312"/>
          <w:sz w:val="32"/>
          <w:lang w:val="en-US" w:eastAsia="zh-CN"/>
        </w:rPr>
      </w:pP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2024年度一般公共财政拨款基本支出1259.29万元。</w:t>
      </w:r>
    </w:p>
    <w:p w14:paraId="0CE484BF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仿宋_GB2312"/>
          <w:sz w:val="32"/>
          <w:lang w:val="en-US" w:eastAsia="zh-CN"/>
        </w:rPr>
      </w:pP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其中：</w:t>
      </w:r>
    </w:p>
    <w:p w14:paraId="1874D097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人员经费1170.35万元，与2023年度相比，减少9.18万元，下降0.8%，主要原因是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财政拨款人员减少。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人员经费用途主要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包括基本工资、津补贴、绩效工资、社会保障缴费、住房公积金、医疗补助等。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公用经费88.94万元，与2023年度相比，增加79.23万元，增长816.0%，主要原因是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2024年生均公用经费计入公用经费支出决算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。公用经费用途主要包括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商品服务支出中的办公费、差旅费、培训费、水电费、维修费及其他商品服务支出。</w:t>
      </w:r>
    </w:p>
    <w:p w14:paraId="2F4916B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</w:p>
    <w:p w14:paraId="57A96CB3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eastAsia" w:ascii="楷体" w:hAnsi="楷体" w:eastAsia="楷体" w:cs="楷体"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sz w:val="32"/>
          <w:szCs w:val="32"/>
          <w:shd w:val="clear" w:color="auto" w:fill="FFFFFF"/>
        </w:rPr>
        <w:t>（五）政府性基金预算收支决算情况说明</w:t>
      </w:r>
    </w:p>
    <w:p w14:paraId="5708EC3C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仿宋_GB2312"/>
          <w:sz w:val="32"/>
          <w:lang w:val="en-US" w:eastAsia="zh-CN"/>
        </w:rPr>
      </w:pP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2024年度政府性基金预算财政拨款年初结转结余0.00万元，年末结转结余0.00万元。本年收入0.00万元，与2023年度相比，减少3300.00万元，下降100.0%，主要原因是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 xml:space="preserve">债券收入减少。 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本年支出0.00万元，与2023年度相比，减少3300.00万元，下降100.0%，主要原因是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本年度无政府债券资金支出。</w:t>
      </w:r>
    </w:p>
    <w:p w14:paraId="3A406279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eastAsia" w:ascii="楷体" w:hAnsi="楷体" w:eastAsia="楷体" w:cs="楷体"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sz w:val="32"/>
          <w:szCs w:val="32"/>
          <w:shd w:val="clear" w:color="auto" w:fill="FFFFFF"/>
        </w:rPr>
        <w:t>（六）国有资本经营预算财政拨款支出决算情况说明</w:t>
      </w:r>
    </w:p>
    <w:p w14:paraId="6043058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仿宋_GB2312"/>
          <w:sz w:val="32"/>
          <w:lang w:val="en-US" w:eastAsia="zh-CN"/>
        </w:rPr>
      </w:pP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本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单位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2024年度无国有资本经营预算财政拨款支出。</w:t>
      </w:r>
    </w:p>
    <w:p w14:paraId="034D5247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三、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财政拨款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“三公”经费情况说明</w:t>
      </w:r>
    </w:p>
    <w:p w14:paraId="2C592096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eastAsia" w:ascii="楷体" w:hAnsi="楷体" w:eastAsia="楷体" w:cs="楷体"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sz w:val="32"/>
          <w:szCs w:val="32"/>
          <w:shd w:val="clear" w:color="auto" w:fill="FFFFFF"/>
        </w:rPr>
        <w:t>（一）“三公”经费支出总体情况说明</w:t>
      </w:r>
    </w:p>
    <w:p w14:paraId="7FD2E18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 w:cs="仿宋_GB2312"/>
          <w:sz w:val="32"/>
          <w:lang w:val="en-US" w:eastAsia="zh-CN"/>
        </w:rPr>
      </w:pP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2024年度“三公”经费支出共计0.89万元，较年初预算数增加0.89万元，增长100.0%，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主要原因是上年“三公”经费中不含公务用车运行维护费。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较上年支出数减少0.01万元，下降1.1%，主要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原因主要是为了响应中央八项规定，厉行节约减少公务接待费。</w:t>
      </w:r>
    </w:p>
    <w:p w14:paraId="7429E4E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eastAsia" w:ascii="楷体" w:hAnsi="楷体" w:eastAsia="楷体" w:cs="楷体"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sz w:val="32"/>
          <w:szCs w:val="32"/>
          <w:shd w:val="clear" w:color="auto" w:fill="FFFFFF"/>
        </w:rPr>
        <w:t>（二）“三公”经费分项支出情况</w:t>
      </w:r>
    </w:p>
    <w:p w14:paraId="6462151E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 w:cs="仿宋_GB2312"/>
          <w:sz w:val="32"/>
          <w:lang w:val="en-US" w:eastAsia="zh-CN"/>
        </w:rPr>
      </w:pP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2024年度本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单位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因公出国（境）费用0.00万元，主要是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本单位本年无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因公出国（境）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。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费用支出较年初预算数无增减，主要原因是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本单位本年无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因公出国（境）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。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较上年支出数无增减，主要原因是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本单位本年无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因公出国（境）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。</w:t>
      </w:r>
    </w:p>
    <w:p w14:paraId="2C42D9A6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仿宋_GB2312"/>
          <w:sz w:val="32"/>
          <w:lang w:val="en-US" w:eastAsia="zh-CN"/>
        </w:rPr>
      </w:pP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公务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用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车购置费0.00万元，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本单位本年度未购置公务用车。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费用支出较年初预算数无增减，主要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原因是本单位本年度未购置公务用车。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较上年支出数无增减，主要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原因是本单位本年度未购置公务用车。</w:t>
      </w:r>
    </w:p>
    <w:p w14:paraId="3DCA43FB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仿宋_GB2312"/>
          <w:sz w:val="32"/>
          <w:lang w:val="en-US" w:eastAsia="zh-CN"/>
        </w:rPr>
      </w:pP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公务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用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车运行维护费0.89万元，主要用于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本单位公务用车运行维护费。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费用支出较年初预算数增加0.89万元，增长100.0%，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主要原因是上年“三公”经费中不含公务用车运行维护费。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较上年支出数减少0.01万元，下降1.1%，主要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原因是为了响应中央八项规定，厉行节约减少公务接待费。</w:t>
      </w:r>
      <w:bookmarkStart w:id="0" w:name="_GoBack"/>
      <w:bookmarkEnd w:id="0"/>
    </w:p>
    <w:p w14:paraId="7EB92C55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仿宋_GB2312"/>
          <w:sz w:val="32"/>
          <w:lang w:val="en-US" w:eastAsia="zh-CN"/>
        </w:rPr>
      </w:pP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公务接待费0.00万元，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本单位2024年度未发生因公出国（境）费用。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费用支出较年初预算数无增减，主要原因是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本单位2024年度未发生因公出国（境）费用。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较上年支出数无增减，主要原因是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本单位2024年度未发生因公出国（境）费用。</w:t>
      </w:r>
    </w:p>
    <w:p w14:paraId="23FA0CF2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eastAsia" w:ascii="楷体" w:hAnsi="楷体" w:eastAsia="楷体" w:cs="楷体"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sz w:val="32"/>
          <w:szCs w:val="32"/>
          <w:shd w:val="clear" w:color="auto" w:fill="FFFFFF"/>
        </w:rPr>
        <w:t>（三）“三公”经费实物量情况</w:t>
      </w:r>
    </w:p>
    <w:p w14:paraId="5C5792A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仿宋_GB2312"/>
          <w:sz w:val="32"/>
          <w:lang w:val="en-US" w:eastAsia="zh-CN"/>
        </w:rPr>
      </w:pP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2024年度本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单位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因公出国（境）共计0个团组，0人；公务用车购置0辆，公务车保有量为1辆；国内公务接待0批次0人，其中：国内外事接待0批次，0人；国（境）外公务接待0批次，0人。2024年本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单位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人均接待费0元，车均购置费0万元，车均维护费0.89万元。</w:t>
      </w:r>
    </w:p>
    <w:p w14:paraId="01EDA49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 w14:paraId="65071DFF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楷体" w:hAnsi="楷体" w:eastAsia="楷体" w:cs="楷体"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sz w:val="32"/>
          <w:szCs w:val="32"/>
          <w:shd w:val="clear" w:color="auto" w:fill="FFFFFF"/>
        </w:rPr>
        <w:t>（一）财政拨款会议费、培训费和差旅费情况说明</w:t>
      </w:r>
    </w:p>
    <w:p w14:paraId="42D8F74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 w:cs="仿宋_GB2312"/>
          <w:sz w:val="32"/>
          <w:lang w:val="en-US" w:eastAsia="zh-CN"/>
        </w:rPr>
      </w:pP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本年度会议费支出0.00万元，与2023年度相比，无增减，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主要原因是财政未保障我单位会议费。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本年度培训费支出4.20万元，与2023年度相比，增加0.50万元，增长13.5%，主要原因是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本年度派出培训人数、次数增加。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本年度差旅费支出8.02万元，与2023年度相比，增加2.15万元，增长36.6%，主要原因是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本年度派出培训人数、次数增加。</w:t>
      </w:r>
    </w:p>
    <w:p w14:paraId="42C173B4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eastAsia" w:ascii="楷体" w:hAnsi="楷体" w:eastAsia="楷体" w:cs="楷体"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sz w:val="32"/>
          <w:szCs w:val="32"/>
          <w:shd w:val="clear" w:color="auto" w:fill="FFFFFF"/>
        </w:rPr>
        <w:t>（二）机关运行经费情况说明</w:t>
      </w:r>
    </w:p>
    <w:p w14:paraId="5202508D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仿宋_GB231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按照部门决算列报口径，我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单位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不在机关运行经费统计范围之内。</w:t>
      </w:r>
    </w:p>
    <w:p w14:paraId="21F922B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eastAsia" w:ascii="楷体" w:hAnsi="楷体" w:eastAsia="楷体" w:cs="楷体"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sz w:val="32"/>
          <w:szCs w:val="32"/>
          <w:shd w:val="clear" w:color="auto" w:fill="FFFFFF"/>
        </w:rPr>
        <w:t>（三）国有资产占用情况说明</w:t>
      </w:r>
    </w:p>
    <w:p w14:paraId="1187D191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仿宋_GB2312"/>
          <w:sz w:val="32"/>
          <w:lang w:val="en-US" w:eastAsia="zh-CN"/>
        </w:rPr>
      </w:pP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截至2024年12月31日，本</w:t>
      </w: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单位</w:t>
      </w:r>
      <w:r>
        <w:rPr>
          <w:rFonts w:hint="default" w:ascii="Times New Roman" w:hAnsi="Times New Roman" w:eastAsia="方正仿宋_GBK" w:cs="仿宋_GB2312"/>
          <w:sz w:val="32"/>
          <w:lang w:val="en-US" w:eastAsia="zh-CN"/>
        </w:rPr>
        <w:t>共有车辆1辆，其中，副部（省）级及以上领导用车0辆、主要负责人用车0辆、机要通信用车0辆、应急保障用车1辆、执法执勤用车0辆，特种专业技术用车0辆，离退休干部用车0辆。单价100万元（含）以上专用设备0台（套）。</w:t>
      </w:r>
    </w:p>
    <w:p w14:paraId="386E1BA0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eastAsia" w:ascii="楷体" w:hAnsi="楷体" w:eastAsia="楷体" w:cs="楷体"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sz w:val="32"/>
          <w:szCs w:val="32"/>
          <w:shd w:val="clear" w:color="auto" w:fill="FFFFFF"/>
        </w:rPr>
        <w:t>（四）政府采购支出情况说明</w:t>
      </w:r>
    </w:p>
    <w:p w14:paraId="6A153769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仿宋_GB2312"/>
          <w:sz w:val="32"/>
          <w:lang w:val="en-US" w:eastAsia="zh-CN"/>
        </w:rPr>
      </w:pP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2024年度本单位政府采购支出总额1284.14万元，其中：政府采购货物支出25.60万元、政府采购工程支出1258.54万元、政府采购服务支出0.00万元。授予中小企业合同金额1284.14万元，占政府采购支出总额的100.0%，其中：授予小微企业合同金额1284.14万元，占政府采购支出总额的100.0 %。主要用于日常办公用品和耗材的采购。</w:t>
      </w:r>
    </w:p>
    <w:p w14:paraId="16BF29DA">
      <w:pPr>
        <w:pStyle w:val="5"/>
        <w:numPr>
          <w:ilvl w:val="0"/>
          <w:numId w:val="1"/>
        </w:numPr>
        <w:shd w:val="clear" w:color="auto" w:fill="FFFFFF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预算绩效管理情况说明</w:t>
      </w:r>
    </w:p>
    <w:p w14:paraId="09190616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eastAsia" w:ascii="楷体" w:hAnsi="楷体" w:eastAsia="楷体" w:cs="楷体"/>
          <w:sz w:val="32"/>
          <w:szCs w:val="32"/>
          <w:shd w:val="clear" w:color="auto" w:fill="FFFFFF"/>
        </w:rPr>
      </w:pPr>
      <w:r>
        <w:rPr>
          <w:rStyle w:val="8"/>
          <w:rFonts w:hint="eastAsia" w:ascii="楷体" w:hAnsi="楷体" w:eastAsia="楷体" w:cs="楷体"/>
          <w:sz w:val="32"/>
          <w:szCs w:val="32"/>
          <w:shd w:val="clear" w:color="auto" w:fill="FFFFFF"/>
        </w:rPr>
        <w:t>（一）单位自评情况</w:t>
      </w:r>
    </w:p>
    <w:p w14:paraId="4DD3E56F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Times New Roman" w:hAnsi="Times New Roman" w:eastAsia="方正仿宋_GBK" w:cs="仿宋_GB2312"/>
          <w:sz w:val="32"/>
          <w:lang w:val="en-US" w:eastAsia="zh-CN"/>
        </w:rPr>
      </w:pPr>
      <w:r>
        <w:rPr>
          <w:rFonts w:hint="eastAsia" w:ascii="Times New Roman" w:hAnsi="Times New Roman" w:eastAsia="方正仿宋_GBK" w:cs="仿宋_GB2312"/>
          <w:sz w:val="32"/>
          <w:lang w:val="en-US" w:eastAsia="zh-CN"/>
        </w:rPr>
        <w:t>根据预算绩效管理要求，我单位对1个项目开展了绩效自评，其中，以填报目标自评表形式开展自评1个项目，涉及财政拨款项目支出资金5.1万元。</w:t>
      </w:r>
    </w:p>
    <w:p w14:paraId="75950554">
      <w:pPr>
        <w:spacing w:before="300" w:line="228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1.绩效目标自评表</w:t>
      </w:r>
    </w:p>
    <w:p w14:paraId="4865A6B5">
      <w:pPr>
        <w:spacing w:line="109" w:lineRule="auto"/>
        <w:rPr>
          <w:rFonts w:ascii="Arial"/>
          <w:sz w:val="2"/>
        </w:rPr>
      </w:pPr>
    </w:p>
    <w:tbl>
      <w:tblPr>
        <w:tblStyle w:val="11"/>
        <w:tblW w:w="8251" w:type="dxa"/>
        <w:tblInd w:w="16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1390"/>
        <w:gridCol w:w="991"/>
        <w:gridCol w:w="857"/>
        <w:gridCol w:w="1096"/>
        <w:gridCol w:w="1253"/>
        <w:gridCol w:w="124"/>
        <w:gridCol w:w="1713"/>
      </w:tblGrid>
      <w:tr w14:paraId="044E6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827" w:type="dxa"/>
            <w:vAlign w:val="top"/>
          </w:tcPr>
          <w:p w14:paraId="403B0CC9">
            <w:pPr>
              <w:pStyle w:val="10"/>
              <w:spacing w:before="106" w:line="208" w:lineRule="auto"/>
              <w:ind w:left="214" w:right="204" w:firstLine="1"/>
            </w:pPr>
            <w:r>
              <w:t xml:space="preserve">专项 </w:t>
            </w:r>
            <w:r>
              <w:rPr>
                <w:spacing w:val="1"/>
              </w:rPr>
              <w:t>名称</w:t>
            </w:r>
          </w:p>
        </w:tc>
        <w:tc>
          <w:tcPr>
            <w:tcW w:w="3238" w:type="dxa"/>
            <w:gridSpan w:val="3"/>
            <w:vAlign w:val="top"/>
          </w:tcPr>
          <w:p w14:paraId="5224D3F1">
            <w:pPr>
              <w:pStyle w:val="10"/>
              <w:spacing w:before="207" w:line="230" w:lineRule="auto"/>
              <w:ind w:left="693"/>
              <w:rPr>
                <w:rFonts w:hint="eastAsia" w:eastAsia="仿宋"/>
                <w:lang w:eastAsia="zh-CN"/>
              </w:rPr>
            </w:pPr>
            <w:r>
              <w:rPr>
                <w:spacing w:val="7"/>
              </w:rPr>
              <w:t>学前</w:t>
            </w:r>
            <w:r>
              <w:rPr>
                <w:rFonts w:hint="eastAsia"/>
                <w:spacing w:val="7"/>
                <w:lang w:eastAsia="zh-CN"/>
              </w:rPr>
              <w:t>教育资助</w:t>
            </w:r>
          </w:p>
        </w:tc>
        <w:tc>
          <w:tcPr>
            <w:tcW w:w="1096" w:type="dxa"/>
            <w:vAlign w:val="top"/>
          </w:tcPr>
          <w:p w14:paraId="09D1FD5B">
            <w:pPr>
              <w:pStyle w:val="10"/>
              <w:spacing w:before="106" w:line="209" w:lineRule="auto"/>
              <w:ind w:left="247" w:right="230" w:hanging="4"/>
            </w:pPr>
            <w:r>
              <w:rPr>
                <w:spacing w:val="5"/>
              </w:rPr>
              <w:t>联系人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及电话</w:t>
            </w:r>
          </w:p>
        </w:tc>
        <w:tc>
          <w:tcPr>
            <w:tcW w:w="3090" w:type="dxa"/>
            <w:gridSpan w:val="3"/>
            <w:vAlign w:val="top"/>
          </w:tcPr>
          <w:p w14:paraId="1419FB6A">
            <w:pPr>
              <w:pStyle w:val="10"/>
              <w:spacing w:before="207" w:line="233" w:lineRule="auto"/>
              <w:ind w:left="644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2"/>
                <w:lang w:eastAsia="zh-CN"/>
              </w:rPr>
              <w:t>明艳</w:t>
            </w:r>
            <w:r>
              <w:rPr>
                <w:rFonts w:hint="eastAsia"/>
                <w:spacing w:val="2"/>
                <w:lang w:val="en-US" w:eastAsia="zh-CN"/>
              </w:rPr>
              <w:t>13452213222</w:t>
            </w:r>
          </w:p>
        </w:tc>
      </w:tr>
      <w:tr w14:paraId="5C656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27" w:type="dxa"/>
            <w:vAlign w:val="top"/>
          </w:tcPr>
          <w:p w14:paraId="4D9F72A2">
            <w:pPr>
              <w:pStyle w:val="10"/>
              <w:spacing w:before="103" w:line="207" w:lineRule="auto"/>
              <w:ind w:left="214" w:right="204" w:firstLine="5"/>
            </w:pPr>
            <w:r>
              <w:rPr>
                <w:spacing w:val="-1"/>
              </w:rPr>
              <w:t>主管</w:t>
            </w:r>
            <w:r>
              <w:t xml:space="preserve"> </w:t>
            </w:r>
            <w:r>
              <w:rPr>
                <w:spacing w:val="1"/>
              </w:rPr>
              <w:t>部门</w:t>
            </w:r>
          </w:p>
        </w:tc>
        <w:tc>
          <w:tcPr>
            <w:tcW w:w="3238" w:type="dxa"/>
            <w:gridSpan w:val="3"/>
            <w:vAlign w:val="top"/>
          </w:tcPr>
          <w:p w14:paraId="1E85ADBB">
            <w:pPr>
              <w:pStyle w:val="10"/>
              <w:spacing w:before="203" w:line="232" w:lineRule="auto"/>
              <w:ind w:left="1315"/>
            </w:pPr>
            <w:r>
              <w:rPr>
                <w:spacing w:val="4"/>
              </w:rPr>
              <w:t>县教委</w:t>
            </w:r>
          </w:p>
        </w:tc>
        <w:tc>
          <w:tcPr>
            <w:tcW w:w="1096" w:type="dxa"/>
            <w:vAlign w:val="top"/>
          </w:tcPr>
          <w:p w14:paraId="5AF80082">
            <w:pPr>
              <w:pStyle w:val="10"/>
              <w:spacing w:before="204" w:line="229" w:lineRule="auto"/>
              <w:ind w:left="141"/>
            </w:pPr>
            <w:r>
              <w:rPr>
                <w:spacing w:val="5"/>
              </w:rPr>
              <w:t>预算单位</w:t>
            </w:r>
          </w:p>
        </w:tc>
        <w:tc>
          <w:tcPr>
            <w:tcW w:w="3090" w:type="dxa"/>
            <w:gridSpan w:val="3"/>
            <w:vAlign w:val="top"/>
          </w:tcPr>
          <w:p w14:paraId="2F8D1119">
            <w:pPr>
              <w:pStyle w:val="10"/>
              <w:spacing w:before="203" w:line="231" w:lineRule="auto"/>
              <w:ind w:left="190"/>
            </w:pPr>
            <w:r>
              <w:rPr>
                <w:spacing w:val="8"/>
              </w:rPr>
              <w:t>石柱土家族自治县</w:t>
            </w:r>
            <w:r>
              <w:rPr>
                <w:rFonts w:hint="eastAsia"/>
                <w:spacing w:val="8"/>
                <w:lang w:eastAsia="zh-CN"/>
              </w:rPr>
              <w:t>示范</w:t>
            </w:r>
            <w:r>
              <w:rPr>
                <w:spacing w:val="8"/>
              </w:rPr>
              <w:t>幼儿园</w:t>
            </w:r>
          </w:p>
        </w:tc>
      </w:tr>
      <w:tr w14:paraId="25F5A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827" w:type="dxa"/>
            <w:vMerge w:val="restart"/>
            <w:tcBorders>
              <w:bottom w:val="nil"/>
            </w:tcBorders>
            <w:vAlign w:val="top"/>
          </w:tcPr>
          <w:p w14:paraId="2EC19BF6">
            <w:pPr>
              <w:spacing w:line="244" w:lineRule="auto"/>
              <w:rPr>
                <w:rFonts w:ascii="Arial"/>
                <w:sz w:val="21"/>
              </w:rPr>
            </w:pPr>
          </w:p>
          <w:p w14:paraId="4E7EDD90">
            <w:pPr>
              <w:spacing w:line="245" w:lineRule="auto"/>
              <w:rPr>
                <w:rFonts w:ascii="Arial"/>
                <w:sz w:val="21"/>
              </w:rPr>
            </w:pPr>
          </w:p>
          <w:p w14:paraId="5E4B01C9">
            <w:pPr>
              <w:spacing w:line="245" w:lineRule="auto"/>
              <w:rPr>
                <w:rFonts w:ascii="Arial"/>
                <w:sz w:val="21"/>
              </w:rPr>
            </w:pPr>
          </w:p>
          <w:p w14:paraId="0D708468">
            <w:pPr>
              <w:pStyle w:val="10"/>
              <w:spacing w:before="65" w:line="197" w:lineRule="auto"/>
              <w:ind w:left="216" w:right="204" w:hanging="2"/>
              <w:jc w:val="both"/>
            </w:pPr>
            <w:r>
              <w:rPr>
                <w:spacing w:val="1"/>
              </w:rPr>
              <w:t>项目</w:t>
            </w:r>
            <w:r>
              <w:t xml:space="preserve"> 资金 （万 </w:t>
            </w:r>
            <w:r>
              <w:rPr>
                <w:spacing w:val="-5"/>
              </w:rPr>
              <w:t>元）</w:t>
            </w:r>
          </w:p>
        </w:tc>
        <w:tc>
          <w:tcPr>
            <w:tcW w:w="1390" w:type="dxa"/>
            <w:vAlign w:val="top"/>
          </w:tcPr>
          <w:p w14:paraId="20B0D7E6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23E32C49">
            <w:pPr>
              <w:pStyle w:val="10"/>
              <w:spacing w:before="109" w:line="207" w:lineRule="auto"/>
              <w:ind w:left="294" w:right="178" w:hanging="98"/>
            </w:pPr>
            <w:r>
              <w:rPr>
                <w:spacing w:val="3"/>
              </w:rPr>
              <w:t>年初预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算数</w:t>
            </w:r>
          </w:p>
        </w:tc>
        <w:tc>
          <w:tcPr>
            <w:tcW w:w="857" w:type="dxa"/>
            <w:vAlign w:val="top"/>
          </w:tcPr>
          <w:p w14:paraId="4687E1F2">
            <w:pPr>
              <w:pStyle w:val="10"/>
              <w:spacing w:before="109" w:line="207" w:lineRule="auto"/>
              <w:ind w:left="228" w:right="111" w:hanging="98"/>
            </w:pPr>
            <w:r>
              <w:rPr>
                <w:spacing w:val="3"/>
              </w:rPr>
              <w:t>全年预</w:t>
            </w:r>
            <w:r>
              <w:t xml:space="preserve"> </w:t>
            </w:r>
            <w:r>
              <w:rPr>
                <w:spacing w:val="2"/>
              </w:rPr>
              <w:t>算数</w:t>
            </w:r>
          </w:p>
        </w:tc>
        <w:tc>
          <w:tcPr>
            <w:tcW w:w="1096" w:type="dxa"/>
            <w:vAlign w:val="top"/>
          </w:tcPr>
          <w:p w14:paraId="45CE91E8">
            <w:pPr>
              <w:pStyle w:val="10"/>
              <w:spacing w:before="108" w:line="208" w:lineRule="auto"/>
              <w:ind w:left="452" w:right="127" w:hanging="308"/>
            </w:pPr>
            <w:r>
              <w:rPr>
                <w:spacing w:val="4"/>
              </w:rPr>
              <w:t>全年执行</w:t>
            </w:r>
            <w:r>
              <w:rPr>
                <w:spacing w:val="1"/>
              </w:rPr>
              <w:t xml:space="preserve"> </w:t>
            </w:r>
            <w:r>
              <w:t>数</w:t>
            </w:r>
          </w:p>
        </w:tc>
        <w:tc>
          <w:tcPr>
            <w:tcW w:w="1377" w:type="dxa"/>
            <w:gridSpan w:val="2"/>
            <w:vAlign w:val="top"/>
          </w:tcPr>
          <w:p w14:paraId="356C4697">
            <w:pPr>
              <w:pStyle w:val="10"/>
              <w:spacing w:before="108" w:line="191" w:lineRule="auto"/>
              <w:ind w:left="187"/>
            </w:pPr>
            <w:r>
              <w:rPr>
                <w:spacing w:val="4"/>
              </w:rPr>
              <w:t>资金执行率</w:t>
            </w:r>
          </w:p>
          <w:p w14:paraId="5933CAA8">
            <w:pPr>
              <w:pStyle w:val="10"/>
              <w:spacing w:line="237" w:lineRule="auto"/>
              <w:ind w:left="442"/>
            </w:pPr>
            <w:r>
              <w:rPr>
                <w:spacing w:val="-1"/>
              </w:rPr>
              <w:t>（%）</w:t>
            </w:r>
          </w:p>
        </w:tc>
        <w:tc>
          <w:tcPr>
            <w:tcW w:w="1713" w:type="dxa"/>
            <w:vAlign w:val="top"/>
          </w:tcPr>
          <w:p w14:paraId="0864ABA0">
            <w:pPr>
              <w:pStyle w:val="10"/>
              <w:spacing w:before="7" w:line="191" w:lineRule="auto"/>
              <w:ind w:left="342"/>
            </w:pPr>
            <w:r>
              <w:rPr>
                <w:spacing w:val="7"/>
              </w:rPr>
              <w:t>执行率未达</w:t>
            </w:r>
          </w:p>
          <w:p w14:paraId="0DD6EA6D">
            <w:pPr>
              <w:pStyle w:val="10"/>
              <w:spacing w:before="1" w:line="184" w:lineRule="auto"/>
              <w:ind w:left="140"/>
            </w:pPr>
            <w:r>
              <w:rPr>
                <w:spacing w:val="6"/>
              </w:rPr>
              <w:t>100%原因、下一</w:t>
            </w:r>
          </w:p>
          <w:p w14:paraId="58AADBC1">
            <w:pPr>
              <w:pStyle w:val="10"/>
              <w:spacing w:before="1" w:line="213" w:lineRule="auto"/>
              <w:ind w:left="554"/>
            </w:pPr>
            <w:r>
              <w:rPr>
                <w:spacing w:val="4"/>
              </w:rPr>
              <w:t>步措施</w:t>
            </w:r>
          </w:p>
        </w:tc>
      </w:tr>
      <w:tr w14:paraId="760B0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40AD73E2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vAlign w:val="top"/>
          </w:tcPr>
          <w:p w14:paraId="1E539D75">
            <w:pPr>
              <w:pStyle w:val="10"/>
              <w:spacing w:before="205" w:line="231" w:lineRule="auto"/>
              <w:ind w:left="182"/>
            </w:pPr>
            <w:r>
              <w:rPr>
                <w:spacing w:val="6"/>
              </w:rPr>
              <w:t>年度总金额</w:t>
            </w:r>
          </w:p>
        </w:tc>
        <w:tc>
          <w:tcPr>
            <w:tcW w:w="991" w:type="dxa"/>
            <w:vAlign w:val="top"/>
          </w:tcPr>
          <w:p w14:paraId="0FE66990">
            <w:pPr>
              <w:pStyle w:val="10"/>
              <w:spacing w:before="241" w:line="186" w:lineRule="auto"/>
              <w:ind w:left="29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5.1</w:t>
            </w:r>
          </w:p>
        </w:tc>
        <w:tc>
          <w:tcPr>
            <w:tcW w:w="857" w:type="dxa"/>
            <w:vAlign w:val="top"/>
          </w:tcPr>
          <w:p w14:paraId="53C25B25">
            <w:pPr>
              <w:pStyle w:val="10"/>
              <w:spacing w:before="241" w:line="186" w:lineRule="auto"/>
              <w:ind w:left="29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5.1</w:t>
            </w:r>
          </w:p>
        </w:tc>
        <w:tc>
          <w:tcPr>
            <w:tcW w:w="1096" w:type="dxa"/>
            <w:vAlign w:val="top"/>
          </w:tcPr>
          <w:p w14:paraId="1477F776">
            <w:pPr>
              <w:pStyle w:val="10"/>
              <w:spacing w:before="241" w:line="186" w:lineRule="auto"/>
              <w:ind w:left="29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5.1</w:t>
            </w:r>
          </w:p>
        </w:tc>
        <w:tc>
          <w:tcPr>
            <w:tcW w:w="1253" w:type="dxa"/>
            <w:vAlign w:val="top"/>
          </w:tcPr>
          <w:p w14:paraId="1FEF34FF">
            <w:pPr>
              <w:pStyle w:val="10"/>
              <w:spacing w:before="240" w:line="187" w:lineRule="auto"/>
              <w:ind w:left="490"/>
            </w:pPr>
            <w:r>
              <w:rPr>
                <w:spacing w:val="-3"/>
              </w:rPr>
              <w:t>100</w:t>
            </w:r>
          </w:p>
        </w:tc>
        <w:tc>
          <w:tcPr>
            <w:tcW w:w="1837" w:type="dxa"/>
            <w:gridSpan w:val="2"/>
            <w:vAlign w:val="top"/>
          </w:tcPr>
          <w:p w14:paraId="51EAAAD9">
            <w:pPr>
              <w:rPr>
                <w:rFonts w:ascii="Arial"/>
                <w:sz w:val="21"/>
              </w:rPr>
            </w:pPr>
          </w:p>
        </w:tc>
      </w:tr>
      <w:tr w14:paraId="4AF5C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vAlign w:val="top"/>
          </w:tcPr>
          <w:p w14:paraId="7666717B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vAlign w:val="top"/>
          </w:tcPr>
          <w:p w14:paraId="764F0E03">
            <w:pPr>
              <w:pStyle w:val="10"/>
              <w:spacing w:before="104" w:line="211" w:lineRule="auto"/>
              <w:ind w:left="1104" w:right="106" w:hanging="984"/>
              <w:rPr>
                <w:rFonts w:hint="eastAsia" w:eastAsia="仿宋"/>
                <w:lang w:eastAsia="zh-CN"/>
              </w:rPr>
            </w:pPr>
            <w:r>
              <w:rPr>
                <w:spacing w:val="-7"/>
              </w:rPr>
              <w:t>其中：</w:t>
            </w:r>
            <w:r>
              <w:rPr>
                <w:rFonts w:hint="eastAsia"/>
                <w:spacing w:val="-7"/>
                <w:lang w:eastAsia="zh-CN"/>
              </w:rPr>
              <w:t>财政拨款</w:t>
            </w:r>
          </w:p>
        </w:tc>
        <w:tc>
          <w:tcPr>
            <w:tcW w:w="991" w:type="dxa"/>
            <w:vAlign w:val="top"/>
          </w:tcPr>
          <w:p w14:paraId="0725EA9E">
            <w:pPr>
              <w:pStyle w:val="10"/>
              <w:spacing w:before="241" w:line="186" w:lineRule="auto"/>
              <w:ind w:left="290"/>
              <w:rPr>
                <w:rFonts w:hint="default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5.1</w:t>
            </w:r>
          </w:p>
        </w:tc>
        <w:tc>
          <w:tcPr>
            <w:tcW w:w="857" w:type="dxa"/>
            <w:vAlign w:val="top"/>
          </w:tcPr>
          <w:p w14:paraId="74A7A2CA">
            <w:pPr>
              <w:pStyle w:val="10"/>
              <w:spacing w:before="241" w:line="186" w:lineRule="auto"/>
              <w:ind w:left="290"/>
              <w:rPr>
                <w:rFonts w:hint="eastAsia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5.1</w:t>
            </w:r>
          </w:p>
        </w:tc>
        <w:tc>
          <w:tcPr>
            <w:tcW w:w="1096" w:type="dxa"/>
            <w:vAlign w:val="top"/>
          </w:tcPr>
          <w:p w14:paraId="7C8EFF0D">
            <w:pPr>
              <w:pStyle w:val="10"/>
              <w:spacing w:before="241" w:line="186" w:lineRule="auto"/>
              <w:ind w:left="290"/>
              <w:rPr>
                <w:rFonts w:hint="eastAsia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5.1</w:t>
            </w:r>
          </w:p>
        </w:tc>
        <w:tc>
          <w:tcPr>
            <w:tcW w:w="3090" w:type="dxa"/>
            <w:gridSpan w:val="3"/>
            <w:vAlign w:val="top"/>
          </w:tcPr>
          <w:p w14:paraId="27383DBF">
            <w:pPr>
              <w:pStyle w:val="10"/>
              <w:spacing w:before="206" w:line="234" w:lineRule="auto"/>
              <w:ind w:left="1496"/>
            </w:pPr>
            <w:r>
              <w:t>/</w:t>
            </w:r>
          </w:p>
        </w:tc>
      </w:tr>
      <w:tr w14:paraId="2F466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7" w:type="dxa"/>
            <w:vMerge w:val="continue"/>
            <w:tcBorders>
              <w:top w:val="nil"/>
            </w:tcBorders>
            <w:vAlign w:val="top"/>
          </w:tcPr>
          <w:p w14:paraId="5437773E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vAlign w:val="top"/>
          </w:tcPr>
          <w:p w14:paraId="398A852D">
            <w:pPr>
              <w:pStyle w:val="10"/>
              <w:spacing w:before="117" w:line="230" w:lineRule="auto"/>
              <w:ind w:left="455"/>
            </w:pPr>
            <w:r>
              <w:rPr>
                <w:spacing w:val="5"/>
              </w:rPr>
              <w:t>补助区县</w:t>
            </w:r>
          </w:p>
        </w:tc>
        <w:tc>
          <w:tcPr>
            <w:tcW w:w="991" w:type="dxa"/>
            <w:vAlign w:val="top"/>
          </w:tcPr>
          <w:p w14:paraId="1E465B86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vAlign w:val="top"/>
          </w:tcPr>
          <w:p w14:paraId="4E3EF20E"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 w14:paraId="0A7AF5D9">
            <w:pPr>
              <w:rPr>
                <w:rFonts w:ascii="Arial"/>
                <w:sz w:val="21"/>
              </w:rPr>
            </w:pPr>
          </w:p>
        </w:tc>
        <w:tc>
          <w:tcPr>
            <w:tcW w:w="3090" w:type="dxa"/>
            <w:gridSpan w:val="3"/>
            <w:vAlign w:val="top"/>
          </w:tcPr>
          <w:p w14:paraId="7847ACF3">
            <w:pPr>
              <w:pStyle w:val="10"/>
              <w:spacing w:before="117" w:line="234" w:lineRule="auto"/>
              <w:ind w:left="1496"/>
            </w:pPr>
            <w:r>
              <w:t>/</w:t>
            </w:r>
          </w:p>
        </w:tc>
      </w:tr>
      <w:tr w14:paraId="78385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27" w:type="dxa"/>
            <w:vMerge w:val="restart"/>
            <w:tcBorders>
              <w:bottom w:val="nil"/>
            </w:tcBorders>
            <w:vAlign w:val="top"/>
          </w:tcPr>
          <w:p w14:paraId="31211E04">
            <w:pPr>
              <w:pStyle w:val="10"/>
              <w:spacing w:before="276" w:line="200" w:lineRule="auto"/>
              <w:ind w:left="221" w:right="204" w:hanging="4"/>
              <w:jc w:val="both"/>
            </w:pPr>
            <w:r>
              <w:rPr>
                <w:spacing w:val="-1"/>
              </w:rPr>
              <w:t>年度</w:t>
            </w:r>
            <w:r>
              <w:t xml:space="preserve"> </w:t>
            </w:r>
            <w:r>
              <w:rPr>
                <w:spacing w:val="-3"/>
              </w:rPr>
              <w:t>总体</w:t>
            </w:r>
            <w:r>
              <w:t xml:space="preserve"> </w:t>
            </w:r>
            <w:r>
              <w:rPr>
                <w:spacing w:val="-3"/>
              </w:rPr>
              <w:t>目标</w:t>
            </w:r>
          </w:p>
        </w:tc>
        <w:tc>
          <w:tcPr>
            <w:tcW w:w="3238" w:type="dxa"/>
            <w:gridSpan w:val="3"/>
            <w:vAlign w:val="top"/>
          </w:tcPr>
          <w:p w14:paraId="28564221">
            <w:pPr>
              <w:pStyle w:val="10"/>
              <w:spacing w:before="112" w:line="231" w:lineRule="auto"/>
              <w:ind w:left="1003"/>
            </w:pPr>
            <w:r>
              <w:rPr>
                <w:spacing w:val="6"/>
              </w:rPr>
              <w:t>年初设定目标</w:t>
            </w:r>
          </w:p>
        </w:tc>
        <w:tc>
          <w:tcPr>
            <w:tcW w:w="4186" w:type="dxa"/>
            <w:gridSpan w:val="4"/>
            <w:vAlign w:val="top"/>
          </w:tcPr>
          <w:p w14:paraId="555BF21D">
            <w:pPr>
              <w:pStyle w:val="10"/>
              <w:spacing w:before="112" w:line="231" w:lineRule="auto"/>
              <w:ind w:left="1059"/>
            </w:pPr>
            <w:r>
              <w:rPr>
                <w:spacing w:val="7"/>
              </w:rPr>
              <w:t>全年目标实际完成情况</w:t>
            </w:r>
          </w:p>
        </w:tc>
      </w:tr>
      <w:tr w14:paraId="2B070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27" w:type="dxa"/>
            <w:vMerge w:val="continue"/>
            <w:tcBorders>
              <w:top w:val="nil"/>
            </w:tcBorders>
            <w:vAlign w:val="top"/>
          </w:tcPr>
          <w:p w14:paraId="258F3C8C">
            <w:pPr>
              <w:rPr>
                <w:rFonts w:ascii="Arial"/>
                <w:sz w:val="21"/>
              </w:rPr>
            </w:pPr>
          </w:p>
        </w:tc>
        <w:tc>
          <w:tcPr>
            <w:tcW w:w="3238" w:type="dxa"/>
            <w:gridSpan w:val="3"/>
            <w:vAlign w:val="top"/>
          </w:tcPr>
          <w:p w14:paraId="3016BF49">
            <w:pPr>
              <w:pStyle w:val="10"/>
              <w:spacing w:before="241" w:line="232" w:lineRule="auto"/>
              <w:ind w:left="585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3"/>
                <w:lang w:eastAsia="zh-CN"/>
              </w:rPr>
              <w:t>该资助让我园</w:t>
            </w:r>
            <w:r>
              <w:rPr>
                <w:rFonts w:hint="eastAsia"/>
                <w:spacing w:val="3"/>
                <w:lang w:val="en-US" w:eastAsia="zh-CN"/>
              </w:rPr>
              <w:t>2024年学前贫困生免交保教费，保障幼儿正常运转。</w:t>
            </w:r>
          </w:p>
        </w:tc>
        <w:tc>
          <w:tcPr>
            <w:tcW w:w="4186" w:type="dxa"/>
            <w:gridSpan w:val="4"/>
            <w:vAlign w:val="top"/>
          </w:tcPr>
          <w:p w14:paraId="7D99825E">
            <w:pPr>
              <w:pStyle w:val="10"/>
              <w:spacing w:before="1" w:line="203" w:lineRule="auto"/>
              <w:ind w:left="529" w:right="109" w:hanging="397"/>
            </w:pPr>
            <w:r>
              <w:rPr>
                <w:spacing w:val="7"/>
              </w:rPr>
              <w:t>严格按照要求用于上级文件精神，建卡贫困生免</w:t>
            </w:r>
            <w:r>
              <w:rPr>
                <w:rFonts w:hint="eastAsia"/>
                <w:spacing w:val="7"/>
                <w:lang w:eastAsia="zh-CN"/>
              </w:rPr>
              <w:t>保教费</w:t>
            </w:r>
            <w:r>
              <w:rPr>
                <w:spacing w:val="8"/>
              </w:rPr>
              <w:t>，减轻了学生家庭负担。</w:t>
            </w:r>
          </w:p>
        </w:tc>
      </w:tr>
      <w:tr w14:paraId="2D625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27" w:type="dxa"/>
            <w:vMerge w:val="restart"/>
            <w:tcBorders>
              <w:bottom w:val="nil"/>
            </w:tcBorders>
            <w:textDirection w:val="tbRlV"/>
            <w:vAlign w:val="top"/>
          </w:tcPr>
          <w:p w14:paraId="7F0B38B1">
            <w:pPr>
              <w:pStyle w:val="10"/>
              <w:spacing w:before="311" w:line="198" w:lineRule="auto"/>
              <w:ind w:left="676"/>
            </w:pPr>
            <w:r>
              <w:rPr>
                <w:spacing w:val="9"/>
              </w:rPr>
              <w:t>绩效指标</w:t>
            </w:r>
          </w:p>
        </w:tc>
        <w:tc>
          <w:tcPr>
            <w:tcW w:w="1390" w:type="dxa"/>
            <w:vAlign w:val="top"/>
          </w:tcPr>
          <w:p w14:paraId="5D9F8461">
            <w:pPr>
              <w:pStyle w:val="10"/>
              <w:spacing w:before="243" w:line="229" w:lineRule="auto"/>
              <w:ind w:left="284"/>
            </w:pPr>
            <w:r>
              <w:rPr>
                <w:spacing w:val="5"/>
              </w:rPr>
              <w:t>指标名称</w:t>
            </w:r>
          </w:p>
        </w:tc>
        <w:tc>
          <w:tcPr>
            <w:tcW w:w="991" w:type="dxa"/>
            <w:vAlign w:val="top"/>
          </w:tcPr>
          <w:p w14:paraId="4DDB1987">
            <w:pPr>
              <w:pStyle w:val="10"/>
              <w:spacing w:before="142" w:line="207" w:lineRule="auto"/>
              <w:ind w:left="401" w:right="178" w:hanging="209"/>
            </w:pPr>
            <w:r>
              <w:rPr>
                <w:spacing w:val="5"/>
              </w:rPr>
              <w:t>计量单</w:t>
            </w:r>
            <w:r>
              <w:t xml:space="preserve"> 位</w:t>
            </w:r>
          </w:p>
        </w:tc>
        <w:tc>
          <w:tcPr>
            <w:tcW w:w="857" w:type="dxa"/>
            <w:vAlign w:val="top"/>
          </w:tcPr>
          <w:p w14:paraId="39FD5C8C">
            <w:pPr>
              <w:pStyle w:val="10"/>
              <w:spacing w:before="143" w:line="207" w:lineRule="auto"/>
              <w:ind w:left="227" w:right="111" w:hanging="98"/>
            </w:pPr>
            <w:r>
              <w:rPr>
                <w:spacing w:val="3"/>
              </w:rPr>
              <w:t>年度指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标值</w:t>
            </w:r>
          </w:p>
        </w:tc>
        <w:tc>
          <w:tcPr>
            <w:tcW w:w="1096" w:type="dxa"/>
            <w:vAlign w:val="top"/>
          </w:tcPr>
          <w:p w14:paraId="2B07B9E1">
            <w:pPr>
              <w:pStyle w:val="10"/>
              <w:spacing w:before="141" w:line="208" w:lineRule="auto"/>
              <w:ind w:left="452" w:right="127" w:hanging="308"/>
            </w:pPr>
            <w:r>
              <w:rPr>
                <w:spacing w:val="4"/>
              </w:rPr>
              <w:t>全年完成</w:t>
            </w:r>
            <w:r>
              <w:rPr>
                <w:spacing w:val="1"/>
              </w:rPr>
              <w:t xml:space="preserve"> </w:t>
            </w:r>
            <w:r>
              <w:t>值</w:t>
            </w:r>
          </w:p>
        </w:tc>
        <w:tc>
          <w:tcPr>
            <w:tcW w:w="3090" w:type="dxa"/>
            <w:gridSpan w:val="3"/>
            <w:vAlign w:val="top"/>
          </w:tcPr>
          <w:p w14:paraId="0943B0F2">
            <w:pPr>
              <w:pStyle w:val="10"/>
              <w:spacing w:before="143" w:line="207" w:lineRule="auto"/>
              <w:ind w:left="508" w:right="178" w:hanging="316"/>
            </w:pPr>
            <w:r>
              <w:rPr>
                <w:spacing w:val="8"/>
              </w:rPr>
              <w:t>未完成绩效目标或偏离较多的 原因，下一步改进措施</w:t>
            </w:r>
          </w:p>
        </w:tc>
      </w:tr>
      <w:tr w14:paraId="54568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AEF592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vAlign w:val="top"/>
          </w:tcPr>
          <w:p w14:paraId="60025CC6">
            <w:pPr>
              <w:pStyle w:val="10"/>
              <w:spacing w:before="124" w:line="232" w:lineRule="auto"/>
              <w:ind w:left="188"/>
            </w:pPr>
            <w:r>
              <w:rPr>
                <w:spacing w:val="5"/>
              </w:rPr>
              <w:t>受益学生数</w:t>
            </w:r>
          </w:p>
        </w:tc>
        <w:tc>
          <w:tcPr>
            <w:tcW w:w="991" w:type="dxa"/>
            <w:vAlign w:val="top"/>
          </w:tcPr>
          <w:p w14:paraId="39B4625A">
            <w:pPr>
              <w:pStyle w:val="10"/>
              <w:spacing w:before="125" w:line="235" w:lineRule="auto"/>
              <w:ind w:left="404"/>
            </w:pPr>
            <w:r>
              <w:t>人</w:t>
            </w:r>
          </w:p>
        </w:tc>
        <w:tc>
          <w:tcPr>
            <w:tcW w:w="857" w:type="dxa"/>
            <w:vAlign w:val="top"/>
          </w:tcPr>
          <w:p w14:paraId="4274CA2F">
            <w:pPr>
              <w:pStyle w:val="10"/>
              <w:spacing w:before="161" w:line="186" w:lineRule="auto"/>
              <w:ind w:left="33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096" w:type="dxa"/>
            <w:vAlign w:val="top"/>
          </w:tcPr>
          <w:p w14:paraId="5F7AE21F">
            <w:pPr>
              <w:pStyle w:val="10"/>
              <w:spacing w:before="161" w:line="186" w:lineRule="auto"/>
              <w:ind w:left="45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3090" w:type="dxa"/>
            <w:gridSpan w:val="3"/>
            <w:vAlign w:val="top"/>
          </w:tcPr>
          <w:p w14:paraId="1333E4AD">
            <w:pPr>
              <w:rPr>
                <w:rFonts w:ascii="Arial"/>
                <w:sz w:val="21"/>
              </w:rPr>
            </w:pPr>
          </w:p>
        </w:tc>
      </w:tr>
      <w:tr w14:paraId="4CC9A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3B5203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vAlign w:val="top"/>
          </w:tcPr>
          <w:p w14:paraId="6E45873C">
            <w:pPr>
              <w:pStyle w:val="10"/>
              <w:spacing w:before="124" w:line="231" w:lineRule="auto"/>
              <w:ind w:left="187"/>
            </w:pPr>
            <w:r>
              <w:rPr>
                <w:spacing w:val="5"/>
              </w:rPr>
              <w:t>学生满意度</w:t>
            </w:r>
          </w:p>
        </w:tc>
        <w:tc>
          <w:tcPr>
            <w:tcW w:w="991" w:type="dxa"/>
            <w:vAlign w:val="top"/>
          </w:tcPr>
          <w:p w14:paraId="7A96A5E1">
            <w:pPr>
              <w:pStyle w:val="10"/>
              <w:spacing w:before="124" w:line="271" w:lineRule="exact"/>
              <w:ind w:left="545"/>
            </w:pPr>
            <w:r>
              <w:rPr>
                <w:spacing w:val="2"/>
                <w:position w:val="1"/>
              </w:rPr>
              <w:t>%</w:t>
            </w:r>
          </w:p>
        </w:tc>
        <w:tc>
          <w:tcPr>
            <w:tcW w:w="857" w:type="dxa"/>
            <w:vAlign w:val="top"/>
          </w:tcPr>
          <w:p w14:paraId="4E19BACD">
            <w:pPr>
              <w:pStyle w:val="10"/>
              <w:spacing w:before="159" w:line="187" w:lineRule="auto"/>
              <w:ind w:left="290"/>
            </w:pPr>
            <w:r>
              <w:rPr>
                <w:spacing w:val="-3"/>
              </w:rPr>
              <w:t>100</w:t>
            </w:r>
          </w:p>
        </w:tc>
        <w:tc>
          <w:tcPr>
            <w:tcW w:w="1096" w:type="dxa"/>
            <w:vAlign w:val="top"/>
          </w:tcPr>
          <w:p w14:paraId="09FF242A">
            <w:pPr>
              <w:pStyle w:val="10"/>
              <w:spacing w:before="159" w:line="187" w:lineRule="auto"/>
              <w:ind w:left="410"/>
            </w:pPr>
            <w:r>
              <w:rPr>
                <w:spacing w:val="-3"/>
              </w:rPr>
              <w:t>100</w:t>
            </w:r>
          </w:p>
        </w:tc>
        <w:tc>
          <w:tcPr>
            <w:tcW w:w="3090" w:type="dxa"/>
            <w:gridSpan w:val="3"/>
            <w:vAlign w:val="top"/>
          </w:tcPr>
          <w:p w14:paraId="45A02051">
            <w:pPr>
              <w:rPr>
                <w:rFonts w:ascii="Arial"/>
                <w:sz w:val="21"/>
              </w:rPr>
            </w:pPr>
          </w:p>
        </w:tc>
      </w:tr>
      <w:tr w14:paraId="103AF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27" w:type="dxa"/>
            <w:vMerge w:val="continue"/>
            <w:tcBorders>
              <w:top w:val="nil"/>
            </w:tcBorders>
            <w:textDirection w:val="tbRlV"/>
            <w:vAlign w:val="top"/>
          </w:tcPr>
          <w:p w14:paraId="1B6DCA2E"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vAlign w:val="top"/>
          </w:tcPr>
          <w:p w14:paraId="7FA01937">
            <w:pPr>
              <w:pStyle w:val="10"/>
              <w:spacing w:before="124" w:line="231" w:lineRule="auto"/>
              <w:ind w:left="287"/>
            </w:pPr>
            <w:r>
              <w:rPr>
                <w:spacing w:val="5"/>
              </w:rPr>
              <w:t>成本指标</w:t>
            </w:r>
          </w:p>
        </w:tc>
        <w:tc>
          <w:tcPr>
            <w:tcW w:w="991" w:type="dxa"/>
            <w:vAlign w:val="top"/>
          </w:tcPr>
          <w:p w14:paraId="76EE2D2E">
            <w:pPr>
              <w:pStyle w:val="10"/>
              <w:spacing w:before="124" w:line="234" w:lineRule="auto"/>
              <w:ind w:left="403"/>
            </w:pPr>
            <w:r>
              <w:rPr>
                <w:spacing w:val="1"/>
              </w:rPr>
              <w:t>万元</w:t>
            </w:r>
          </w:p>
        </w:tc>
        <w:tc>
          <w:tcPr>
            <w:tcW w:w="857" w:type="dxa"/>
            <w:vAlign w:val="top"/>
          </w:tcPr>
          <w:p w14:paraId="2F68AFB8">
            <w:pPr>
              <w:pStyle w:val="10"/>
              <w:spacing w:before="160" w:line="186" w:lineRule="auto"/>
              <w:ind w:left="223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5.1</w:t>
            </w:r>
          </w:p>
        </w:tc>
        <w:tc>
          <w:tcPr>
            <w:tcW w:w="1096" w:type="dxa"/>
            <w:vAlign w:val="top"/>
          </w:tcPr>
          <w:p w14:paraId="07AC7F3D">
            <w:pPr>
              <w:pStyle w:val="10"/>
              <w:spacing w:before="160" w:line="186" w:lineRule="auto"/>
              <w:ind w:left="343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5.1</w:t>
            </w:r>
          </w:p>
        </w:tc>
        <w:tc>
          <w:tcPr>
            <w:tcW w:w="3090" w:type="dxa"/>
            <w:gridSpan w:val="3"/>
            <w:vAlign w:val="top"/>
          </w:tcPr>
          <w:p w14:paraId="439A4653">
            <w:pPr>
              <w:rPr>
                <w:rFonts w:ascii="Arial"/>
                <w:sz w:val="21"/>
              </w:rPr>
            </w:pPr>
          </w:p>
        </w:tc>
      </w:tr>
      <w:tr w14:paraId="48804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27" w:type="dxa"/>
            <w:vAlign w:val="top"/>
          </w:tcPr>
          <w:p w14:paraId="6533B5C9">
            <w:pPr>
              <w:pStyle w:val="10"/>
              <w:spacing w:before="71" w:line="208" w:lineRule="auto"/>
              <w:ind w:left="214" w:right="204"/>
            </w:pPr>
            <w:r>
              <w:rPr>
                <w:spacing w:val="1"/>
              </w:rPr>
              <w:t>其他</w:t>
            </w:r>
            <w:r>
              <w:t xml:space="preserve"> </w:t>
            </w:r>
            <w:r>
              <w:rPr>
                <w:spacing w:val="1"/>
              </w:rPr>
              <w:t>说明</w:t>
            </w:r>
          </w:p>
        </w:tc>
        <w:tc>
          <w:tcPr>
            <w:tcW w:w="7424" w:type="dxa"/>
            <w:gridSpan w:val="7"/>
            <w:vAlign w:val="top"/>
          </w:tcPr>
          <w:p w14:paraId="195867F6">
            <w:pPr>
              <w:rPr>
                <w:rFonts w:ascii="Arial"/>
                <w:sz w:val="21"/>
              </w:rPr>
            </w:pPr>
          </w:p>
        </w:tc>
      </w:tr>
    </w:tbl>
    <w:p w14:paraId="10BD6B4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24"/>
          <w:lang w:val="en-US" w:eastAsia="zh-CN" w:bidi="ar-SA"/>
        </w:rPr>
      </w:pPr>
    </w:p>
    <w:p w14:paraId="402C3C2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Times New Roman" w:hAnsi="Times New Roman" w:eastAsia="方正仿宋_GBK" w:cs="仿宋_GB2312"/>
          <w:sz w:val="32"/>
          <w:szCs w:val="24"/>
          <w:lang w:val="en-US" w:eastAsia="zh-CN" w:bidi="ar-SA"/>
        </w:rPr>
      </w:pPr>
    </w:p>
    <w:p w14:paraId="03FDF38F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0" w:firstLineChars="200"/>
        <w:textAlignment w:val="auto"/>
        <w:rPr>
          <w:rFonts w:hint="eastAsia" w:ascii="Times New Roman" w:hAnsi="Times New Roman" w:eastAsia="方正仿宋_GBK" w:cs="仿宋_GB2312"/>
          <w:sz w:val="32"/>
          <w:szCs w:val="24"/>
          <w:lang w:val="en-US" w:eastAsia="zh-CN" w:bidi="ar-SA"/>
        </w:rPr>
        <w:sectPr>
          <w:footerReference r:id="rId3" w:type="default"/>
          <w:pgSz w:w="11915" w:h="16840"/>
          <w:pgMar w:top="1984" w:right="1446" w:bottom="1644" w:left="1446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787F4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D57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 w14:paraId="0B8E5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DC8431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石柱土家族自治县示范幼儿园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6804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 w14:paraId="050CC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FBF6A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0461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01F39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F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3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 w14:paraId="42AC3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7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2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E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8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6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0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15D8F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C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1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E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0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B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6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914B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4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E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3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20,396,900.88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5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E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B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8968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D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1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0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0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5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7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05D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8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6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9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2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8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2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C1B4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9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7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F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1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8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5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6F2D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7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3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1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4,726,658.15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5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9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21,680,390.94 </w:t>
            </w:r>
          </w:p>
        </w:tc>
      </w:tr>
      <w:tr w14:paraId="1EBA0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6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D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5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5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4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1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2562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4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5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3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1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0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7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2F87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F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3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40B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138,060.00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9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A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2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2,299,608.35 </w:t>
            </w:r>
          </w:p>
        </w:tc>
      </w:tr>
      <w:tr w14:paraId="48D1C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4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426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0B3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A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8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D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673,883.00 </w:t>
            </w:r>
          </w:p>
        </w:tc>
      </w:tr>
      <w:tr w14:paraId="33F2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D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B17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E6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5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8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2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3F67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5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F32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6FE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A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E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F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5F62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F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D58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EE0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7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3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7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A2D7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4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8B1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B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3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A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A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DBB7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B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B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F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9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F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9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0DCE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8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A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3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1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0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F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445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D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7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D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A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5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56F3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0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A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8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7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1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7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54AE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B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8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3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B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3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7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EE30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E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5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2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C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E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2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579,748.40 </w:t>
            </w:r>
          </w:p>
        </w:tc>
      </w:tr>
      <w:tr w14:paraId="5849C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6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7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D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6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1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0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91D3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0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3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0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7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9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A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C4C3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1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E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1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F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7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4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5F9E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EA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D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C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4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A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8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5066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2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5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0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9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C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B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294A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1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7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7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D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A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3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6A77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B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4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F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4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2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0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AE9B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8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D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A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25,261,619.03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2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A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7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25,233,630.69 </w:t>
            </w:r>
          </w:p>
        </w:tc>
      </w:tr>
      <w:tr w14:paraId="49A0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7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3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D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1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F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3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2726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D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8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4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8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99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AE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27,988.34 </w:t>
            </w:r>
          </w:p>
        </w:tc>
      </w:tr>
      <w:tr w14:paraId="15D5A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B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233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1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25,261,619.03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0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F7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17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25,261,619.03</w:t>
            </w:r>
          </w:p>
        </w:tc>
      </w:tr>
    </w:tbl>
    <w:p w14:paraId="4E0A8449"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67AB9F5E"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0E477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586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 w14:paraId="75DB9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AC385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石柱土家族自治县示范幼儿园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7333D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 w14:paraId="573930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41512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 w14:paraId="4689C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8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C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1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2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0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C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0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C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3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EE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1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F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8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6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D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9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C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C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6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088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8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D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A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E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1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7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E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9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B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F21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F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B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9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5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2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B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0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1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0EDE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3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6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D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8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1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25,261,619.03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C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20,396,900.88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5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A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4,726,658.15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6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5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C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138,060.00 </w:t>
            </w:r>
          </w:p>
        </w:tc>
      </w:tr>
      <w:tr w14:paraId="4B9B1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9FF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0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F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21,708,379.28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C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16,843,661.13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2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E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4,726,658.15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B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2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5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138,060.00 </w:t>
            </w:r>
          </w:p>
        </w:tc>
      </w:tr>
      <w:tr w14:paraId="3DCEF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B61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7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7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21,708,379.28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B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16,843,661.13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2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1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4,726,658.15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2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5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2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138,060.00 </w:t>
            </w:r>
          </w:p>
        </w:tc>
      </w:tr>
      <w:tr w14:paraId="7C3F9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BBB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3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7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16,843,661.13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2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16,843,661.13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3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8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D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7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C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B83C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B3F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3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0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4,864,718.15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6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F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4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4,726,658.15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0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3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B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138,060.00 </w:t>
            </w:r>
          </w:p>
        </w:tc>
      </w:tr>
      <w:tr w14:paraId="6A1F1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3D4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5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8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2,299,608.35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2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2,299,608.35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F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2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7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7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C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D4F9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2D5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A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4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2,299,608.35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8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2,299,608.35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2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9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9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A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D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9A41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348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E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4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414,000.00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B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414,000.00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D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F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A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E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D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570D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479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8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1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1,303,776.35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0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1,303,776.35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A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A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0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A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B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91B8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997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0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D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418,512.00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6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418,512.00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0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2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1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3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3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CF3F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E09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E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4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163,320.00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6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163,320.00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1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F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6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4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3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AF3E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4CD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9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C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673,883.00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A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673,883.00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5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0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4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9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3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099B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AB8B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B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D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673,883.00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D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673,883.00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C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B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B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5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5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84E6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8636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C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F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496,983.00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B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496,983.00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A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2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1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3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6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6D37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7FF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6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D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176,900.00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C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176,900.00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F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C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E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F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7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67FB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E54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2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A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579,748.40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0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579,748.40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A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4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4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C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B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85AB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AA40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8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D7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579,748.40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2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579,748.40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3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C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4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3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8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6727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73D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7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4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579,748.40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3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579,748.40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D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2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9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C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1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04571332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17C1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2EF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 w14:paraId="47789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D4BB3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石柱土家族自治县示范幼儿园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963A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 w14:paraId="6BCF6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F67B5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85B0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66A7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 w14:paraId="59B66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3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8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A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1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E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6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3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0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D4F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2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5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F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C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6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A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1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1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75A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3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2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1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2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A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0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E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C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A77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D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0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E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9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1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B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8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C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4E40C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6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2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4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C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E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25,233,630.69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4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17,319,554.38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7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7,914,076.31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D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0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EBA3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1E7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A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7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21,680,390.94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3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13,766,314.63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8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7,914,076.31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6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6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1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9E97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40A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5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A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21,680,390.94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E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13,766,314.63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0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7,914,076.31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7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2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1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D00E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E9D3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D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7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16,843,661.13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F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9,039,656.48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0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7,804,004.65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8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6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1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18AB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CB8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0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0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4,836,729.81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0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4,726,658.15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1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110,071.66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1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F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2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E6E5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2B6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6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2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2,299,608.35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D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2,299,608.35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F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3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C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A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D69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0617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C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3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2,299,608.35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9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2,299,608.35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E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2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3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5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DBC3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CE7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7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7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414,000.00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414,000.00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0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9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D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B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32C4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D18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9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7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1,303,776.35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0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1,303,776.35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5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2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E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5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FEF6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2391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1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6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418,512.00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2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418,512.00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E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3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C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B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533E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F48F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9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C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163,320.00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F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163,320.00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0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A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5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A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6217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3E1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4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7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673,883.00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C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673,883.00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4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A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C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6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35D4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0B15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1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E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673,883.00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1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673,883.00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D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9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6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9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34B3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07EC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1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9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496,983.00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E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496,983.00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A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8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B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2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61E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2219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9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0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176,900.00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F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176,900.00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D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9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6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0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EC39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513A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7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4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579,748.40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D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579,748.40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4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0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B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4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AB3D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EC48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6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B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579,748.40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E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579,748.40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E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7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E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3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4F5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991D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A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1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579,748.40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4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579,748.40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4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0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3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4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4E1B3957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6AE41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CAD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 w14:paraId="66746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EB7D83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石柱土家族自治县示范幼儿园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454B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 w14:paraId="297F4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5B99E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4D59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52E3E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 w14:paraId="2EB0D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 w14:paraId="3166E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A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2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3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8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F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3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E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A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F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D8B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7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6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4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A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A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8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8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C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B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A99B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3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A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6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20,396,900.88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9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6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8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5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C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7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123D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A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3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9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7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F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6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2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0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1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D9D2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9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6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4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3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0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0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1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3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3B8B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6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B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B88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5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9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C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1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2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5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3E66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7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D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30A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5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E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3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16,843,661.13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6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16,843,661.13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2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B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2E31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4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6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77A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2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9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B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7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5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7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B634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0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B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A4F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1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6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A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F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C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F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B361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4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C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A7A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C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B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7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2,299,608.35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3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2,299,608.35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7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7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3F96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A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F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5C4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8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5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673,883.00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7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673,883.00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0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2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193D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F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A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3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C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E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D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1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1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F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7C8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B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F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E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7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0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0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F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A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F582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D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4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B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F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6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E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1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3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1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2542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B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C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4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F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7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9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E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F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8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5DDE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F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8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8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4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2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A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F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8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A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4010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A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C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B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E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0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B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2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7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F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0BE4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2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D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8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3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C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6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A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3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F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285A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7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B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C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2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1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0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B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9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D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29DC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E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4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2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7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D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8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0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4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B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D957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E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9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1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6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D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5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579,748.40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4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579,748.40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1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D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5592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5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B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1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8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7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3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3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33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1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366A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A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C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F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D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7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E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5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9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E80A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1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3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E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1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2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C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B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7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4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44CC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8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0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1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4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1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2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D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E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D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C452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7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2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8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5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A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0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0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0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1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797A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F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B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8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F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0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A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6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2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E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88B0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A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F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A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F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5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0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3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5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4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6F86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B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7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9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20,396,900.88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C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A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C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20,396,900.88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0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20,396,900.88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F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D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E614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1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A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6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9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5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4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6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8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B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ABEE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B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A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8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F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0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F52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927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C31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329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8B5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F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22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9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3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1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D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9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6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D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48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3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7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C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D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C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E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2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4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2C5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F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2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B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20,396,900.88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1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4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D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20,396,900.88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8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20,396,900.88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A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9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4DBDE4E6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6A289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A53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 w14:paraId="6179F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1E9110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石柱土家族自治县示范幼儿园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64C9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 w14:paraId="2FCC9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64B6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C90C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13B8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E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7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1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3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6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A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35C8D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9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2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2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D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4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2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9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2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D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1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8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4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8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8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67314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2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1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6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D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F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E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2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8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8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6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C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2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1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A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1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5E854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5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0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4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1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F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5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2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A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B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F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9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6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9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6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3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05E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0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D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F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0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6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8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7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5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B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9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F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D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2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B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7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9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2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7D48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2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4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E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F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B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F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6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4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20,396,900.88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0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12,592,896.23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A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7,804,004.65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9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20,396,900.88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1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12,592,896.23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A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7,804,004.65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0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A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8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C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B506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A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B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7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4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E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3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16,843,661.13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9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9,039,656.48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2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7,804,004.65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0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16,843,661.13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B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9,039,656.48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0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7,804,004.65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A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7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9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9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1C0C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7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E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普通教育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5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6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F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4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16,843,661.13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5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9,039,656.48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A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7,804,004.65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7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16,843,661.13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D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9,039,656.48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D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7,804,004.65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0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D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3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5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90CE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1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D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学前教育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7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6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4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7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16,843,661.13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A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9,039,656.48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6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7,804,004.65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C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16,843,661.13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B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9,039,656.48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6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7,804,004.65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F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B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3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8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4587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A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B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1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C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4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4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2,299,608.35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C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2,299,608.35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7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9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2,299,608.35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D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2,299,608.35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1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3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A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2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A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8D3A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7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2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5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8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1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8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2,299,608.35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E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2,299,608.35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1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9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2,299,608.35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B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2,299,608.35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9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A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4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9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2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DB20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5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C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A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9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A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1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414,000.00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B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414,000.00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B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5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414,000.00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B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414,000.00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8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5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CE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3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0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CC94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3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0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B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E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4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5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1,303,776.35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E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1,303,776.35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F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6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1,303,776.35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4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1,303,776.35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E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0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3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B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F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3F89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7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D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6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0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3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5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418,512.00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5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418,512.00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5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8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418,512.00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D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418,512.00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3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A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8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2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0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269D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0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1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0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3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B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9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163,320.00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0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163,320.00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8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4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163,320.00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D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163,320.00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B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1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E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D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B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CAB9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0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6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F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A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C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4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673,883.00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F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673,883.00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2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1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673,883.00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A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673,883.00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0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6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6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9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C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3456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D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F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2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A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1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8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673,883.00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8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673,883.00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6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D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673,883.00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2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673,883.00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3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45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3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E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6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611B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0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2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9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9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9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7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496,983.00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E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496,983.00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E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B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496,983.00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2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496,983.00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4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3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5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F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B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FB89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9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0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B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3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B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5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176,900.00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F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176,900.00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B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3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176,900.00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B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176,900.00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3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D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F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F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3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8D37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3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F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6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4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E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B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579,748.40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E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579,748.40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3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7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579,748.40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0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579,748.40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B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8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A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2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F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7CC4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D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5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5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8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D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6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579,748.40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49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579,748.40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7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C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579,748.40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F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579,748.40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6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FD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E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1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9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5F29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6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0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7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3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A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6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579,748.40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E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579,748.40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0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6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579,748.40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C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579,748.40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9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7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A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F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6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422F91B8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026E8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778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 w14:paraId="725A8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74F9E9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石柱土家族自治县示范幼儿园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33A2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 w14:paraId="3169A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2190D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84B3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9A6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 w14:paraId="77759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7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4FD7A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2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1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5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9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2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E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8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C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1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103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91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57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5E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11,073,710.95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EC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39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D8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877,375.28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02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31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35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11,990.00 </w:t>
            </w:r>
          </w:p>
        </w:tc>
      </w:tr>
      <w:tr w14:paraId="65B28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41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6A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CD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2,712,357.00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4A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F3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ADB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549,412.12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81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FB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94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463B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8E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5A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6E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378,320.00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34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C0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FEE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37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1B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13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11,990.00 </w:t>
            </w:r>
          </w:p>
        </w:tc>
      </w:tr>
      <w:tr w14:paraId="48C84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41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FB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CC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3E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32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FE2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D5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BE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3DE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66A6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99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3A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B5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DF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62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160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C5A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8B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B7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BC1D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D0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3D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EA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4,991,606.00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90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8E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41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25,729.68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67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18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CD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9D22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02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3B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D9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1,303,776.35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1F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F1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D39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51,284.60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23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41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C8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7CAA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0B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EC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68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418,512.00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45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5E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62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45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03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54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8F63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A4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03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8CC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523,140.00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73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32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07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10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F0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1A4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89AB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95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25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232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35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9C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757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2E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58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71B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0C7F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64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AF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B4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41,851.20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18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43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56F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80,203.72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E0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73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BD2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2C0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D7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28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B4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579,748.40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0C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D2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5A0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9A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0C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AD3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A9D9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46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3B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5A8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124,400.00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82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F3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16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15,245.00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27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7F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971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AAA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47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BF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B10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03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ED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51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58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19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EB2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DC6B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81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46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61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629,820.00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D0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28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A03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91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84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959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20E0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B0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13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577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6A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F5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3E5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41,975.00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C8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B3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68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056D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B6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EE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868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32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B2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6F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BD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3D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22B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90AB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7E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34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9F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B9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01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41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D7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50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3C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5E79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64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95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23D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FC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B0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65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8B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CD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DE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52B3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C7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20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0BB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577,320.00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4B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C2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14E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DF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EE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3C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CC77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2CA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89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EE8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C1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08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737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32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BF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AB9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C6DF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DB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44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38F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52,500.00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3F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B7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4CA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42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08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658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0DC6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9F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C1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73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BB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BA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4C6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104,628.00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21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F3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23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5CC0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CA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22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2F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D7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56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58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30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ED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6BD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1E9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11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A4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55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B0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9C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61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8,897.16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D9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84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51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5FAC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90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5C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E7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02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D9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2DF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A9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3C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D32AD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7E96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E4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B3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36D9E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46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8C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0E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BA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0947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E1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A70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C66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A858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0640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BA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03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77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73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3FE9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7F2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FD3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B1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6E12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A7D0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5C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7C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E4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C6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9FBD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537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B95A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0E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A1C7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219F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71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A9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FC8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CD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6314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766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 w14:paraId="524C4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FE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A476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F645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B9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86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082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A8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AAB4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12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01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09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C6D1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C224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6D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533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25E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65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867C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0A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BFD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82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83A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2496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41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8B2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92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2A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B170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1C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BD5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BC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2D35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11,703,530.95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58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5A4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889,365.28 </w:t>
            </w:r>
          </w:p>
        </w:tc>
      </w:tr>
    </w:tbl>
    <w:p w14:paraId="0210B368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10789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BA4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 w14:paraId="2A713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B40260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石柱土家族自治县示范幼儿园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83CF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 w14:paraId="08F4D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99AF2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FB38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5F634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6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3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7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0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C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C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4FE92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5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9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E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D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D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F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9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9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4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4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0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1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3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2AF4C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7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6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E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A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7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4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3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B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8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3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3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2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3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8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E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4D2F8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9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A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9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9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C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A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4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E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7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A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4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0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A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3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A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937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2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4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C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F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5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8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D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D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5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A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2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5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2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2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D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B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7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194A9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8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3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8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E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F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8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4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E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6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E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2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6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7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D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B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4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A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4CCE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7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F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0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6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9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D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1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2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3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6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3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9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C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C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6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341D7E40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648F3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262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 w14:paraId="1DD2A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D29EA1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石柱土家族自治县示范幼儿园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9A9F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 w14:paraId="01D84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AA59B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F113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5855C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6699B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33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D6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B5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85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 w14:paraId="0C394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24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B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A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A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7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7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7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1A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1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5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D86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2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F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3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F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4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A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4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D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A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4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5C3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68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F2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04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10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E8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CA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84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FA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66032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DA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C3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8C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37D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FC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743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68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B62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5DC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FE3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D77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F86E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C574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D85E"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E4A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4FE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1F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8A3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565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11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35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024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19001718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0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0933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47E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 w14:paraId="771EF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97753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石柱土家族自治县示范幼儿园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E324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 w14:paraId="4C25E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7D95C5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5D45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49A9A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F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2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4C9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8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2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FA1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4FF20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8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AF6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A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7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8E6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035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FF08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4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055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EDC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8,897.16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F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FAE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E14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3B01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2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591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21E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E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048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C3F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6C22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2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276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5EF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8,897.16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2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9F6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A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37077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4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139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505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0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033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C6F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   </w:t>
            </w:r>
          </w:p>
        </w:tc>
      </w:tr>
      <w:tr w14:paraId="0B411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7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D2E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39F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8,897.16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3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F86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F84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FE5D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C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A33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4F6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6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F09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DDA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2992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D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9B5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5C5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5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04F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576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441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7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B08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32E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6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D10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BD4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</w:tr>
      <w:tr w14:paraId="463D0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8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96B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88D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2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188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A84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F6D0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B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5D0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5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1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5B8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C78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0311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C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133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437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E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002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A90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938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3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7B2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F07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F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201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167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4D1E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D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6D1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D59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A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2CF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D2E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C52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5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01E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C63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B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51B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3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2D18A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4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8B5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CF2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2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E81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B04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12,841,405.00 </w:t>
            </w:r>
          </w:p>
        </w:tc>
      </w:tr>
      <w:tr w14:paraId="0899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5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550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C3C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C0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ED8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FDB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256,042.90 </w:t>
            </w:r>
          </w:p>
        </w:tc>
      </w:tr>
      <w:tr w14:paraId="44896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9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8AC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A63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8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13A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058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12,585,362.10 </w:t>
            </w:r>
          </w:p>
        </w:tc>
      </w:tr>
      <w:tr w14:paraId="62781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F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6C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E23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7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82C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71C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1FB4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1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F7D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7B1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3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F81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921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12,841,405.00 </w:t>
            </w:r>
          </w:p>
        </w:tc>
      </w:tr>
      <w:tr w14:paraId="4CBA3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E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484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001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9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A39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7D5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12,841,405.00 </w:t>
            </w:r>
          </w:p>
        </w:tc>
      </w:tr>
      <w:tr w14:paraId="10EB4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C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7303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AA0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4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47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1DA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E1C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F0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1A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867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41,975.00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5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5A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9B7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8A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03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7D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F21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80,203.72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7D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29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E76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AEADE64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613EECCF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412A571C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1BF6D0E1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480174DD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645B93E9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5A606A20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3F117F8D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3B7DB370"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 w14:paraId="0DDBFB7D">
      <w:pPr>
        <w:pStyle w:val="9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C1CB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2D9C1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2D9C1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35A58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19DA01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19DA01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C5E2DD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EC5E2DD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7B8DF"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5314BC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5314BC"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34F902"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534F902"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9A76B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B8A46"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339A02"/>
    <w:multiLevelType w:val="singleLevel"/>
    <w:tmpl w:val="C5339A0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550ABE"/>
    <w:rsid w:val="007B419D"/>
    <w:rsid w:val="009B67B8"/>
    <w:rsid w:val="00B03CCD"/>
    <w:rsid w:val="00EA6A1F"/>
    <w:rsid w:val="00FE7556"/>
    <w:rsid w:val="01284C10"/>
    <w:rsid w:val="01474EBF"/>
    <w:rsid w:val="01F3521E"/>
    <w:rsid w:val="025F6296"/>
    <w:rsid w:val="03E3214F"/>
    <w:rsid w:val="04446191"/>
    <w:rsid w:val="044C50BA"/>
    <w:rsid w:val="047D1B8C"/>
    <w:rsid w:val="06A2550B"/>
    <w:rsid w:val="06F80EE2"/>
    <w:rsid w:val="07001CCA"/>
    <w:rsid w:val="075678DB"/>
    <w:rsid w:val="07D337E6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CCF0636"/>
    <w:rsid w:val="0D11728C"/>
    <w:rsid w:val="0D673E11"/>
    <w:rsid w:val="0DB50EFE"/>
    <w:rsid w:val="0DD175F1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AC3F15"/>
    <w:rsid w:val="12C921C4"/>
    <w:rsid w:val="136B6F50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115505"/>
    <w:rsid w:val="194A1770"/>
    <w:rsid w:val="19917D9C"/>
    <w:rsid w:val="19B906A4"/>
    <w:rsid w:val="19F46199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07660D"/>
    <w:rsid w:val="202D2863"/>
    <w:rsid w:val="20642787"/>
    <w:rsid w:val="20EB37E6"/>
    <w:rsid w:val="21556F04"/>
    <w:rsid w:val="22403BD3"/>
    <w:rsid w:val="229344EC"/>
    <w:rsid w:val="24B92327"/>
    <w:rsid w:val="2533755C"/>
    <w:rsid w:val="26396DF4"/>
    <w:rsid w:val="27167136"/>
    <w:rsid w:val="27B23302"/>
    <w:rsid w:val="29310A5F"/>
    <w:rsid w:val="2964062C"/>
    <w:rsid w:val="29C37A35"/>
    <w:rsid w:val="29C95E09"/>
    <w:rsid w:val="2A076083"/>
    <w:rsid w:val="2A73162E"/>
    <w:rsid w:val="2B167953"/>
    <w:rsid w:val="2B200583"/>
    <w:rsid w:val="2B4104F9"/>
    <w:rsid w:val="2B8209DE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3C33887"/>
    <w:rsid w:val="352930DB"/>
    <w:rsid w:val="35573069"/>
    <w:rsid w:val="358C217E"/>
    <w:rsid w:val="359F188C"/>
    <w:rsid w:val="35A87AF3"/>
    <w:rsid w:val="362D2433"/>
    <w:rsid w:val="367E6AA5"/>
    <w:rsid w:val="36AF19C0"/>
    <w:rsid w:val="36C9128A"/>
    <w:rsid w:val="37841E99"/>
    <w:rsid w:val="37BF1123"/>
    <w:rsid w:val="37F26E25"/>
    <w:rsid w:val="3834566E"/>
    <w:rsid w:val="38BE4696"/>
    <w:rsid w:val="39166507"/>
    <w:rsid w:val="39B82A39"/>
    <w:rsid w:val="39F33306"/>
    <w:rsid w:val="3AAD1707"/>
    <w:rsid w:val="3B1705E5"/>
    <w:rsid w:val="3B18334B"/>
    <w:rsid w:val="3B36794F"/>
    <w:rsid w:val="3B544954"/>
    <w:rsid w:val="3BF014AD"/>
    <w:rsid w:val="3C6A5B02"/>
    <w:rsid w:val="3D2757A1"/>
    <w:rsid w:val="3D3D4FC4"/>
    <w:rsid w:val="3DAA0180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3FE26DA0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1C3E56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DAC4ACA"/>
    <w:rsid w:val="4EAB4A19"/>
    <w:rsid w:val="4F186D58"/>
    <w:rsid w:val="4FAA710F"/>
    <w:rsid w:val="500104BA"/>
    <w:rsid w:val="50EC262C"/>
    <w:rsid w:val="51072269"/>
    <w:rsid w:val="522F6E0C"/>
    <w:rsid w:val="52463BA1"/>
    <w:rsid w:val="537049BF"/>
    <w:rsid w:val="53C0244D"/>
    <w:rsid w:val="53DD4D4E"/>
    <w:rsid w:val="53E578CE"/>
    <w:rsid w:val="5411465D"/>
    <w:rsid w:val="543B029D"/>
    <w:rsid w:val="545D0246"/>
    <w:rsid w:val="554E5773"/>
    <w:rsid w:val="555A3CBC"/>
    <w:rsid w:val="55CC1183"/>
    <w:rsid w:val="55DB024F"/>
    <w:rsid w:val="56530F5D"/>
    <w:rsid w:val="5842572D"/>
    <w:rsid w:val="5A082C6C"/>
    <w:rsid w:val="5AA25DC7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DCB7330"/>
    <w:rsid w:val="5EFA176D"/>
    <w:rsid w:val="5F0247F9"/>
    <w:rsid w:val="5F2D4A41"/>
    <w:rsid w:val="601C34ED"/>
    <w:rsid w:val="60A958A9"/>
    <w:rsid w:val="60B116A2"/>
    <w:rsid w:val="60D22ADB"/>
    <w:rsid w:val="61025A59"/>
    <w:rsid w:val="613D5BBC"/>
    <w:rsid w:val="61536C39"/>
    <w:rsid w:val="62944DD7"/>
    <w:rsid w:val="63044D7A"/>
    <w:rsid w:val="634D1435"/>
    <w:rsid w:val="63C25DC5"/>
    <w:rsid w:val="63C62057"/>
    <w:rsid w:val="63C73832"/>
    <w:rsid w:val="643E4FFA"/>
    <w:rsid w:val="64D864AF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7731E47"/>
    <w:rsid w:val="692172FD"/>
    <w:rsid w:val="69B61AD7"/>
    <w:rsid w:val="6A3829EE"/>
    <w:rsid w:val="6B474EF5"/>
    <w:rsid w:val="6C560CAE"/>
    <w:rsid w:val="6D0615E4"/>
    <w:rsid w:val="6D903FF5"/>
    <w:rsid w:val="6DA955B8"/>
    <w:rsid w:val="6DE346AB"/>
    <w:rsid w:val="6E4C2A0A"/>
    <w:rsid w:val="6F7F6A2D"/>
    <w:rsid w:val="6FB442D1"/>
    <w:rsid w:val="6FFB2E76"/>
    <w:rsid w:val="703F473F"/>
    <w:rsid w:val="70DF7B65"/>
    <w:rsid w:val="71C34D91"/>
    <w:rsid w:val="71ED38AA"/>
    <w:rsid w:val="720229AA"/>
    <w:rsid w:val="726E07A1"/>
    <w:rsid w:val="72DB435C"/>
    <w:rsid w:val="750837F0"/>
    <w:rsid w:val="764F62AB"/>
    <w:rsid w:val="765C45EC"/>
    <w:rsid w:val="768A7619"/>
    <w:rsid w:val="76E14979"/>
    <w:rsid w:val="77400C32"/>
    <w:rsid w:val="77EA362A"/>
    <w:rsid w:val="7875383E"/>
    <w:rsid w:val="78E059E2"/>
    <w:rsid w:val="790A14F7"/>
    <w:rsid w:val="795310F0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EEC5C51"/>
    <w:rsid w:val="7F1B4B4D"/>
    <w:rsid w:val="7F765B3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5978</Words>
  <Characters>10094</Characters>
  <Lines>161</Lines>
  <Paragraphs>45</Paragraphs>
  <TotalTime>16</TotalTime>
  <ScaleCrop>false</ScaleCrop>
  <LinksUpToDate>false</LinksUpToDate>
  <CharactersWithSpaces>10889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刘大喵子</cp:lastModifiedBy>
  <cp:lastPrinted>2025-10-11T01:46:00Z</cp:lastPrinted>
  <dcterms:modified xsi:type="dcterms:W3CDTF">2025-10-15T08:51:27Z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832222C1D18244A4BC74ADCC205C92FB_13</vt:lpwstr>
  </property>
  <property fmtid="{D5CDD505-2E9C-101B-9397-08002B2CF9AE}" pid="4" name="KSOTemplateDocerSaveRecord">
    <vt:lpwstr>eyJoZGlkIjoiMTNkYmU0MGRmYmU4MjRkMDBlNWM3ZGFlYjljMmNjZDMiLCJ1c2VySWQiOiIyMzY5NDU5NSJ9</vt:lpwstr>
  </property>
</Properties>
</file>