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E2E7A">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石柱土家族自治县交通局（汇总）</w:t>
      </w:r>
    </w:p>
    <w:p w14:paraId="57BAD75B">
      <w:pPr>
        <w:spacing w:line="600" w:lineRule="exact"/>
        <w:jc w:val="center"/>
        <w:rPr>
          <w:rFonts w:ascii="方正小标宋_GBK" w:hAnsi="华文中宋" w:eastAsia="方正小标宋_GBK" w:cs="华文中宋"/>
          <w:sz w:val="44"/>
          <w:szCs w:val="44"/>
        </w:rPr>
      </w:pPr>
      <w:r>
        <w:rPr>
          <w:rFonts w:hint="eastAsia" w:ascii="方正小标宋_GBK" w:hAnsi="华文中宋" w:eastAsia="方正小标宋_GBK" w:cs="华文中宋"/>
          <w:sz w:val="44"/>
          <w:szCs w:val="44"/>
        </w:rPr>
        <w:t>2021年部门预算情况说明</w:t>
      </w:r>
    </w:p>
    <w:p w14:paraId="14ED805B">
      <w:pPr>
        <w:spacing w:line="600" w:lineRule="exact"/>
        <w:ind w:firstLine="880" w:firstLineChars="200"/>
        <w:jc w:val="center"/>
        <w:rPr>
          <w:rFonts w:ascii="华文中宋" w:hAnsi="华文中宋" w:eastAsia="华文中宋" w:cs="华文中宋"/>
          <w:sz w:val="44"/>
          <w:szCs w:val="44"/>
        </w:rPr>
      </w:pPr>
    </w:p>
    <w:p w14:paraId="0F726AD4">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一、单位基本情况</w:t>
      </w:r>
    </w:p>
    <w:p w14:paraId="1CD0B99B">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（一）职能职责</w:t>
      </w:r>
    </w:p>
    <w:p w14:paraId="1D04CA73">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1.贯彻执行交通运输法律、法规、规章和方针政策，组织起草审查涉及交通发展的规范性文件，制定有关的实施细则、管理规定和改革方案，并监督执行；负责交通运输经济运行监测，研究交通运输业发展趋势和重大问题；指导交通行业的体制改革和</w:t>
      </w:r>
      <w:bookmarkStart w:id="0" w:name="_GoBack"/>
      <w:bookmarkEnd w:id="0"/>
      <w:r>
        <w:rPr>
          <w:rFonts w:hint="eastAsia" w:ascii="方正仿宋_GBK" w:hAnsi="仿宋_GB2312" w:eastAsia="方正仿宋_GBK" w:cs="仿宋_GB2312"/>
          <w:sz w:val="32"/>
        </w:rPr>
        <w:t>结构调整。</w:t>
      </w:r>
    </w:p>
    <w:p w14:paraId="22AB303A">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2.拟订全县综合交通发展战略，构建综合交通运输网络；会同有关部门组织编制综合交通运输规划、综合交通建设规划和公路、水路交通中长期规划，并组织实施；组织编制公路建设、航运发展、港口布局、岸线使用、枢纽站场、运力调整等专项规划，并组织实施；负责交通行业综合统计工作；参与拟订物流业发展战略和规划，拟订有关政策和标准并监督实施。</w:t>
      </w:r>
    </w:p>
    <w:p w14:paraId="5FE1CCA7">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3.综合平衡全县交通运力，构建全县综合交通运输体系；组织公路、水运、公共客运等交通各种运输方式，协调中央垂直管理的海事、民航、邮政、铁路等管理机构的涉地相关工作。</w:t>
      </w:r>
    </w:p>
    <w:p w14:paraId="332CBAE7">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4.承担全县道路、水路运输市场监管责任；组织制定道路、水路运输有关政策、准入制度、技术标准和运营规范，并监督实施；指导城乡客运及有关设施规划和管理工作，指导出租汽车行业管理工作。</w:t>
      </w:r>
    </w:p>
    <w:p w14:paraId="6C6DECEB">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5.承担长江水域以外地方水域交通安全监管责任，指导及协调全县水上交通管制、船舶及相关水上设施检验、登记和防止污染、救助打捞、通信导航及危险品运输监督管理工作；负责和协调船员管理有关工作；负责地方管理水域水上交通安全事故、船舶及相关水上设施污染事故的应急处置，依法组织或参与事故调查处理工作。</w:t>
      </w:r>
    </w:p>
    <w:p w14:paraId="013D98A5">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6.负责提出全县公路、水路固定资产投资规模和方向、财政性资金安排意见，按县政府规定权限审批和核准规划内和年度计划规模内固定资产投资项目；负责所属单位国有资产的监督管理。</w:t>
      </w:r>
    </w:p>
    <w:p w14:paraId="5F3AC45F">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7.承担全县公路、水路建设市场监管责任；拟订公路、水路工程建设项目相关政策、制度和技术标准，并监督实施；组织协调全县公路、港口、码头、航道、枢纽站场等交通基础设施建设的工程质量和安全生产监督管理工作，并指导其养护和维护；监督交通建设项目招投标活动。</w:t>
      </w:r>
    </w:p>
    <w:p w14:paraId="67A3F699">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8.承担交通运政、路政、港航、执法管理工作的组织、指导、协调和监督责任。</w:t>
      </w:r>
    </w:p>
    <w:p w14:paraId="170024AA">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9.推动交通行业科技进步，负责新技术、新工艺和新材料在交通行业的推广应用；指导公路、水路行业环境保护和节能减排工作；组织和管理交通运输行业信息化建设；指导交通行业职业技能和技术培训工作。</w:t>
      </w:r>
    </w:p>
    <w:p w14:paraId="436C687E">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10.指导公路、水路行业安全生产和应急管理工作；协调全县交通突发公共事件的应急管理和处置；按规定组织协调重点物资、紧急客货运输和高峰客运；承担交通国防动员有关工作。</w:t>
      </w:r>
    </w:p>
    <w:p w14:paraId="1BAF54D1">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11.负责交通行业对外交流工作，指导利用外资工作；组织开展国际交流合作。</w:t>
      </w:r>
    </w:p>
    <w:p w14:paraId="42D9CD5E">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12.承担交通行业精神文明建设责任，负责交通行业宣传工作。</w:t>
      </w:r>
    </w:p>
    <w:p w14:paraId="3D841B5A">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13.承办县政府交办的其他事项。</w:t>
      </w:r>
    </w:p>
    <w:p w14:paraId="18D1B761">
      <w:pPr>
        <w:pStyle w:val="6"/>
        <w:tabs>
          <w:tab w:val="center" w:pos="4153"/>
          <w:tab w:val="left" w:pos="7275"/>
        </w:tabs>
        <w:spacing w:line="600" w:lineRule="exact"/>
        <w:ind w:left="640" w:firstLine="0" w:firstLineChars="0"/>
        <w:jc w:val="left"/>
        <w:rPr>
          <w:rFonts w:ascii="方正仿宋_GBK" w:hAnsi="仿宋_GB2312" w:eastAsia="方正仿宋_GBK" w:cs="仿宋_GB2312"/>
          <w:sz w:val="32"/>
        </w:rPr>
      </w:pPr>
      <w:r>
        <w:rPr>
          <w:rFonts w:hint="eastAsia" w:ascii="方正仿宋_GBK" w:hAnsi="仿宋_GB2312" w:eastAsia="方正仿宋_GBK" w:cs="仿宋_GB2312"/>
          <w:sz w:val="32"/>
        </w:rPr>
        <w:t>（二）单位构成</w:t>
      </w:r>
    </w:p>
    <w:p w14:paraId="258BC9D4">
      <w:pPr>
        <w:spacing w:line="594"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本单位含1个一级单位、6个二级单位。其中，行政单位2个，事业单位5个。</w:t>
      </w:r>
    </w:p>
    <w:p w14:paraId="53120074">
      <w:pPr>
        <w:pStyle w:val="6"/>
        <w:tabs>
          <w:tab w:val="center" w:pos="4153"/>
          <w:tab w:val="left" w:pos="7275"/>
        </w:tabs>
        <w:spacing w:line="600" w:lineRule="exact"/>
        <w:ind w:firstLine="640"/>
        <w:jc w:val="left"/>
        <w:rPr>
          <w:rFonts w:ascii="方正仿宋_GBK" w:hAnsi="仿宋_GB2312" w:eastAsia="方正仿宋_GBK" w:cs="仿宋_GB2312"/>
          <w:sz w:val="32"/>
        </w:rPr>
      </w:pPr>
      <w:r>
        <w:rPr>
          <w:rFonts w:hint="eastAsia" w:ascii="方正仿宋_GBK" w:hAnsi="仿宋_GB2312" w:eastAsia="方正仿宋_GBK" w:cs="仿宋_GB2312"/>
          <w:sz w:val="32"/>
        </w:rPr>
        <w:t>本部门一级单位内设8个</w:t>
      </w:r>
      <w:r>
        <w:rPr>
          <w:rFonts w:ascii="方正仿宋_GBK" w:hAnsi="仿宋_GB2312" w:eastAsia="方正仿宋_GBK" w:cs="仿宋_GB2312"/>
          <w:sz w:val="32"/>
        </w:rPr>
        <w:t>机构处室</w:t>
      </w:r>
      <w:r>
        <w:rPr>
          <w:rFonts w:hint="eastAsia" w:ascii="方正仿宋_GBK" w:hAnsi="仿宋_GB2312" w:eastAsia="方正仿宋_GBK" w:cs="仿宋_GB2312"/>
          <w:sz w:val="32"/>
        </w:rPr>
        <w:t>，分别是办公室、规划科、财务审计科、组织人事科、建设管理科、行政许可服务科、应急管理科、养护运输科。</w:t>
      </w:r>
      <w:r>
        <w:rPr>
          <w:rFonts w:ascii="方正仿宋_GBK" w:hAnsi="仿宋_GB2312" w:eastAsia="方正仿宋_GBK" w:cs="仿宋_GB2312"/>
          <w:sz w:val="32"/>
        </w:rPr>
        <w:t>下属</w:t>
      </w:r>
      <w:r>
        <w:rPr>
          <w:rFonts w:hint="eastAsia" w:ascii="方正仿宋_GBK" w:hAnsi="仿宋_GB2312" w:eastAsia="方正仿宋_GBK" w:cs="仿宋_GB2312"/>
          <w:sz w:val="32"/>
        </w:rPr>
        <w:t>6个二级</w:t>
      </w:r>
      <w:r>
        <w:rPr>
          <w:rFonts w:ascii="方正仿宋_GBK" w:hAnsi="仿宋_GB2312" w:eastAsia="方正仿宋_GBK" w:cs="仿宋_GB2312"/>
          <w:sz w:val="32"/>
        </w:rPr>
        <w:t>预算单位</w:t>
      </w:r>
      <w:r>
        <w:rPr>
          <w:rFonts w:hint="eastAsia" w:ascii="方正仿宋_GBK" w:hAnsi="仿宋_GB2312" w:eastAsia="方正仿宋_GBK" w:cs="仿宋_GB2312"/>
          <w:sz w:val="32"/>
        </w:rPr>
        <w:t>，分别</w:t>
      </w:r>
      <w:r>
        <w:rPr>
          <w:rFonts w:ascii="方正仿宋_GBK" w:hAnsi="仿宋_GB2312" w:eastAsia="方正仿宋_GBK" w:cs="仿宋_GB2312"/>
          <w:sz w:val="32"/>
        </w:rPr>
        <w:t>是农村公路养护站</w:t>
      </w:r>
      <w:r>
        <w:rPr>
          <w:rFonts w:hint="eastAsia" w:ascii="方正仿宋_GBK" w:hAnsi="仿宋_GB2312" w:eastAsia="方正仿宋_GBK" w:cs="仿宋_GB2312"/>
          <w:sz w:val="32"/>
        </w:rPr>
        <w:t>、</w:t>
      </w:r>
      <w:r>
        <w:rPr>
          <w:rFonts w:ascii="方正仿宋_GBK" w:hAnsi="仿宋_GB2312" w:eastAsia="方正仿宋_GBK" w:cs="仿宋_GB2312"/>
          <w:sz w:val="32"/>
        </w:rPr>
        <w:t>公路事务中心</w:t>
      </w:r>
      <w:r>
        <w:rPr>
          <w:rFonts w:hint="eastAsia" w:ascii="方正仿宋_GBK" w:hAnsi="仿宋_GB2312" w:eastAsia="方正仿宋_GBK" w:cs="仿宋_GB2312"/>
          <w:sz w:val="32"/>
        </w:rPr>
        <w:t>、</w:t>
      </w:r>
      <w:r>
        <w:rPr>
          <w:rFonts w:ascii="方正仿宋_GBK" w:hAnsi="仿宋_GB2312" w:eastAsia="方正仿宋_GBK" w:cs="仿宋_GB2312"/>
          <w:sz w:val="32"/>
        </w:rPr>
        <w:t>交通信息中心</w:t>
      </w:r>
      <w:r>
        <w:rPr>
          <w:rFonts w:hint="eastAsia" w:ascii="方正仿宋_GBK" w:hAnsi="仿宋_GB2312" w:eastAsia="方正仿宋_GBK" w:cs="仿宋_GB2312"/>
          <w:sz w:val="32"/>
        </w:rPr>
        <w:t>、</w:t>
      </w:r>
      <w:r>
        <w:rPr>
          <w:rFonts w:ascii="方正仿宋_GBK" w:hAnsi="仿宋_GB2312" w:eastAsia="方正仿宋_GBK" w:cs="仿宋_GB2312"/>
          <w:sz w:val="32"/>
        </w:rPr>
        <w:t>道路运输事务中心</w:t>
      </w:r>
      <w:r>
        <w:rPr>
          <w:rFonts w:hint="eastAsia" w:ascii="方正仿宋_GBK" w:hAnsi="仿宋_GB2312" w:eastAsia="方正仿宋_GBK" w:cs="仿宋_GB2312"/>
          <w:sz w:val="32"/>
        </w:rPr>
        <w:t>、</w:t>
      </w:r>
      <w:r>
        <w:rPr>
          <w:rFonts w:ascii="方正仿宋_GBK" w:hAnsi="仿宋_GB2312" w:eastAsia="方正仿宋_GBK" w:cs="仿宋_GB2312"/>
          <w:sz w:val="32"/>
        </w:rPr>
        <w:t>港航海事</w:t>
      </w:r>
      <w:r>
        <w:rPr>
          <w:rFonts w:hint="eastAsia" w:ascii="方正仿宋_GBK" w:hAnsi="仿宋_GB2312" w:eastAsia="方正仿宋_GBK" w:cs="仿宋_GB2312"/>
          <w:sz w:val="32"/>
        </w:rPr>
        <w:t>事务</w:t>
      </w:r>
      <w:r>
        <w:rPr>
          <w:rFonts w:ascii="方正仿宋_GBK" w:hAnsi="仿宋_GB2312" w:eastAsia="方正仿宋_GBK" w:cs="仿宋_GB2312"/>
          <w:sz w:val="32"/>
        </w:rPr>
        <w:t>中心</w:t>
      </w:r>
      <w:r>
        <w:rPr>
          <w:rFonts w:hint="eastAsia" w:ascii="方正仿宋_GBK" w:hAnsi="仿宋_GB2312" w:eastAsia="方正仿宋_GBK" w:cs="仿宋_GB2312"/>
          <w:sz w:val="32"/>
        </w:rPr>
        <w:t>、</w:t>
      </w:r>
      <w:r>
        <w:rPr>
          <w:rFonts w:ascii="方正仿宋_GBK" w:hAnsi="仿宋_GB2312" w:eastAsia="方正仿宋_GBK" w:cs="仿宋_GB2312"/>
          <w:sz w:val="32"/>
        </w:rPr>
        <w:t>交通运输综合行政执法支队</w:t>
      </w:r>
      <w:r>
        <w:rPr>
          <w:rFonts w:hint="eastAsia" w:ascii="方正仿宋_GBK" w:hAnsi="仿宋_GB2312" w:eastAsia="方正仿宋_GBK" w:cs="仿宋_GB2312"/>
          <w:sz w:val="32"/>
        </w:rPr>
        <w:t>，</w:t>
      </w:r>
      <w:r>
        <w:rPr>
          <w:rFonts w:ascii="方正仿宋_GBK" w:hAnsi="仿宋_GB2312" w:eastAsia="方正仿宋_GBK" w:cs="仿宋_GB2312"/>
          <w:sz w:val="32"/>
        </w:rPr>
        <w:t>其中</w:t>
      </w:r>
      <w:r>
        <w:rPr>
          <w:rFonts w:hint="eastAsia" w:ascii="方正仿宋_GBK" w:hAnsi="仿宋_GB2312" w:eastAsia="方正仿宋_GBK" w:cs="仿宋_GB2312"/>
          <w:sz w:val="32"/>
        </w:rPr>
        <w:t>，</w:t>
      </w:r>
      <w:r>
        <w:rPr>
          <w:rFonts w:ascii="方正仿宋_GBK" w:hAnsi="仿宋_GB2312" w:eastAsia="方正仿宋_GBK" w:cs="仿宋_GB2312"/>
          <w:sz w:val="32"/>
        </w:rPr>
        <w:t>公路事务中心为独立核算二级预算单位</w:t>
      </w:r>
      <w:r>
        <w:rPr>
          <w:rFonts w:hint="eastAsia" w:ascii="方正仿宋_GBK" w:hAnsi="仿宋_GB2312" w:eastAsia="方正仿宋_GBK" w:cs="仿宋_GB2312"/>
          <w:sz w:val="32"/>
        </w:rPr>
        <w:t>。</w:t>
      </w:r>
    </w:p>
    <w:p w14:paraId="5E79FC35">
      <w:pPr>
        <w:spacing w:line="600" w:lineRule="exact"/>
        <w:ind w:left="640"/>
        <w:rPr>
          <w:rFonts w:ascii="方正仿宋_GBK" w:hAnsi="仿宋_GB2312" w:eastAsia="方正仿宋_GBK" w:cs="仿宋_GB2312"/>
          <w:sz w:val="32"/>
        </w:rPr>
      </w:pPr>
      <w:r>
        <w:rPr>
          <w:rFonts w:hint="eastAsia" w:ascii="方正黑体_GBK" w:hAnsi="黑体" w:eastAsia="方正黑体_GBK" w:cs="仿宋_GB2312"/>
          <w:sz w:val="32"/>
        </w:rPr>
        <w:t>二、部门收支总体情况</w:t>
      </w:r>
    </w:p>
    <w:p w14:paraId="76294167">
      <w:pPr>
        <w:spacing w:line="600" w:lineRule="exact"/>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 xml:space="preserve">（一）收入预算：2021年年初预算数17467.31万元，其中：一般公共预算拨款5762.12万元，政府性基金预算拨款0.00万元，国有资本经营预算收入0.00万元，事业收入0.00万元，事业单位经营收入0.00万元，其他收入0.00万元, </w:t>
      </w:r>
      <w:r>
        <w:rPr>
          <w:rFonts w:hint="eastAsia" w:ascii="方正仿宋_GBK" w:hAnsi="仿宋_GB2312" w:eastAsia="方正仿宋_GBK" w:cs="仿宋_GB2312"/>
          <w:sz w:val="32"/>
          <w:szCs w:val="32"/>
        </w:rPr>
        <w:t>上年结转一般公共预算拨款1.99万元，</w:t>
      </w:r>
      <w:r>
        <w:rPr>
          <w:rFonts w:hint="eastAsia" w:ascii="方正仿宋_GBK" w:hAnsi="仿宋_GB2312" w:eastAsia="方正仿宋_GBK" w:cs="仿宋_GB2312"/>
          <w:sz w:val="32"/>
        </w:rPr>
        <w:t>上年结转政府性基金预算拨款11703.20万元。收入较2020年增加3452.42万元，主要是人员和项目经费拨款增加3452.42万元。</w:t>
      </w:r>
    </w:p>
    <w:p w14:paraId="3F81EFD1">
      <w:pPr>
        <w:spacing w:line="600" w:lineRule="exact"/>
        <w:ind w:firstLine="640" w:firstLineChars="200"/>
        <w:rPr>
          <w:rFonts w:ascii="方正仿宋_GBK" w:hAnsi="仿宋_GB2312" w:eastAsia="方正仿宋_GBK" w:cs="仿宋_GB2312"/>
          <w:color w:val="000000" w:themeColor="text1"/>
          <w:sz w:val="32"/>
        </w:rPr>
      </w:pPr>
      <w:r>
        <w:rPr>
          <w:rFonts w:hint="eastAsia" w:ascii="方正仿宋_GBK" w:hAnsi="仿宋_GB2312" w:eastAsia="方正仿宋_GBK" w:cs="仿宋_GB2312"/>
          <w:sz w:val="32"/>
        </w:rPr>
        <w:t>（二）支出预算：2021年年初预算数17467.31万元，其中：一般公共服务支出预算0.00万元，教育支出预算0.00万元，社会保障和就业支出预算370.62万元，卫生健康支出预算142.81万元，住房保障支出预算152.75万元，</w:t>
      </w:r>
      <w:r>
        <w:rPr>
          <w:rFonts w:hint="eastAsia" w:ascii="方正仿宋_GBK" w:hAnsi="仿宋_GB2312" w:eastAsia="方正仿宋_GBK" w:cs="仿宋_GB2312"/>
          <w:sz w:val="32"/>
          <w:szCs w:val="32"/>
        </w:rPr>
        <w:t>节能环保支出0.77万元，交通运输支出5097.16万元，城乡社区支出11703.2万元</w:t>
      </w:r>
      <w:r>
        <w:rPr>
          <w:rFonts w:hint="eastAsia" w:ascii="方正仿宋_GBK" w:hAnsi="仿宋_GB2312" w:eastAsia="方正仿宋_GBK" w:cs="仿宋_GB2312"/>
          <w:sz w:val="32"/>
        </w:rPr>
        <w:t>。</w:t>
      </w:r>
      <w:r>
        <w:rPr>
          <w:rFonts w:hint="eastAsia" w:ascii="方正仿宋_GBK" w:hAnsi="仿宋_GB2312" w:eastAsia="方正仿宋_GBK" w:cs="仿宋_GB2312"/>
          <w:color w:val="000000" w:themeColor="text1"/>
          <w:sz w:val="32"/>
        </w:rPr>
        <w:t>支出预算较2020年增加3452.42万元，主要是基本支出预算增加360.66万元，项目支出预算增加3091.76万元。</w:t>
      </w:r>
    </w:p>
    <w:p w14:paraId="02E07B44">
      <w:pPr>
        <w:spacing w:line="600" w:lineRule="exact"/>
        <w:ind w:left="640"/>
        <w:rPr>
          <w:rFonts w:ascii="方正黑体_GBK" w:hAnsi="黑体" w:eastAsia="方正黑体_GBK" w:cs="仿宋_GB2312"/>
          <w:color w:val="000000" w:themeColor="text1"/>
          <w:sz w:val="32"/>
        </w:rPr>
      </w:pPr>
      <w:r>
        <w:rPr>
          <w:rFonts w:hint="eastAsia" w:ascii="方正黑体_GBK" w:hAnsi="黑体" w:eastAsia="方正黑体_GBK" w:cs="仿宋_GB2312"/>
          <w:color w:val="000000" w:themeColor="text1"/>
          <w:sz w:val="32"/>
        </w:rPr>
        <w:t>三、部门预算情况说明</w:t>
      </w:r>
    </w:p>
    <w:p w14:paraId="324EF35C">
      <w:pPr>
        <w:spacing w:line="600" w:lineRule="exact"/>
        <w:ind w:firstLine="640" w:firstLineChars="200"/>
        <w:rPr>
          <w:rFonts w:ascii="方正仿宋_GBK" w:hAnsi="仿宋_GB2312" w:eastAsia="方正仿宋_GBK" w:cs="仿宋_GB2312"/>
          <w:color w:val="FF0000"/>
          <w:sz w:val="32"/>
        </w:rPr>
      </w:pPr>
      <w:r>
        <w:rPr>
          <w:rFonts w:hint="eastAsia" w:ascii="方正仿宋_GBK" w:hAnsi="仿宋_GB2312" w:eastAsia="方正仿宋_GBK" w:cs="仿宋_GB2312"/>
          <w:color w:val="FF0000"/>
          <w:sz w:val="32"/>
        </w:rPr>
        <w:t>2021年一般公共预算财政拨款收入5764.11万元，一般公共预算财政拨款支出5764.11万元，比2020年增加263.41万元。其中：基本支出4084.12万元，比2020年增加360.66万元，主要原因是工资福利和公用经费增加，主要用于保障在职人员工资福利及社会保险缴费等，保障部门正常运转的各项商品服务支出；项目支出1679.99万元，比2020年减少97.25万元，主要原因本年度政府性基金安排项目，一般公共预算财政拨款项目经费减少，该资金主要用于公路水路运输、公路养护、公路建设等工作。</w:t>
      </w:r>
    </w:p>
    <w:p w14:paraId="4E52A2E9">
      <w:pPr>
        <w:spacing w:line="600" w:lineRule="exact"/>
        <w:ind w:firstLine="640" w:firstLineChars="200"/>
        <w:rPr>
          <w:rFonts w:ascii="方正仿宋_GBK" w:hAnsi="仿宋_GB2312" w:eastAsia="方正仿宋_GBK" w:cs="仿宋_GB2312"/>
          <w:color w:val="000000" w:themeColor="text1"/>
          <w:sz w:val="32"/>
        </w:rPr>
      </w:pPr>
      <w:r>
        <w:rPr>
          <w:rFonts w:hint="eastAsia" w:ascii="方正仿宋_GBK" w:hAnsi="仿宋_GB2312" w:eastAsia="方正仿宋_GBK" w:cs="仿宋_GB2312"/>
          <w:color w:val="FF0000"/>
          <w:sz w:val="32"/>
        </w:rPr>
        <w:t>2021年政府性基金预算收入11703.20万元，政府性基金预算支出11703.20万元，比2020年增加3189.01万元，主要原因是本年度政府性基金项目预算增加，主要用于国省道及农村公路建设养护。</w:t>
      </w:r>
    </w:p>
    <w:p w14:paraId="2BDD105E">
      <w:pPr>
        <w:spacing w:line="600" w:lineRule="exact"/>
        <w:ind w:left="640"/>
        <w:rPr>
          <w:rFonts w:ascii="方正仿宋_GBK" w:hAnsi="黑体" w:eastAsia="方正仿宋_GBK" w:cs="仿宋_GB2312"/>
          <w:color w:val="000000" w:themeColor="text1"/>
          <w:sz w:val="32"/>
        </w:rPr>
      </w:pPr>
      <w:r>
        <w:rPr>
          <w:rFonts w:hint="eastAsia" w:ascii="方正黑体_GBK" w:hAnsi="黑体" w:eastAsia="方正黑体_GBK" w:cs="仿宋_GB2312"/>
          <w:color w:val="000000" w:themeColor="text1"/>
          <w:sz w:val="32"/>
        </w:rPr>
        <w:t>四、“三公”经费情况说明</w:t>
      </w:r>
    </w:p>
    <w:p w14:paraId="0DD8FD8B">
      <w:pPr>
        <w:spacing w:line="600" w:lineRule="exact"/>
        <w:ind w:firstLine="600"/>
        <w:rPr>
          <w:rFonts w:ascii="方正仿宋_GBK" w:hAnsi="仿宋_GB2312" w:eastAsia="方正仿宋_GBK" w:cs="仿宋_GB2312"/>
          <w:sz w:val="32"/>
        </w:rPr>
      </w:pPr>
      <w:r>
        <w:rPr>
          <w:rFonts w:hint="eastAsia" w:ascii="方正仿宋_GBK" w:hAnsi="仿宋_GB2312" w:eastAsia="方正仿宋_GBK" w:cs="仿宋_GB2312"/>
          <w:color w:val="000000" w:themeColor="text1"/>
          <w:sz w:val="32"/>
        </w:rPr>
        <w:t>2021年“三公”经费预算65.02万元，比2020年减少6万元。其中：因公出国（境）费用0.00万元，比较2020年不变，主要原因是无因公出国（境）费用；公务接待费11.26万元，比2020年减少0.00万元，主要原因是</w:t>
      </w:r>
      <w:r>
        <w:rPr>
          <w:rFonts w:hint="eastAsia" w:ascii="方正仿宋_GBK" w:hAnsi="仿宋_GB2312" w:eastAsia="方正仿宋_GBK" w:cs="仿宋_GB2312"/>
          <w:color w:val="000000" w:themeColor="text1"/>
          <w:sz w:val="32"/>
          <w:szCs w:val="32"/>
        </w:rPr>
        <w:t>例行中央八项规定，减少接待费支出</w:t>
      </w:r>
      <w:r>
        <w:rPr>
          <w:rFonts w:hint="eastAsia" w:ascii="方正仿宋_GBK" w:hAnsi="仿宋_GB2312" w:eastAsia="方正仿宋_GBK" w:cs="仿宋_GB2312"/>
          <w:color w:val="000000" w:themeColor="text1"/>
          <w:sz w:val="32"/>
        </w:rPr>
        <w:t>；公务用车运行维护费53.76元，比2020年减少6万元，主</w:t>
      </w:r>
      <w:r>
        <w:rPr>
          <w:rFonts w:hint="eastAsia" w:ascii="方正仿宋_GBK" w:hAnsi="仿宋_GB2312" w:eastAsia="方正仿宋_GBK" w:cs="仿宋_GB2312"/>
          <w:sz w:val="32"/>
        </w:rPr>
        <w:t>要原因是节约开支，减少公务用车；公务用车购置费0.00万元，比2020年减少0.00万元；主要原因是无公务用车购置费。</w:t>
      </w:r>
    </w:p>
    <w:p w14:paraId="1CC53741">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五、其他重要事项的情况说明</w:t>
      </w:r>
    </w:p>
    <w:p w14:paraId="461EA4C8">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1．机关运行经费。2021年一般公共预算财政拨款运行经费   482.33万元，比上年增加227.65万元，主要原因为2020年二级单位独立核算，仅行政单位有机关运行经费，2021年二级单位并入本级统一核算，统称机关运行经费。主要用于办公费、印刷费、邮电费、水电费、物管费、差旅费、会议费、培训费及其他商品和服务支出等。</w:t>
      </w:r>
    </w:p>
    <w:p w14:paraId="0DDA5317">
      <w:pPr>
        <w:ind w:firstLine="640" w:firstLineChars="200"/>
        <w:rPr>
          <w:rFonts w:ascii="方正仿宋_GBK" w:hAnsi="仿宋_GB2312" w:eastAsia="方正仿宋_GBK" w:cs="仿宋_GB2312"/>
          <w:sz w:val="32"/>
        </w:rPr>
      </w:pPr>
      <w:r>
        <w:rPr>
          <w:rFonts w:hint="eastAsia" w:ascii="方正仿宋_GBK" w:hAnsi="仿宋_GB2312" w:eastAsia="方正仿宋_GBK" w:cs="仿宋_GB2312"/>
          <w:sz w:val="32"/>
        </w:rPr>
        <w:t>2．政府采购情况。所属各预算单位政府采购预算总额51.20万元：政府采购货物预算51.20万元、政府采购工程预算0.00万元、政府采购服务预算0.00万元；其中一般公共预算拨款政府采购51.2万元：政府采购货物预算51.20万元、政府采购工程预算0.00万元、政府采购服务预算0.00万元。</w:t>
      </w:r>
    </w:p>
    <w:p w14:paraId="12FE7924">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sz w:val="32"/>
        </w:rPr>
        <w:t>3．绩效目标设置情况。</w:t>
      </w:r>
      <w:r>
        <w:rPr>
          <w:rFonts w:hint="eastAsia" w:ascii="方正仿宋_GBK" w:hAnsi="仿宋_GB2312" w:eastAsia="方正仿宋_GBK" w:cs="仿宋_GB2312"/>
          <w:color w:val="000000"/>
          <w:sz w:val="32"/>
        </w:rPr>
        <w:t>2021年项目支出均实行了绩效目标管理，涉及一般公共预算当年财政拨款1678万元。</w:t>
      </w:r>
    </w:p>
    <w:p w14:paraId="62819382">
      <w:pPr>
        <w:ind w:firstLine="640" w:firstLineChars="200"/>
        <w:rPr>
          <w:rFonts w:ascii="方正仿宋_GBK" w:hAnsi="仿宋_GB2312" w:eastAsia="方正仿宋_GBK" w:cs="仿宋_GB2312"/>
          <w:color w:val="000000"/>
          <w:sz w:val="32"/>
        </w:rPr>
      </w:pPr>
      <w:r>
        <w:rPr>
          <w:rFonts w:hint="eastAsia" w:ascii="方正仿宋_GBK" w:hAnsi="仿宋_GB2312" w:eastAsia="方正仿宋_GBK" w:cs="仿宋_GB2312"/>
          <w:color w:val="000000"/>
          <w:sz w:val="32"/>
        </w:rPr>
        <w:t>4．国有资产占有使用情况。</w:t>
      </w:r>
      <w:r>
        <w:rPr>
          <w:rFonts w:hint="eastAsia" w:ascii="方正仿宋_GBK" w:hAnsi="仿宋_GB2312" w:eastAsia="方正仿宋_GBK" w:cs="仿宋_GB2312"/>
          <w:color w:val="000000"/>
          <w:sz w:val="32"/>
          <w:lang w:eastAsia="zh-CN"/>
        </w:rPr>
        <w:t>截至</w:t>
      </w:r>
      <w:r>
        <w:rPr>
          <w:rFonts w:hint="eastAsia" w:ascii="方正仿宋_GBK" w:hAnsi="仿宋_GB2312" w:eastAsia="方正仿宋_GBK" w:cs="仿宋_GB2312"/>
          <w:color w:val="000000"/>
          <w:sz w:val="32"/>
        </w:rPr>
        <w:t>2020年12月，所属各预算单位共有车辆20辆，其中一般公务用车20辆。2021年一般公共预算安排购置车辆0 辆，其中一般公务用车0辆。</w:t>
      </w:r>
    </w:p>
    <w:p w14:paraId="5D296AA3">
      <w:pPr>
        <w:spacing w:line="600" w:lineRule="exact"/>
        <w:ind w:left="640"/>
        <w:rPr>
          <w:rFonts w:ascii="方正黑体_GBK" w:hAnsi="黑体" w:eastAsia="方正黑体_GBK" w:cs="仿宋_GB2312"/>
          <w:sz w:val="32"/>
        </w:rPr>
      </w:pPr>
      <w:r>
        <w:rPr>
          <w:rFonts w:hint="eastAsia" w:ascii="方正黑体_GBK" w:hAnsi="黑体" w:eastAsia="方正黑体_GBK" w:cs="仿宋_GB2312"/>
          <w:sz w:val="32"/>
        </w:rPr>
        <w:t>六、专业性名词解释</w:t>
      </w:r>
    </w:p>
    <w:p w14:paraId="1104D112">
      <w:pPr>
        <w:pStyle w:val="6"/>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（一）财政拨款收入：指本年度从本级财政部门取得的财政拨款，包括一般公共预算财政拨款和政府性基金预算财政拨款。</w:t>
      </w:r>
    </w:p>
    <w:p w14:paraId="4C37D7E0">
      <w:pPr>
        <w:pStyle w:val="6"/>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（二）基本支出：指为保障机构正常运转、完成日常工作任务而发生的人员经费和公用经费。</w:t>
      </w:r>
    </w:p>
    <w:p w14:paraId="298ED160">
      <w:pPr>
        <w:pStyle w:val="6"/>
        <w:tabs>
          <w:tab w:val="center" w:pos="4153"/>
          <w:tab w:val="left" w:pos="7275"/>
        </w:tabs>
        <w:spacing w:line="600" w:lineRule="exact"/>
        <w:ind w:firstLine="640"/>
        <w:jc w:val="left"/>
        <w:rPr>
          <w:rFonts w:ascii="方正仿宋_GBK" w:eastAsia="方正仿宋_GBK"/>
          <w:sz w:val="32"/>
          <w:szCs w:val="32"/>
        </w:rPr>
      </w:pPr>
      <w:r>
        <w:rPr>
          <w:rFonts w:hint="eastAsia" w:ascii="方正仿宋_GBK" w:eastAsia="方正仿宋_GBK"/>
          <w:sz w:val="32"/>
          <w:szCs w:val="32"/>
        </w:rPr>
        <w:t>（三）项目支出：指在基本支出之外为完成特定行政任务和事业发展目标所发生的支出。</w:t>
      </w:r>
    </w:p>
    <w:p w14:paraId="117C09F6">
      <w:pPr>
        <w:ind w:firstLine="640" w:firstLineChars="200"/>
        <w:rPr>
          <w:rFonts w:ascii="方正仿宋_GBK" w:hAnsi="仿宋_GB2312" w:eastAsia="方正仿宋_GBK" w:cs="仿宋_GB2312"/>
          <w:color w:val="000000"/>
          <w:sz w:val="32"/>
        </w:rPr>
      </w:pPr>
      <w:r>
        <w:rPr>
          <w:rFonts w:hint="eastAsia" w:ascii="方正仿宋_GBK" w:eastAsia="方正仿宋_GBK"/>
          <w:sz w:val="32"/>
          <w:szCs w:val="32"/>
        </w:rPr>
        <w:t>（四）“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BFACAA7">
      <w:pPr>
        <w:ind w:firstLine="643" w:firstLineChars="200"/>
        <w:rPr>
          <w:rFonts w:ascii="仿宋_GB2312" w:hAnsi="仿宋_GB2312" w:eastAsia="仿宋_GB2312" w:cs="仿宋_GB2312"/>
          <w:b/>
          <w:sz w:val="32"/>
        </w:rPr>
      </w:pPr>
      <w:r>
        <w:rPr>
          <w:rFonts w:hint="eastAsia" w:ascii="方正仿宋_GBK" w:hAnsi="仿宋_GB2312" w:eastAsia="方正仿宋_GBK" w:cs="仿宋_GB2312"/>
          <w:b/>
          <w:sz w:val="32"/>
        </w:rPr>
        <w:t xml:space="preserve">部门预算公开联系人：冉光建  联系方式：13896893288  </w:t>
      </w:r>
    </w:p>
    <w:p w14:paraId="5DD44288"/>
    <w:sectPr>
      <w:pgSz w:w="11906" w:h="16838"/>
      <w:pgMar w:top="1440" w:right="1440" w:bottom="144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Arial Unicode MS"/>
    <w:panose1 w:val="02000000000000000000"/>
    <w:charset w:val="86"/>
    <w:family w:val="auto"/>
    <w:pitch w:val="default"/>
    <w:sig w:usb0="00000000" w:usb1="00000000" w:usb2="00082016" w:usb3="00000000" w:csb0="00040001" w:csb1="00000000"/>
  </w:font>
  <w:font w:name="华文中宋">
    <w:panose1 w:val="02010600040101010101"/>
    <w:charset w:val="86"/>
    <w:family w:val="auto"/>
    <w:pitch w:val="default"/>
    <w:sig w:usb0="00000287" w:usb1="080F0000" w:usb2="00000000" w:usb3="00000000" w:csb0="0004009F" w:csb1="DFD70000"/>
  </w:font>
  <w:font w:name="方正黑体_GBK">
    <w:altName w:val="Arial Unicode MS"/>
    <w:panose1 w:val="02000000000000000000"/>
    <w:charset w:val="86"/>
    <w:family w:val="auto"/>
    <w:pitch w:val="default"/>
    <w:sig w:usb0="00000000" w:usb1="00000000" w:usb2="00082016" w:usb3="00000000" w:csb0="00040001" w:csb1="00000000"/>
  </w:font>
  <w:font w:name="苹方-简">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方正仿宋_GBK">
    <w:panose1 w:val="03000509000000000000"/>
    <w:charset w:val="86"/>
    <w:family w:val="script"/>
    <w:pitch w:val="default"/>
    <w:sig w:usb0="00000001" w:usb1="080E0000" w:usb2="00000000" w:usb3="00000000" w:csb0="00040000" w:csb1="00000000"/>
  </w:font>
  <w:font w:name="KSOF51D5AD36">
    <w:panose1 w:val="020B0604020202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k5MDcwMmY4ZWNlOGM5NzQ3Zjc1N2ZhNDUxNjljYjIifQ=="/>
  </w:docVars>
  <w:rsids>
    <w:rsidRoot w:val="36591F30"/>
    <w:rsid w:val="00136545"/>
    <w:rsid w:val="00236943"/>
    <w:rsid w:val="00292BAB"/>
    <w:rsid w:val="007145E8"/>
    <w:rsid w:val="00742FB5"/>
    <w:rsid w:val="00995C17"/>
    <w:rsid w:val="00A152D6"/>
    <w:rsid w:val="00DA2880"/>
    <w:rsid w:val="00E501A6"/>
    <w:rsid w:val="02182ED7"/>
    <w:rsid w:val="02A66C6B"/>
    <w:rsid w:val="03991DF6"/>
    <w:rsid w:val="04B05649"/>
    <w:rsid w:val="06712BB6"/>
    <w:rsid w:val="078F59E9"/>
    <w:rsid w:val="07DE24CD"/>
    <w:rsid w:val="08471E20"/>
    <w:rsid w:val="0AFD3352"/>
    <w:rsid w:val="0C692CAD"/>
    <w:rsid w:val="0DCB34F3"/>
    <w:rsid w:val="0F423341"/>
    <w:rsid w:val="10DB3A4D"/>
    <w:rsid w:val="1122342A"/>
    <w:rsid w:val="11B06C88"/>
    <w:rsid w:val="11BB73DB"/>
    <w:rsid w:val="11F33019"/>
    <w:rsid w:val="11F76665"/>
    <w:rsid w:val="1223727C"/>
    <w:rsid w:val="12681311"/>
    <w:rsid w:val="13D50C28"/>
    <w:rsid w:val="151B4D60"/>
    <w:rsid w:val="15E46F00"/>
    <w:rsid w:val="18BB3557"/>
    <w:rsid w:val="18F02060"/>
    <w:rsid w:val="19241D0A"/>
    <w:rsid w:val="1BDB0DA5"/>
    <w:rsid w:val="1C493F61"/>
    <w:rsid w:val="1C7F3E27"/>
    <w:rsid w:val="1CBF5FD1"/>
    <w:rsid w:val="1CD852E5"/>
    <w:rsid w:val="1E1862E1"/>
    <w:rsid w:val="1EC71AB5"/>
    <w:rsid w:val="1ECE4BF1"/>
    <w:rsid w:val="1F2111C5"/>
    <w:rsid w:val="1F4153C3"/>
    <w:rsid w:val="226F0499"/>
    <w:rsid w:val="26192BF6"/>
    <w:rsid w:val="28B44E58"/>
    <w:rsid w:val="293B2E83"/>
    <w:rsid w:val="299B4658"/>
    <w:rsid w:val="2AE35581"/>
    <w:rsid w:val="2BEB6DE3"/>
    <w:rsid w:val="2C9F3729"/>
    <w:rsid w:val="2E2E2FB7"/>
    <w:rsid w:val="2F6A2714"/>
    <w:rsid w:val="324803BF"/>
    <w:rsid w:val="34052A0C"/>
    <w:rsid w:val="340C3D9A"/>
    <w:rsid w:val="36591F30"/>
    <w:rsid w:val="37645C9B"/>
    <w:rsid w:val="386F66A6"/>
    <w:rsid w:val="38A00F55"/>
    <w:rsid w:val="39E80D0A"/>
    <w:rsid w:val="3C0B2B89"/>
    <w:rsid w:val="3CE21B3C"/>
    <w:rsid w:val="3CEC29BB"/>
    <w:rsid w:val="3D5440BC"/>
    <w:rsid w:val="3E012496"/>
    <w:rsid w:val="3ECF7E9E"/>
    <w:rsid w:val="3FFA719D"/>
    <w:rsid w:val="40860A30"/>
    <w:rsid w:val="42CB6BCE"/>
    <w:rsid w:val="43C26223"/>
    <w:rsid w:val="4549052D"/>
    <w:rsid w:val="45633A36"/>
    <w:rsid w:val="458A2D71"/>
    <w:rsid w:val="45EE1552"/>
    <w:rsid w:val="46FC1A4C"/>
    <w:rsid w:val="47217705"/>
    <w:rsid w:val="473C453F"/>
    <w:rsid w:val="48831CF9"/>
    <w:rsid w:val="4BB5639C"/>
    <w:rsid w:val="4BE07B8E"/>
    <w:rsid w:val="4BF47196"/>
    <w:rsid w:val="4C1B0BC7"/>
    <w:rsid w:val="4D537EEC"/>
    <w:rsid w:val="4E8C7B5A"/>
    <w:rsid w:val="50033E4B"/>
    <w:rsid w:val="50334005"/>
    <w:rsid w:val="50720FD1"/>
    <w:rsid w:val="521045FE"/>
    <w:rsid w:val="529945F3"/>
    <w:rsid w:val="52CA50F4"/>
    <w:rsid w:val="530A3743"/>
    <w:rsid w:val="55236D3E"/>
    <w:rsid w:val="56570A4D"/>
    <w:rsid w:val="56DA342C"/>
    <w:rsid w:val="577675F9"/>
    <w:rsid w:val="57BD5228"/>
    <w:rsid w:val="58112E7E"/>
    <w:rsid w:val="58586CFE"/>
    <w:rsid w:val="587358E6"/>
    <w:rsid w:val="58D345D7"/>
    <w:rsid w:val="5B3F7D02"/>
    <w:rsid w:val="5B5473DC"/>
    <w:rsid w:val="5D4806FF"/>
    <w:rsid w:val="5F0642A9"/>
    <w:rsid w:val="5FC93F22"/>
    <w:rsid w:val="621E4B15"/>
    <w:rsid w:val="62397BA1"/>
    <w:rsid w:val="64D4595F"/>
    <w:rsid w:val="67401089"/>
    <w:rsid w:val="676E5BF7"/>
    <w:rsid w:val="69085BD7"/>
    <w:rsid w:val="6A226566"/>
    <w:rsid w:val="70425E72"/>
    <w:rsid w:val="73104006"/>
    <w:rsid w:val="73D634A1"/>
    <w:rsid w:val="75F0011F"/>
    <w:rsid w:val="76805946"/>
    <w:rsid w:val="78E81581"/>
    <w:rsid w:val="78FB5758"/>
    <w:rsid w:val="792F71B0"/>
    <w:rsid w:val="79752E15"/>
    <w:rsid w:val="7B33304D"/>
    <w:rsid w:val="7B424F78"/>
    <w:rsid w:val="7B6E2211"/>
    <w:rsid w:val="7B8E4662"/>
    <w:rsid w:val="7C547659"/>
    <w:rsid w:val="7D2A03BA"/>
    <w:rsid w:val="7D6E02A7"/>
    <w:rsid w:val="7DA77C5D"/>
    <w:rsid w:val="7DDA2B39"/>
    <w:rsid w:val="7DF6029C"/>
    <w:rsid w:val="7E3037AE"/>
    <w:rsid w:val="7FE448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34"/>
    <w:pPr>
      <w:ind w:firstLine="420" w:firstLineChars="200"/>
    </w:pPr>
  </w:style>
  <w:style w:type="character" w:customStyle="1" w:styleId="7">
    <w:name w:val="页眉 Char"/>
    <w:basedOn w:val="5"/>
    <w:link w:val="3"/>
    <w:uiPriority w:val="0"/>
    <w:rPr>
      <w:rFonts w:ascii="Calibri" w:hAnsi="Calibri" w:eastAsia="宋体" w:cs="Times New Roman"/>
      <w:kern w:val="2"/>
      <w:sz w:val="18"/>
      <w:szCs w:val="18"/>
    </w:rPr>
  </w:style>
  <w:style w:type="character" w:customStyle="1" w:styleId="8">
    <w:name w:val="页脚 Char"/>
    <w:basedOn w:val="5"/>
    <w:link w:val="2"/>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2864</Words>
  <Characters>3195</Characters>
  <Lines>3</Lines>
  <Paragraphs>6</Paragraphs>
  <TotalTime>987</TotalTime>
  <ScaleCrop>false</ScaleCrop>
  <LinksUpToDate>false</LinksUpToDate>
  <CharactersWithSpaces>3204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2022-08-30T09:04:00Z</dcterms:created>
  <dc:creator>JYCW</dc:creator>
  <cp:lastModifiedBy>安然弱水</cp:lastModifiedBy>
  <dcterms:modified xsi:type="dcterms:W3CDTF">2026-07-22T03:48:14Z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C4351DAF2CE34945BC313EE932CD353F</vt:lpwstr>
  </property>
  <property fmtid="{D5CDD505-2E9C-101B-9397-08002B2CF9AE}" pid="4" name="KSOTemplateDocerSaveRecord">
    <vt:lpwstr>eyJoZGlkIjoiNTY1MGQ5ZDcyMmUwY2NiYWVlNWY0OWY5NDcwMGM5M2MiLCJ1c2VySWQiOiIxMzAwNjA3NzU5In0=</vt:lpwstr>
  </property>
</Properties>
</file>