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C82D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bookmarkStart w:id="0" w:name="_GoBack"/>
      <w:bookmarkEnd w:id="0"/>
      <w:r>
        <w:rPr>
          <w:rFonts w:hint="eastAsia" w:ascii="方正小标宋_GBK" w:hAnsi="方正小标宋_GBK" w:eastAsia="方正小标宋_GBK" w:cs="方正小标宋_GBK"/>
          <w:sz w:val="36"/>
          <w:szCs w:val="36"/>
        </w:rPr>
        <w:t>石柱土家族自治县交通信息中心</w:t>
      </w:r>
    </w:p>
    <w:p w14:paraId="4762900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w:t>
      </w:r>
      <w:r>
        <w:rPr>
          <w:rFonts w:hint="eastAsia" w:ascii="方正小标宋_GBK" w:hAnsi="方正小标宋_GBK" w:eastAsia="方正小标宋_GBK" w:cs="方正小标宋_GBK"/>
          <w:sz w:val="36"/>
          <w:szCs w:val="36"/>
          <w:shd w:val="clear" w:color="auto" w:fill="FFFFFF"/>
          <w:lang w:val="en-US" w:eastAsia="zh-CN"/>
        </w:rPr>
        <w:t>公开</w:t>
      </w:r>
      <w:r>
        <w:rPr>
          <w:rFonts w:hint="eastAsia" w:ascii="方正小标宋_GBK" w:hAnsi="方正小标宋_GBK" w:eastAsia="方正小标宋_GBK" w:cs="方正小标宋_GBK"/>
          <w:sz w:val="36"/>
          <w:szCs w:val="36"/>
          <w:shd w:val="clear" w:color="auto" w:fill="FFFFFF"/>
        </w:rPr>
        <w:t>说明</w:t>
      </w:r>
    </w:p>
    <w:p w14:paraId="4E2E82A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textAlignment w:val="auto"/>
        <w:rPr>
          <w:rFonts w:hint="default"/>
          <w:sz w:val="27"/>
          <w:szCs w:val="27"/>
          <w:shd w:val="clear" w:color="auto" w:fill="FFFF00"/>
        </w:rPr>
      </w:pPr>
    </w:p>
    <w:p w14:paraId="5717EEF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6CE98C0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64A886E6">
      <w:pPr>
        <w:pStyle w:val="10"/>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方正仿宋_GBK" w:hAnsi="方正仿宋_GBK" w:eastAsia="方正仿宋_GBK" w:cs="方正仿宋_GBK"/>
          <w:b w:val="0"/>
          <w:bCs w:val="0"/>
          <w:snapToGrid w:val="0"/>
          <w:sz w:val="32"/>
          <w:szCs w:val="32"/>
        </w:rPr>
      </w:pPr>
      <w:r>
        <w:rPr>
          <w:rFonts w:hint="eastAsia" w:ascii="方正仿宋_GBK" w:hAnsi="方正仿宋_GBK" w:eastAsia="方正仿宋_GBK" w:cs="方正仿宋_GBK"/>
          <w:b w:val="0"/>
          <w:bCs w:val="0"/>
          <w:snapToGrid w:val="0"/>
          <w:sz w:val="32"/>
          <w:szCs w:val="32"/>
        </w:rPr>
        <w:t>（1）承担交通行业信息采集、整合、分析、管理工作。</w:t>
      </w:r>
    </w:p>
    <w:p w14:paraId="3047AC6D">
      <w:pPr>
        <w:pStyle w:val="10"/>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方正仿宋_GBK" w:hAnsi="方正仿宋_GBK" w:eastAsia="方正仿宋_GBK" w:cs="方正仿宋_GBK"/>
          <w:b w:val="0"/>
          <w:bCs w:val="0"/>
          <w:snapToGrid w:val="0"/>
          <w:sz w:val="32"/>
          <w:szCs w:val="32"/>
        </w:rPr>
      </w:pPr>
      <w:r>
        <w:rPr>
          <w:rFonts w:hint="eastAsia" w:ascii="方正仿宋_GBK" w:hAnsi="方正仿宋_GBK" w:eastAsia="方正仿宋_GBK" w:cs="方正仿宋_GBK"/>
          <w:b w:val="0"/>
          <w:bCs w:val="0"/>
          <w:snapToGrid w:val="0"/>
          <w:sz w:val="32"/>
          <w:szCs w:val="32"/>
        </w:rPr>
        <w:t>（2）承担交通运行状况（包括路网）日常监测工作，承担交通应急、指挥、调度、通信的技术保障工作。</w:t>
      </w:r>
    </w:p>
    <w:p w14:paraId="6DBF886E">
      <w:pPr>
        <w:pStyle w:val="10"/>
        <w:keepNext w:val="0"/>
        <w:keepLines w:val="0"/>
        <w:pageBreakBefore w:val="0"/>
        <w:kinsoku/>
        <w:wordWrap/>
        <w:overflowPunct/>
        <w:autoSpaceDN/>
        <w:bidi w:val="0"/>
        <w:adjustRightInd/>
        <w:snapToGrid w:val="0"/>
        <w:spacing w:beforeAutospacing="0" w:afterAutospacing="0" w:line="560" w:lineRule="exact"/>
        <w:ind w:firstLine="640" w:firstLineChars="200"/>
        <w:jc w:val="both"/>
        <w:textAlignment w:val="auto"/>
        <w:rPr>
          <w:rFonts w:hint="eastAsia" w:ascii="方正仿宋_GBK" w:hAnsi="方正仿宋_GBK" w:eastAsia="方正仿宋_GBK" w:cs="方正仿宋_GBK"/>
          <w:b w:val="0"/>
          <w:bCs w:val="0"/>
          <w:snapToGrid w:val="0"/>
          <w:sz w:val="32"/>
          <w:szCs w:val="32"/>
        </w:rPr>
      </w:pPr>
      <w:r>
        <w:rPr>
          <w:rFonts w:hint="eastAsia" w:ascii="方正仿宋_GBK" w:hAnsi="方正仿宋_GBK" w:eastAsia="方正仿宋_GBK" w:cs="方正仿宋_GBK"/>
          <w:b w:val="0"/>
          <w:bCs w:val="0"/>
          <w:snapToGrid w:val="0"/>
          <w:sz w:val="32"/>
          <w:szCs w:val="32"/>
        </w:rPr>
        <w:t>（3）协助交通信息化综合应用和基础平台建设。</w:t>
      </w:r>
    </w:p>
    <w:p w14:paraId="633A8E3A">
      <w:pPr>
        <w:pStyle w:val="10"/>
        <w:keepNext w:val="0"/>
        <w:keepLines w:val="0"/>
        <w:pageBreakBefore w:val="0"/>
        <w:kinsoku/>
        <w:wordWrap/>
        <w:overflowPunct/>
        <w:autoSpaceDN/>
        <w:bidi w:val="0"/>
        <w:adjustRightInd/>
        <w:snapToGrid w:val="0"/>
        <w:spacing w:beforeAutospacing="0" w:afterAutospacing="0" w:line="560" w:lineRule="exact"/>
        <w:ind w:firstLine="640" w:firstLineChars="200"/>
        <w:jc w:val="both"/>
        <w:textAlignment w:val="auto"/>
        <w:rPr>
          <w:rFonts w:hint="eastAsia" w:ascii="方正仿宋_GBK" w:hAnsi="方正仿宋_GBK" w:eastAsia="方正仿宋_GBK" w:cs="方正仿宋_GBK"/>
          <w:b w:val="0"/>
          <w:bCs w:val="0"/>
          <w:snapToGrid w:val="0"/>
          <w:sz w:val="32"/>
          <w:szCs w:val="32"/>
        </w:rPr>
      </w:pPr>
      <w:r>
        <w:rPr>
          <w:rFonts w:hint="eastAsia" w:ascii="方正仿宋_GBK" w:hAnsi="方正仿宋_GBK" w:eastAsia="方正仿宋_GBK" w:cs="方正仿宋_GBK"/>
          <w:b w:val="0"/>
          <w:bCs w:val="0"/>
          <w:snapToGrid w:val="0"/>
          <w:sz w:val="32"/>
          <w:szCs w:val="32"/>
        </w:rPr>
        <w:t>（4）承担交通系统信息化系统的日常运行维护工作。</w:t>
      </w:r>
    </w:p>
    <w:p w14:paraId="3CDFFB50">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napToGrid w:val="0"/>
          <w:sz w:val="32"/>
          <w:szCs w:val="32"/>
        </w:rPr>
        <w:t>（5）承担县交通局交办的其他工作</w:t>
      </w:r>
    </w:p>
    <w:p w14:paraId="04DFAF1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6916EB3A">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石柱土家族自治县交通信息中心为县交通</w:t>
      </w:r>
      <w:r>
        <w:rPr>
          <w:rFonts w:hint="eastAsia" w:ascii="方正仿宋_GBK" w:hAnsi="方正仿宋_GBK" w:eastAsia="方正仿宋_GBK" w:cs="方正仿宋_GBK"/>
          <w:kern w:val="0"/>
          <w:sz w:val="32"/>
          <w:szCs w:val="32"/>
          <w:lang w:val="en-US" w:eastAsia="zh-CN"/>
        </w:rPr>
        <w:t>运输委</w:t>
      </w:r>
      <w:r>
        <w:rPr>
          <w:rFonts w:hint="eastAsia" w:ascii="方正仿宋_GBK" w:hAnsi="方正仿宋_GBK" w:eastAsia="方正仿宋_GBK" w:cs="方正仿宋_GBK"/>
          <w:kern w:val="0"/>
          <w:sz w:val="32"/>
          <w:szCs w:val="32"/>
        </w:rPr>
        <w:t>管理的副科级财政全额拨款公益一类事业单位。</w:t>
      </w:r>
    </w:p>
    <w:p w14:paraId="1A5A37B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41554E5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6802DF5">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110.08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收、支与2023年度相比，增加4.48万元，增长4.2%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本年度</w:t>
      </w:r>
      <w:r>
        <w:rPr>
          <w:rFonts w:hint="eastAsia" w:ascii="方正仿宋_GBK" w:hAnsi="方正仿宋_GBK" w:eastAsia="方正仿宋_GBK" w:cs="方正仿宋_GBK"/>
          <w:sz w:val="32"/>
          <w:szCs w:val="32"/>
        </w:rPr>
        <w:t>公招1人，调进1人，人员经费增加4</w:t>
      </w:r>
      <w:r>
        <w:rPr>
          <w:rFonts w:hint="eastAsia" w:ascii="方正仿宋_GBK" w:hAnsi="方正仿宋_GBK" w:eastAsia="方正仿宋_GBK" w:cs="方正仿宋_GBK"/>
          <w:sz w:val="32"/>
          <w:szCs w:val="32"/>
          <w:lang w:val="en-US" w:eastAsia="zh-CN"/>
        </w:rPr>
        <w:t>.6万</w:t>
      </w:r>
      <w:r>
        <w:rPr>
          <w:rFonts w:hint="eastAsia" w:ascii="方正仿宋_GBK" w:hAnsi="方正仿宋_GBK" w:eastAsia="方正仿宋_GBK" w:cs="方正仿宋_GBK"/>
          <w:sz w:val="32"/>
          <w:szCs w:val="32"/>
        </w:rPr>
        <w:t>元；厉行节约，严控经费支出，日常公用经费减少</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2万</w:t>
      </w:r>
      <w:r>
        <w:rPr>
          <w:rFonts w:hint="eastAsia" w:ascii="方正仿宋_GBK" w:hAnsi="方正仿宋_GBK" w:eastAsia="方正仿宋_GBK" w:cs="方正仿宋_GBK"/>
          <w:sz w:val="32"/>
          <w:szCs w:val="32"/>
        </w:rPr>
        <w:t>元，本年收入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支出</w:t>
      </w:r>
      <w:r>
        <w:rPr>
          <w:rFonts w:hint="eastAsia" w:ascii="方正仿宋_GBK" w:hAnsi="方正仿宋_GBK" w:eastAsia="方正仿宋_GBK" w:cs="方正仿宋_GBK"/>
          <w:sz w:val="32"/>
          <w:szCs w:val="32"/>
        </w:rPr>
        <w:t>增加4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8万</w:t>
      </w:r>
      <w:r>
        <w:rPr>
          <w:rFonts w:hint="eastAsia" w:ascii="方正仿宋_GBK" w:hAnsi="方正仿宋_GBK" w:eastAsia="方正仿宋_GBK" w:cs="方正仿宋_GBK"/>
          <w:sz w:val="32"/>
          <w:szCs w:val="32"/>
        </w:rPr>
        <w:t>元。</w:t>
      </w:r>
    </w:p>
    <w:p w14:paraId="07AB916A">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110.08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与2023年度相比，增加4.48万元，增长4.2%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本年度</w:t>
      </w:r>
      <w:r>
        <w:rPr>
          <w:rFonts w:hint="eastAsia" w:ascii="方正仿宋_GBK" w:hAnsi="方正仿宋_GBK" w:eastAsia="方正仿宋_GBK" w:cs="方正仿宋_GBK"/>
          <w:sz w:val="32"/>
          <w:szCs w:val="32"/>
        </w:rPr>
        <w:t>公招1人，调进1人，人员经费增加4</w:t>
      </w:r>
      <w:r>
        <w:rPr>
          <w:rFonts w:hint="eastAsia" w:ascii="方正仿宋_GBK" w:hAnsi="方正仿宋_GBK" w:eastAsia="方正仿宋_GBK" w:cs="方正仿宋_GBK"/>
          <w:sz w:val="32"/>
          <w:szCs w:val="32"/>
          <w:lang w:val="en-US" w:eastAsia="zh-CN"/>
        </w:rPr>
        <w:t>.6万</w:t>
      </w:r>
      <w:r>
        <w:rPr>
          <w:rFonts w:hint="eastAsia" w:ascii="方正仿宋_GBK" w:hAnsi="方正仿宋_GBK" w:eastAsia="方正仿宋_GBK" w:cs="方正仿宋_GBK"/>
          <w:sz w:val="32"/>
          <w:szCs w:val="32"/>
        </w:rPr>
        <w:t>元；厉行节约，严控经费支出，日常公用经费减少</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2万</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110.08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89126EC">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110.08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与2023年度相比，增加4.48万元，增长4.2%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本年度</w:t>
      </w:r>
      <w:r>
        <w:rPr>
          <w:rFonts w:hint="eastAsia" w:ascii="方正仿宋_GBK" w:hAnsi="方正仿宋_GBK" w:eastAsia="方正仿宋_GBK" w:cs="方正仿宋_GBK"/>
          <w:sz w:val="32"/>
          <w:szCs w:val="32"/>
        </w:rPr>
        <w:t>公招1人，调进1人，人员经费增加4</w:t>
      </w:r>
      <w:r>
        <w:rPr>
          <w:rFonts w:hint="eastAsia" w:ascii="方正仿宋_GBK" w:hAnsi="方正仿宋_GBK" w:eastAsia="方正仿宋_GBK" w:cs="方正仿宋_GBK"/>
          <w:sz w:val="32"/>
          <w:szCs w:val="32"/>
          <w:lang w:val="en-US" w:eastAsia="zh-CN"/>
        </w:rPr>
        <w:t>.6万</w:t>
      </w:r>
      <w:r>
        <w:rPr>
          <w:rFonts w:hint="eastAsia" w:ascii="方正仿宋_GBK" w:hAnsi="方正仿宋_GBK" w:eastAsia="方正仿宋_GBK" w:cs="方正仿宋_GBK"/>
          <w:sz w:val="32"/>
          <w:szCs w:val="32"/>
        </w:rPr>
        <w:t>元；厉行节约，严控经费支出，日常公用经费减少</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2万</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110.08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3E1EF0D">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lang w:eastAsia="zh-CN"/>
        </w:rPr>
        <w:t>无年末结转和结余</w:t>
      </w:r>
      <w:r>
        <w:rPr>
          <w:rFonts w:ascii="方正仿宋_GBK" w:hAnsi="方正仿宋_GBK" w:eastAsia="方正仿宋_GBK" w:cs="方正仿宋_GBK"/>
          <w:color w:val="auto"/>
          <w:sz w:val="32"/>
          <w:szCs w:val="32"/>
          <w:shd w:val="clear" w:color="auto" w:fill="FFFFFF"/>
        </w:rPr>
        <w:t>。</w:t>
      </w:r>
    </w:p>
    <w:p w14:paraId="730DEF3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C01D2D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110.08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财政拨款收、支总计各增加4.48万元，增长4.2%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本年度</w:t>
      </w:r>
      <w:r>
        <w:rPr>
          <w:rFonts w:hint="eastAsia" w:ascii="方正仿宋_GBK" w:hAnsi="方正仿宋_GBK" w:eastAsia="方正仿宋_GBK" w:cs="方正仿宋_GBK"/>
          <w:sz w:val="32"/>
          <w:szCs w:val="32"/>
        </w:rPr>
        <w:t>公招1人，调进1人，人员经费增加4</w:t>
      </w:r>
      <w:r>
        <w:rPr>
          <w:rFonts w:hint="eastAsia" w:ascii="方正仿宋_GBK" w:hAnsi="方正仿宋_GBK" w:eastAsia="方正仿宋_GBK" w:cs="方正仿宋_GBK"/>
          <w:sz w:val="32"/>
          <w:szCs w:val="32"/>
          <w:lang w:val="en-US" w:eastAsia="zh-CN"/>
        </w:rPr>
        <w:t>.6万</w:t>
      </w:r>
      <w:r>
        <w:rPr>
          <w:rFonts w:hint="eastAsia" w:ascii="方正仿宋_GBK" w:hAnsi="方正仿宋_GBK" w:eastAsia="方正仿宋_GBK" w:cs="方正仿宋_GBK"/>
          <w:sz w:val="32"/>
          <w:szCs w:val="32"/>
        </w:rPr>
        <w:t>元；厉行节约，严控经费支出，日常公用经费减少</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2万</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w:t>
      </w:r>
    </w:p>
    <w:p w14:paraId="3310DC4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1D8862D">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110.08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与2023年度相比，增加4.48万元，增长4.2%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本年度</w:t>
      </w:r>
      <w:r>
        <w:rPr>
          <w:rFonts w:hint="eastAsia" w:ascii="方正仿宋_GBK" w:hAnsi="方正仿宋_GBK" w:eastAsia="方正仿宋_GBK" w:cs="方正仿宋_GBK"/>
          <w:sz w:val="32"/>
          <w:szCs w:val="32"/>
        </w:rPr>
        <w:t>公招1人，调进1人，人员经费增加4</w:t>
      </w:r>
      <w:r>
        <w:rPr>
          <w:rFonts w:hint="eastAsia" w:ascii="方正仿宋_GBK" w:hAnsi="方正仿宋_GBK" w:eastAsia="方正仿宋_GBK" w:cs="方正仿宋_GBK"/>
          <w:sz w:val="32"/>
          <w:szCs w:val="32"/>
          <w:lang w:val="en-US" w:eastAsia="zh-CN"/>
        </w:rPr>
        <w:t>.6万</w:t>
      </w:r>
      <w:r>
        <w:rPr>
          <w:rFonts w:hint="eastAsia" w:ascii="方正仿宋_GBK" w:hAnsi="方正仿宋_GBK" w:eastAsia="方正仿宋_GBK" w:cs="方正仿宋_GBK"/>
          <w:sz w:val="32"/>
          <w:szCs w:val="32"/>
        </w:rPr>
        <w:t>元；厉行节约，严控经费支出，日常公用经费减少</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2万</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sz w:val="32"/>
          <w:szCs w:val="32"/>
          <w:shd w:val="clear" w:color="auto" w:fill="FFFFFF"/>
        </w:rPr>
        <w:t>较年初预算数增加27.18万元，增长32.8%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新进人员及人员经费标准调整</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5DC4A44">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110.08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与2023年度相比，增加4.48万元，增长4.2%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本年度</w:t>
      </w:r>
      <w:r>
        <w:rPr>
          <w:rFonts w:hint="eastAsia" w:ascii="方正仿宋_GBK" w:hAnsi="方正仿宋_GBK" w:eastAsia="方正仿宋_GBK" w:cs="方正仿宋_GBK"/>
          <w:sz w:val="32"/>
          <w:szCs w:val="32"/>
        </w:rPr>
        <w:t>公招1人，调进1人，人员经费增加4</w:t>
      </w:r>
      <w:r>
        <w:rPr>
          <w:rFonts w:hint="eastAsia" w:ascii="方正仿宋_GBK" w:hAnsi="方正仿宋_GBK" w:eastAsia="方正仿宋_GBK" w:cs="方正仿宋_GBK"/>
          <w:sz w:val="32"/>
          <w:szCs w:val="32"/>
          <w:lang w:val="en-US" w:eastAsia="zh-CN"/>
        </w:rPr>
        <w:t>.6万</w:t>
      </w:r>
      <w:r>
        <w:rPr>
          <w:rFonts w:hint="eastAsia" w:ascii="方正仿宋_GBK" w:hAnsi="方正仿宋_GBK" w:eastAsia="方正仿宋_GBK" w:cs="方正仿宋_GBK"/>
          <w:sz w:val="32"/>
          <w:szCs w:val="32"/>
        </w:rPr>
        <w:t>元；厉行节约，严控经费支出，日常公用经费减少</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2万</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sz w:val="32"/>
          <w:szCs w:val="32"/>
          <w:shd w:val="clear" w:color="auto" w:fill="FFFFFF"/>
        </w:rPr>
        <w:t>较年初预算数增加27.18万元，增长32.8%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新进人员及人员经费标准调整</w:t>
      </w:r>
      <w:r>
        <w:rPr>
          <w:rFonts w:ascii="方正仿宋_GBK" w:hAnsi="方正仿宋_GBK" w:eastAsia="方正仿宋_GBK" w:cs="方正仿宋_GBK"/>
          <w:b w:val="0"/>
          <w:bCs w:val="0"/>
          <w:color w:val="auto"/>
          <w:sz w:val="32"/>
          <w:szCs w:val="32"/>
          <w:shd w:val="clear" w:color="auto" w:fill="FFFFFF"/>
        </w:rPr>
        <w:t>。</w:t>
      </w:r>
    </w:p>
    <w:p w14:paraId="3D593E2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5ED3E60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14.14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较年初预算数增加6.13万元，增长76.5%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新进人员以及将事业人员超额绩效纳入缴</w:t>
      </w:r>
      <w:r>
        <w:rPr>
          <w:rFonts w:hint="eastAsia" w:ascii="方正仿宋_GBK" w:hAnsi="方正仿宋_GBK" w:eastAsia="方正仿宋_GBK" w:cs="方正仿宋_GBK"/>
          <w:color w:val="auto"/>
          <w:sz w:val="32"/>
          <w:szCs w:val="32"/>
          <w:lang w:val="en-US" w:eastAsia="zh-CN"/>
        </w:rPr>
        <w:t>费基数</w:t>
      </w:r>
      <w:r>
        <w:rPr>
          <w:rFonts w:ascii="方正仿宋_GBK" w:hAnsi="方正仿宋_GBK" w:eastAsia="方正仿宋_GBK" w:cs="方正仿宋_GBK"/>
          <w:color w:val="auto"/>
          <w:sz w:val="32"/>
          <w:szCs w:val="32"/>
          <w:shd w:val="clear" w:color="auto" w:fill="FFFFFF"/>
        </w:rPr>
        <w:t>。</w:t>
      </w:r>
    </w:p>
    <w:p w14:paraId="4EEB107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较年初预算数增加0.69万元，增长17.2%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新进人员据实调整支</w:t>
      </w:r>
      <w:r>
        <w:rPr>
          <w:rFonts w:hint="eastAsia" w:ascii="方正仿宋_GBK" w:hAnsi="方正仿宋_GBK" w:eastAsia="方正仿宋_GBK" w:cs="方正仿宋_GBK"/>
          <w:color w:val="auto"/>
          <w:sz w:val="32"/>
          <w:szCs w:val="32"/>
          <w:lang w:val="en-US" w:eastAsia="zh-CN"/>
        </w:rPr>
        <w:t>出</w:t>
      </w:r>
      <w:r>
        <w:rPr>
          <w:rFonts w:ascii="方正仿宋_GBK" w:hAnsi="方正仿宋_GBK" w:eastAsia="方正仿宋_GBK" w:cs="方正仿宋_GBK"/>
          <w:color w:val="auto"/>
          <w:sz w:val="32"/>
          <w:szCs w:val="32"/>
          <w:shd w:val="clear" w:color="auto" w:fill="FFFFFF"/>
        </w:rPr>
        <w:t>。</w:t>
      </w:r>
    </w:p>
    <w:p w14:paraId="55AA286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86.35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较年初预算数增加19.47万元，增长29.1%</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人员</w:t>
      </w:r>
      <w:r>
        <w:rPr>
          <w:rFonts w:hint="eastAsia" w:ascii="方正仿宋_GBK" w:hAnsi="方正仿宋_GBK" w:eastAsia="方正仿宋_GBK" w:cs="方正仿宋_GBK"/>
          <w:sz w:val="32"/>
          <w:szCs w:val="32"/>
          <w:lang w:val="en-US" w:eastAsia="zh-CN"/>
        </w:rPr>
        <w:t>调入及人员</w:t>
      </w:r>
      <w:r>
        <w:rPr>
          <w:rFonts w:ascii="方正仿宋_GBK" w:hAnsi="方正仿宋_GBK" w:eastAsia="方正仿宋_GBK" w:cs="方正仿宋_GBK"/>
          <w:sz w:val="32"/>
          <w:szCs w:val="32"/>
        </w:rPr>
        <w:t>经费标准调整。</w:t>
      </w:r>
    </w:p>
    <w:p w14:paraId="12AE6122">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较年初预算数增加0.88万元，增长22.0%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人员工资标准调整</w:t>
      </w:r>
      <w:r>
        <w:rPr>
          <w:rFonts w:ascii="方正仿宋_GBK" w:hAnsi="方正仿宋_GBK" w:eastAsia="方正仿宋_GBK" w:cs="方正仿宋_GBK"/>
          <w:color w:val="auto"/>
          <w:sz w:val="32"/>
          <w:szCs w:val="32"/>
          <w:shd w:val="clear" w:color="auto" w:fill="FFFFFF"/>
        </w:rPr>
        <w:t>。</w:t>
      </w:r>
    </w:p>
    <w:p w14:paraId="5621122B">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w:t>
      </w:r>
      <w:r>
        <w:rPr>
          <w:rFonts w:hint="eastAsia" w:ascii="方正仿宋_GBK" w:hAnsi="方正仿宋_GBK" w:eastAsia="方正仿宋_GBK" w:cs="方正仿宋_GBK"/>
          <w:sz w:val="32"/>
          <w:szCs w:val="32"/>
          <w:shd w:val="clear" w:fill="FFFFFF"/>
          <w:lang w:eastAsia="zh-CN"/>
        </w:rPr>
        <w:t>无年末</w:t>
      </w:r>
      <w:r>
        <w:rPr>
          <w:rFonts w:hint="eastAsia" w:ascii="方正仿宋_GBK" w:hAnsi="方正仿宋_GBK" w:eastAsia="方正仿宋_GBK" w:cs="方正仿宋_GBK"/>
          <w:color w:val="auto"/>
          <w:sz w:val="32"/>
          <w:szCs w:val="32"/>
          <w:shd w:val="clear" w:fill="FFFFFF"/>
          <w:lang w:eastAsia="zh-CN"/>
        </w:rPr>
        <w:t>结转和结余</w:t>
      </w:r>
      <w:r>
        <w:rPr>
          <w:rFonts w:ascii="方正仿宋_GBK" w:hAnsi="方正仿宋_GBK" w:eastAsia="方正仿宋_GBK" w:cs="方正仿宋_GBK"/>
          <w:color w:val="auto"/>
          <w:sz w:val="32"/>
          <w:szCs w:val="32"/>
          <w:shd w:val="clear" w:color="auto" w:fill="FFFFFF"/>
        </w:rPr>
        <w:t>。</w:t>
      </w:r>
    </w:p>
    <w:p w14:paraId="4AB447C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52EBE34">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110.08</w:t>
      </w:r>
      <w:r>
        <w:rPr>
          <w:rFonts w:ascii="方正仿宋_GBK" w:hAnsi="方正仿宋_GBK" w:eastAsia="方正仿宋_GBK" w:cs="方正仿宋_GBK"/>
          <w:sz w:val="32"/>
          <w:szCs w:val="32"/>
          <w:shd w:val="clear" w:color="auto" w:fill="FFFFFF"/>
        </w:rPr>
        <w:t>万元。</w:t>
      </w:r>
    </w:p>
    <w:p w14:paraId="6EF2178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6C0D1ABD">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91.41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与2023年度相比，增加4.59万元，增长5.3%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本年度</w:t>
      </w:r>
      <w:r>
        <w:rPr>
          <w:rFonts w:hint="eastAsia" w:ascii="方正仿宋_GBK" w:hAnsi="方正仿宋_GBK" w:eastAsia="方正仿宋_GBK" w:cs="方正仿宋_GBK"/>
          <w:sz w:val="32"/>
          <w:szCs w:val="32"/>
        </w:rPr>
        <w:t>公招1人，调进1人，人员经费增加4</w:t>
      </w:r>
      <w:r>
        <w:rPr>
          <w:rFonts w:hint="eastAsia" w:ascii="方正仿宋_GBK" w:hAnsi="方正仿宋_GBK" w:eastAsia="方正仿宋_GBK" w:cs="方正仿宋_GBK"/>
          <w:sz w:val="32"/>
          <w:szCs w:val="32"/>
          <w:lang w:val="en-US" w:eastAsia="zh-CN"/>
        </w:rPr>
        <w:t>.59万</w:t>
      </w:r>
      <w:r>
        <w:rPr>
          <w:rFonts w:hint="eastAsia" w:ascii="方正仿宋_GBK" w:hAnsi="方正仿宋_GBK" w:eastAsia="方正仿宋_GBK" w:cs="方正仿宋_GBK"/>
          <w:sz w:val="32"/>
          <w:szCs w:val="32"/>
        </w:rPr>
        <w:t>元</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人员经费用途主要包括人员经费用途主要包括</w:t>
      </w:r>
      <w:r>
        <w:rPr>
          <w:rFonts w:hint="eastAsia" w:ascii="方正仿宋_GBK" w:hAnsi="方正仿宋_GBK" w:eastAsia="方正仿宋_GBK" w:cs="方正仿宋_GBK"/>
          <w:sz w:val="32"/>
          <w:szCs w:val="32"/>
          <w:shd w:val="clear" w:fill="FFFFFF"/>
          <w:lang w:eastAsia="zh-CN"/>
        </w:rPr>
        <w:t>基本工资、津贴补贴、绩效工资、社会保障缴费等。</w:t>
      </w:r>
    </w:p>
    <w:p w14:paraId="2D5977F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18.67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与2023年度相比，减少0.11万元，下降0.6%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厉行节约，严控经费支出，日常公用经费减少</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1万</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fill="FFFFFF"/>
          <w:lang w:eastAsia="zh-CN"/>
        </w:rPr>
        <w:t>办公费、差旅费、</w:t>
      </w:r>
      <w:r>
        <w:rPr>
          <w:rFonts w:hint="eastAsia" w:ascii="方正仿宋_GBK" w:hAnsi="方正仿宋_GBK" w:eastAsia="方正仿宋_GBK" w:cs="方正仿宋_GBK"/>
          <w:sz w:val="32"/>
          <w:szCs w:val="32"/>
          <w:shd w:val="clear" w:fill="FFFFFF"/>
          <w:lang w:val="en-US" w:eastAsia="zh-CN"/>
        </w:rPr>
        <w:t>水费、电</w:t>
      </w:r>
      <w:r>
        <w:rPr>
          <w:rFonts w:hint="eastAsia" w:ascii="方正仿宋_GBK" w:hAnsi="方正仿宋_GBK" w:eastAsia="方正仿宋_GBK" w:cs="方正仿宋_GBK"/>
          <w:sz w:val="32"/>
          <w:szCs w:val="32"/>
          <w:shd w:val="clear" w:fill="FFFFFF"/>
          <w:lang w:eastAsia="zh-CN"/>
        </w:rPr>
        <w:t>费、其他交通费等。</w:t>
      </w:r>
    </w:p>
    <w:p w14:paraId="49A69B0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B78893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sz w:val="32"/>
          <w:szCs w:val="32"/>
          <w:shd w:val="clear" w:color="auto" w:fill="FFFFFF"/>
          <w:lang w:val="en-US" w:eastAsia="zh-CN"/>
        </w:rPr>
        <w:t>本单位2024年度无政府性基金预算财政拨款收支。</w:t>
      </w:r>
    </w:p>
    <w:p w14:paraId="1AE5D28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B98019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sz w:val="32"/>
          <w:szCs w:val="32"/>
          <w:shd w:val="clear" w:color="auto" w:fill="FFFFFF"/>
          <w:lang w:val="en-US" w:eastAsia="zh-CN"/>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国有资本经营预算财政拨款支出</w:t>
      </w:r>
      <w:r>
        <w:rPr>
          <w:rFonts w:hint="eastAsia" w:ascii="Times New Roman" w:hAnsi="Times New Roman" w:eastAsia="方正仿宋_GBK"/>
          <w:sz w:val="32"/>
          <w:szCs w:val="32"/>
          <w:shd w:val="clear" w:color="auto" w:fill="FFFFFF"/>
          <w:lang w:eastAsia="zh-CN"/>
        </w:rPr>
        <w:t>。</w:t>
      </w:r>
    </w:p>
    <w:p w14:paraId="3D2EBF6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5433848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56AB5F31">
      <w:pPr>
        <w:keepNext w:val="0"/>
        <w:keepLines w:val="0"/>
        <w:pageBreakBefore w:val="0"/>
        <w:kinsoku/>
        <w:wordWrap/>
        <w:overflowPunct/>
        <w:autoSpaceDN/>
        <w:bidi w:val="0"/>
        <w:adjustRightInd/>
        <w:snapToGrid w:val="0"/>
        <w:spacing w:beforeAutospacing="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rPr>
        <w:t>本年度未发生“三公”经费支出。</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kern w:val="0"/>
          <w:sz w:val="32"/>
          <w:szCs w:val="32"/>
        </w:rPr>
        <w:t>本年度未发生“三公”经费支出。</w:t>
      </w:r>
    </w:p>
    <w:p w14:paraId="276C845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258F9E5">
      <w:pPr>
        <w:pStyle w:val="11"/>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right="0"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万元，主要是用于</w:t>
      </w:r>
      <w:r>
        <w:rPr>
          <w:rFonts w:hint="eastAsia" w:ascii="方正仿宋_GBK" w:hAnsi="方正仿宋_GBK" w:eastAsia="方正仿宋_GBK" w:cs="方正仿宋_GBK"/>
          <w:sz w:val="32"/>
          <w:szCs w:val="32"/>
          <w:shd w:val="clear" w:color="auto" w:fill="FFFFFF"/>
          <w:lang w:val="en-US" w:eastAsia="zh-CN"/>
        </w:rPr>
        <w:t>单位公务</w:t>
      </w:r>
      <w:r>
        <w:rPr>
          <w:rFonts w:ascii="方正仿宋_GBK" w:hAnsi="方正仿宋_GBK" w:eastAsia="方正仿宋_GBK" w:cs="方正仿宋_GBK"/>
          <w:sz w:val="32"/>
          <w:szCs w:val="32"/>
          <w:shd w:val="clear" w:color="auto" w:fill="FFFFFF"/>
        </w:rPr>
        <w:t>因公出国（境）</w:t>
      </w:r>
      <w:r>
        <w:rPr>
          <w:rFonts w:hint="eastAsia" w:ascii="方正仿宋_GBK" w:hAnsi="方正仿宋_GBK" w:eastAsia="方正仿宋_GBK" w:cs="方正仿宋_GBK"/>
          <w:sz w:val="32"/>
          <w:szCs w:val="32"/>
          <w:shd w:val="clear" w:color="auto" w:fill="FFFFFF"/>
          <w:lang w:val="en-US" w:eastAsia="zh-CN"/>
        </w:rPr>
        <w:t>相关</w:t>
      </w:r>
      <w:r>
        <w:rPr>
          <w:rFonts w:ascii="方正仿宋_GBK" w:hAnsi="方正仿宋_GBK" w:eastAsia="方正仿宋_GBK" w:cs="方正仿宋_GBK"/>
          <w:sz w:val="32"/>
          <w:szCs w:val="32"/>
          <w:shd w:val="clear" w:color="auto" w:fill="FFFFFF"/>
        </w:rPr>
        <w:t>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lang w:eastAsia="zh-CN"/>
        </w:rPr>
        <w:t>本年度未发生</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val="en-US" w:eastAsia="zh-CN"/>
        </w:rPr>
        <w:t>支出</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lang w:eastAsia="zh-CN"/>
        </w:rPr>
        <w:t>本年度未发生</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val="en-US" w:eastAsia="zh-CN"/>
        </w:rPr>
        <w:t>支出</w:t>
      </w:r>
      <w:r>
        <w:rPr>
          <w:rFonts w:ascii="方正仿宋_GBK" w:hAnsi="方正仿宋_GBK" w:eastAsia="方正仿宋_GBK" w:cs="方正仿宋_GBK"/>
          <w:sz w:val="32"/>
          <w:szCs w:val="32"/>
          <w:shd w:val="clear" w:color="auto" w:fill="FFFFFF"/>
        </w:rPr>
        <w:t>。</w:t>
      </w:r>
    </w:p>
    <w:p w14:paraId="1A260FD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公务用车购置支出</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lang w:eastAsia="zh-CN"/>
        </w:rPr>
        <w:t>本年度未发生</w:t>
      </w:r>
      <w:r>
        <w:rPr>
          <w:rFonts w:hint="eastAsia" w:ascii="方正仿宋_GBK" w:hAnsi="方正仿宋_GBK" w:eastAsia="方正仿宋_GBK" w:cs="方正仿宋_GBK"/>
          <w:sz w:val="32"/>
          <w:szCs w:val="32"/>
          <w:shd w:val="clear" w:fill="FFFFFF"/>
          <w:lang w:eastAsia="zh-CN"/>
        </w:rPr>
        <w:t>公务车购置费</w:t>
      </w:r>
      <w:r>
        <w:rPr>
          <w:rFonts w:hint="eastAsia" w:ascii="方正仿宋_GBK" w:hAnsi="方正仿宋_GBK" w:eastAsia="方正仿宋_GBK" w:cs="方正仿宋_GBK"/>
          <w:sz w:val="32"/>
          <w:szCs w:val="32"/>
          <w:lang w:eastAsia="zh-CN"/>
        </w:rPr>
        <w:t>支出</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lang w:eastAsia="zh-CN"/>
        </w:rPr>
        <w:t>本年度未发生</w:t>
      </w:r>
      <w:r>
        <w:rPr>
          <w:rFonts w:hint="eastAsia" w:ascii="方正仿宋_GBK" w:hAnsi="方正仿宋_GBK" w:eastAsia="方正仿宋_GBK" w:cs="方正仿宋_GBK"/>
          <w:sz w:val="32"/>
          <w:szCs w:val="32"/>
          <w:shd w:val="clear" w:fill="FFFFFF"/>
          <w:lang w:eastAsia="zh-CN"/>
        </w:rPr>
        <w:t>公务车购置费</w:t>
      </w:r>
      <w:r>
        <w:rPr>
          <w:rFonts w:hint="eastAsia" w:ascii="方正仿宋_GBK" w:hAnsi="方正仿宋_GBK" w:eastAsia="方正仿宋_GBK" w:cs="方正仿宋_GBK"/>
          <w:sz w:val="32"/>
          <w:szCs w:val="32"/>
          <w:lang w:eastAsia="zh-CN"/>
        </w:rPr>
        <w:t>支出</w:t>
      </w:r>
      <w:r>
        <w:rPr>
          <w:rFonts w:ascii="方正仿宋_GBK" w:hAnsi="方正仿宋_GBK" w:eastAsia="方正仿宋_GBK" w:cs="方正仿宋_GBK"/>
          <w:sz w:val="32"/>
          <w:szCs w:val="32"/>
          <w:shd w:val="clear" w:color="auto" w:fill="FFFFFF"/>
        </w:rPr>
        <w:t>。</w:t>
      </w:r>
    </w:p>
    <w:p w14:paraId="143569FE">
      <w:pPr>
        <w:pStyle w:val="11"/>
        <w:keepNext w:val="0"/>
        <w:keepLines w:val="0"/>
        <w:pageBreakBefore w:val="0"/>
        <w:widowControl w:val="0"/>
        <w:suppressLineNumbers w:val="0"/>
        <w:kinsoku/>
        <w:wordWrap/>
        <w:overflowPunct/>
        <w:autoSpaceDE w:val="0"/>
        <w:autoSpaceDN/>
        <w:bidi w:val="0"/>
        <w:adjustRightInd/>
        <w:snapToGrid w:val="0"/>
        <w:spacing w:before="0" w:beforeAutospacing="0" w:after="0" w:afterAutospacing="0" w:line="560" w:lineRule="exact"/>
        <w:ind w:left="0" w:right="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公务用车燃料费、维修费、过桥过路费、保险费等支出</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lang w:eastAsia="zh-CN"/>
        </w:rPr>
        <w:t>本年度未发生</w:t>
      </w:r>
      <w:r>
        <w:rPr>
          <w:rFonts w:hint="eastAsia" w:ascii="方正仿宋_GBK" w:hAnsi="方正仿宋_GBK" w:eastAsia="方正仿宋_GBK" w:cs="方正仿宋_GBK"/>
          <w:sz w:val="32"/>
          <w:szCs w:val="32"/>
          <w:shd w:val="clear" w:fill="FFFFFF"/>
          <w:lang w:eastAsia="zh-CN"/>
        </w:rPr>
        <w:t>公务车</w:t>
      </w:r>
      <w:r>
        <w:rPr>
          <w:rFonts w:ascii="方正仿宋_GBK" w:hAnsi="方正仿宋_GBK" w:eastAsia="方正仿宋_GBK" w:cs="方正仿宋_GBK"/>
          <w:sz w:val="32"/>
          <w:szCs w:val="32"/>
          <w:shd w:val="clear" w:color="auto" w:fill="FFFFFF"/>
        </w:rPr>
        <w:t>运行维护费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lang w:eastAsia="zh-CN"/>
        </w:rPr>
        <w:t>本年度未发生</w:t>
      </w:r>
      <w:r>
        <w:rPr>
          <w:rFonts w:hint="eastAsia" w:ascii="方正仿宋_GBK" w:hAnsi="方正仿宋_GBK" w:eastAsia="方正仿宋_GBK" w:cs="方正仿宋_GBK"/>
          <w:sz w:val="32"/>
          <w:szCs w:val="32"/>
          <w:shd w:val="clear" w:fill="FFFFFF"/>
          <w:lang w:eastAsia="zh-CN"/>
        </w:rPr>
        <w:t>公务车</w:t>
      </w:r>
      <w:r>
        <w:rPr>
          <w:rFonts w:ascii="方正仿宋_GBK" w:hAnsi="方正仿宋_GBK" w:eastAsia="方正仿宋_GBK" w:cs="方正仿宋_GBK"/>
          <w:sz w:val="32"/>
          <w:szCs w:val="32"/>
          <w:shd w:val="clear" w:color="auto" w:fill="FFFFFF"/>
        </w:rPr>
        <w:t>运行维护费</w:t>
      </w:r>
      <w:r>
        <w:rPr>
          <w:rFonts w:hint="eastAsia" w:ascii="方正仿宋_GBK" w:hAnsi="方正仿宋_GBK" w:eastAsia="方正仿宋_GBK" w:cs="方正仿宋_GBK"/>
          <w:sz w:val="32"/>
          <w:szCs w:val="32"/>
          <w:shd w:val="clear" w:color="auto" w:fill="FFFFFF"/>
          <w:lang w:eastAsia="zh-CN"/>
        </w:rPr>
        <w:t>。</w:t>
      </w:r>
    </w:p>
    <w:p w14:paraId="2935929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上级相关单位督查、检查等费用支出。</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lang w:eastAsia="zh-CN"/>
        </w:rPr>
        <w:t>本年度未发生</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lang w:eastAsia="zh-CN"/>
        </w:rPr>
        <w:t>本年度未发生</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w:t>
      </w:r>
    </w:p>
    <w:p w14:paraId="75B7774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CF9E56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2C62A3A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3F2864D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69C4C5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lang w:val="en-US" w:eastAsia="zh-CN"/>
        </w:rPr>
        <w:t>本单位为县交通运输委下属二级事业单位，同县交通运输委合署办公，</w:t>
      </w:r>
      <w:r>
        <w:rPr>
          <w:rFonts w:hint="eastAsia" w:ascii="方正仿宋_GBK" w:hAnsi="方正仿宋_GBK" w:eastAsia="方正仿宋_GBK" w:cs="方正仿宋_GBK"/>
          <w:kern w:val="0"/>
          <w:sz w:val="32"/>
          <w:szCs w:val="32"/>
        </w:rPr>
        <w:t>未</w:t>
      </w:r>
      <w:r>
        <w:rPr>
          <w:rFonts w:hint="eastAsia" w:ascii="方正仿宋_GBK" w:hAnsi="方正仿宋_GBK" w:eastAsia="方正仿宋_GBK" w:cs="方正仿宋_GBK"/>
          <w:kern w:val="0"/>
          <w:sz w:val="32"/>
          <w:szCs w:val="32"/>
          <w:lang w:val="en-US" w:eastAsia="zh-CN"/>
        </w:rPr>
        <w:t>使用财政资金保障</w:t>
      </w:r>
      <w:r>
        <w:rPr>
          <w:rFonts w:hint="eastAsia" w:ascii="方正仿宋_GBK" w:hAnsi="方正仿宋_GBK" w:eastAsia="方正仿宋_GBK" w:cs="方正仿宋_GBK"/>
          <w:kern w:val="0"/>
          <w:sz w:val="32"/>
          <w:szCs w:val="32"/>
        </w:rPr>
        <w:t>会议费支出</w:t>
      </w:r>
      <w:r>
        <w:rPr>
          <w:rFonts w:hint="eastAsia" w:ascii="方正仿宋_GBK" w:hAnsi="方正仿宋_GBK" w:eastAsia="方正仿宋_GBK" w:cs="方正仿宋_GBK"/>
          <w:kern w:val="0"/>
          <w:sz w:val="32"/>
          <w:szCs w:val="32"/>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lang w:val="en-US" w:eastAsia="zh-CN"/>
        </w:rPr>
        <w:t>本单位为县交通运输委下属二级事业单位，同县交通运输委合署办公，</w:t>
      </w:r>
      <w:r>
        <w:rPr>
          <w:rFonts w:hint="eastAsia" w:ascii="方正仿宋_GBK" w:hAnsi="方正仿宋_GBK" w:eastAsia="方正仿宋_GBK" w:cs="方正仿宋_GBK"/>
          <w:kern w:val="0"/>
          <w:sz w:val="32"/>
          <w:szCs w:val="32"/>
        </w:rPr>
        <w:t>未</w:t>
      </w:r>
      <w:r>
        <w:rPr>
          <w:rFonts w:hint="eastAsia" w:ascii="方正仿宋_GBK" w:hAnsi="方正仿宋_GBK" w:eastAsia="方正仿宋_GBK" w:cs="方正仿宋_GBK"/>
          <w:kern w:val="0"/>
          <w:sz w:val="32"/>
          <w:szCs w:val="32"/>
          <w:lang w:val="en-US" w:eastAsia="zh-CN"/>
        </w:rPr>
        <w:t>使用财政资金保障培训费</w:t>
      </w:r>
      <w:r>
        <w:rPr>
          <w:rFonts w:hint="eastAsia" w:ascii="方正仿宋_GBK" w:hAnsi="方正仿宋_GBK" w:eastAsia="方正仿宋_GBK" w:cs="方正仿宋_GBK"/>
          <w:kern w:val="0"/>
          <w:sz w:val="32"/>
          <w:szCs w:val="32"/>
        </w:rPr>
        <w:t>支出</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4.70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与2023年度相比，减少1.30万元，下降21.7%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厉行节约、严控成本，减少非必要出差。</w:t>
      </w:r>
    </w:p>
    <w:p w14:paraId="312A588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4964FD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b w:val="0"/>
          <w:bCs w:val="0"/>
          <w:color w:val="auto"/>
          <w:sz w:val="32"/>
          <w:szCs w:val="32"/>
          <w:highlight w:val="yellow"/>
        </w:rPr>
        <w:t>按照部门决算列报口径，我</w:t>
      </w:r>
      <w:r>
        <w:rPr>
          <w:rFonts w:hint="eastAsia" w:ascii="方正仿宋_GBK" w:hAnsi="方正仿宋_GBK" w:eastAsia="方正仿宋_GBK" w:cs="方正仿宋_GBK"/>
          <w:b w:val="0"/>
          <w:bCs w:val="0"/>
          <w:color w:val="auto"/>
          <w:sz w:val="32"/>
          <w:szCs w:val="32"/>
          <w:highlight w:val="yellow"/>
          <w:lang w:eastAsia="zh-CN"/>
        </w:rPr>
        <w:t>单位</w:t>
      </w:r>
      <w:r>
        <w:rPr>
          <w:rFonts w:hint="default" w:ascii="方正仿宋_GBK" w:hAnsi="方正仿宋_GBK" w:eastAsia="方正仿宋_GBK" w:cs="方正仿宋_GBK"/>
          <w:b w:val="0"/>
          <w:bCs w:val="0"/>
          <w:color w:val="auto"/>
          <w:sz w:val="32"/>
          <w:szCs w:val="32"/>
          <w:highlight w:val="yellow"/>
        </w:rPr>
        <w:t>不在机关运行经费统计范围之内。</w:t>
      </w:r>
    </w:p>
    <w:p w14:paraId="48727C2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7E8CB2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7360BE7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1BA6FEE">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ascii="方正仿宋_GBK" w:hAnsi="方正仿宋_GBK" w:eastAsia="方正仿宋_GBK" w:cs="方正仿宋_GBK"/>
          <w:b w:val="0"/>
          <w:bCs w:val="0"/>
          <w:color w:val="auto"/>
          <w:sz w:val="32"/>
          <w:szCs w:val="32"/>
          <w:highlight w:val="yellow"/>
          <w:shd w:val="clear" w:color="auto" w:fill="FFFFFF"/>
        </w:rPr>
      </w:pPr>
      <w:r>
        <w:rPr>
          <w:rFonts w:ascii="Times New Roman" w:hAnsi="Times New Roman" w:eastAsia="方正仿宋_GBK"/>
          <w:b w:val="0"/>
          <w:bCs w:val="0"/>
          <w:color w:val="auto"/>
          <w:sz w:val="32"/>
          <w:szCs w:val="32"/>
          <w:highlight w:val="yellow"/>
          <w:shd w:val="clear" w:color="auto" w:fill="FFFFFF"/>
        </w:rPr>
        <w:t>2024</w:t>
      </w:r>
      <w:r>
        <w:rPr>
          <w:rFonts w:ascii="方正仿宋_GBK" w:hAnsi="方正仿宋_GBK" w:eastAsia="方正仿宋_GBK" w:cs="方正仿宋_GBK"/>
          <w:b w:val="0"/>
          <w:bCs w:val="0"/>
          <w:color w:val="auto"/>
          <w:sz w:val="32"/>
          <w:szCs w:val="32"/>
          <w:highlight w:val="yellow"/>
          <w:shd w:val="clear" w:color="auto" w:fill="FFFFFF"/>
        </w:rPr>
        <w:t>年度我</w:t>
      </w:r>
      <w:r>
        <w:rPr>
          <w:rFonts w:hint="eastAsia" w:ascii="方正仿宋_GBK" w:hAnsi="方正仿宋_GBK" w:eastAsia="方正仿宋_GBK" w:cs="方正仿宋_GBK"/>
          <w:b w:val="0"/>
          <w:bCs w:val="0"/>
          <w:color w:val="auto"/>
          <w:sz w:val="32"/>
          <w:szCs w:val="32"/>
          <w:highlight w:val="yellow"/>
          <w:shd w:val="clear" w:color="auto" w:fill="FFFFFF"/>
          <w:lang w:eastAsia="zh-CN"/>
        </w:rPr>
        <w:t>单位</w:t>
      </w:r>
      <w:r>
        <w:rPr>
          <w:rFonts w:ascii="方正仿宋_GBK" w:hAnsi="方正仿宋_GBK" w:eastAsia="方正仿宋_GBK" w:cs="方正仿宋_GBK"/>
          <w:b w:val="0"/>
          <w:bCs w:val="0"/>
          <w:color w:val="auto"/>
          <w:sz w:val="32"/>
          <w:szCs w:val="32"/>
          <w:highlight w:val="yellow"/>
          <w:shd w:val="clear" w:color="auto" w:fill="FFFFFF"/>
        </w:rPr>
        <w:t>未发生政府采购事项，无相关经费支出。</w:t>
      </w:r>
    </w:p>
    <w:p w14:paraId="7FC02E7E">
      <w:pPr>
        <w:pStyle w:val="5"/>
        <w:keepNext w:val="0"/>
        <w:keepLines w:val="0"/>
        <w:pageBreakBefore w:val="0"/>
        <w:widowControl/>
        <w:numPr>
          <w:ilvl w:val="0"/>
          <w:numId w:val="1"/>
        </w:numPr>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预算绩效管理情况说明</w:t>
      </w:r>
    </w:p>
    <w:p w14:paraId="62038212">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14:paraId="4C555E5D">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我单位为县交通运输委下属二级预算单位，预算绩效管理工作由县交</w:t>
      </w:r>
      <w:r>
        <w:rPr>
          <w:rFonts w:hint="eastAsia" w:ascii="方正仿宋_GBK" w:hAnsi="方正仿宋_GBK" w:eastAsia="方正仿宋_GBK" w:cs="方正仿宋_GBK"/>
          <w:kern w:val="0"/>
          <w:sz w:val="32"/>
          <w:szCs w:val="32"/>
          <w:shd w:val="clear" w:fill="FFFFFF"/>
        </w:rPr>
        <w:t>通</w:t>
      </w:r>
      <w:r>
        <w:rPr>
          <w:rFonts w:hint="eastAsia" w:ascii="方正仿宋_GBK" w:hAnsi="方正仿宋_GBK" w:eastAsia="方正仿宋_GBK" w:cs="方正仿宋_GBK"/>
          <w:kern w:val="0"/>
          <w:sz w:val="32"/>
          <w:szCs w:val="32"/>
          <w:shd w:val="clear" w:fill="FFFFFF"/>
          <w:lang w:val="en-US" w:eastAsia="zh-CN"/>
        </w:rPr>
        <w:t>运输委</w:t>
      </w:r>
      <w:r>
        <w:rPr>
          <w:rFonts w:hint="eastAsia" w:ascii="方正仿宋_GBK" w:hAnsi="方正仿宋_GBK" w:eastAsia="方正仿宋_GBK" w:cs="方正仿宋_GBK"/>
          <w:kern w:val="0"/>
          <w:sz w:val="32"/>
          <w:szCs w:val="32"/>
          <w:shd w:val="clear" w:fill="FFFFFF"/>
        </w:rPr>
        <w:t>机关开展，我</w:t>
      </w:r>
      <w:r>
        <w:rPr>
          <w:rFonts w:hint="eastAsia" w:ascii="方正仿宋_GBK" w:hAnsi="方正仿宋_GBK" w:eastAsia="方正仿宋_GBK" w:cs="方正仿宋_GBK"/>
          <w:kern w:val="0"/>
          <w:sz w:val="32"/>
          <w:szCs w:val="32"/>
          <w:shd w:val="clear" w:fill="FFFFFF"/>
          <w:lang w:val="en-US" w:eastAsia="zh-CN"/>
        </w:rPr>
        <w:t>中心</w:t>
      </w:r>
      <w:r>
        <w:rPr>
          <w:rFonts w:hint="eastAsia" w:ascii="方正仿宋_GBK" w:hAnsi="方正仿宋_GBK" w:eastAsia="方正仿宋_GBK" w:cs="方正仿宋_GBK"/>
          <w:kern w:val="0"/>
          <w:sz w:val="32"/>
          <w:szCs w:val="32"/>
          <w:shd w:val="clear" w:fill="FFFFFF"/>
        </w:rPr>
        <w:t>未开展预算绩效管理工作。</w:t>
      </w:r>
    </w:p>
    <w:p w14:paraId="1FA4E15E">
      <w:pPr>
        <w:pStyle w:val="9"/>
        <w:keepNext w:val="0"/>
        <w:keepLines w:val="0"/>
        <w:pageBreakBefore w:val="0"/>
        <w:kinsoku/>
        <w:wordWrap/>
        <w:overflowPunct/>
        <w:autoSpaceDE w:val="0"/>
        <w:autoSpaceDN/>
        <w:bidi w:val="0"/>
        <w:adjustRightIn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（二）单位绩效评价情况</w:t>
      </w:r>
    </w:p>
    <w:p w14:paraId="6750C89B">
      <w:pPr>
        <w:pStyle w:val="9"/>
        <w:keepNext w:val="0"/>
        <w:keepLines w:val="0"/>
        <w:pageBreakBefore w:val="0"/>
        <w:kinsoku/>
        <w:wordWrap/>
        <w:overflowPunct/>
        <w:autoSpaceDE w:val="0"/>
        <w:autoSpaceDN/>
        <w:bidi w:val="0"/>
        <w:adjustRightInd/>
        <w:spacing w:beforeAutospacing="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497C3A4A">
      <w:pPr>
        <w:pStyle w:val="9"/>
        <w:keepNext w:val="0"/>
        <w:keepLines w:val="0"/>
        <w:pageBreakBefore w:val="0"/>
        <w:kinsoku/>
        <w:wordWrap/>
        <w:overflowPunct/>
        <w:autoSpaceDE w:val="0"/>
        <w:autoSpaceDN/>
        <w:bidi w:val="0"/>
        <w:adjustRightIn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（三）财政绩效评价情况</w:t>
      </w:r>
    </w:p>
    <w:p w14:paraId="50405E45">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市财政局未委托第三方对我单位开展绩效评价。</w:t>
      </w:r>
    </w:p>
    <w:p w14:paraId="0B3C622C">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hint="eastAsia" w:ascii="方正黑体_GBK" w:hAnsi="方正黑体_GBK" w:eastAsia="方正黑体_GBK" w:cs="方正黑体_GBK"/>
          <w:b w:val="0"/>
          <w:bCs/>
          <w:sz w:val="32"/>
          <w:szCs w:val="32"/>
          <w:shd w:val="clear" w:color="auto" w:fill="FFFFFF"/>
        </w:rPr>
        <w:t>六、专业名词解释</w:t>
      </w:r>
    </w:p>
    <w:p w14:paraId="1F72DF9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5841830">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7906791">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CDD967E">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99A6608">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635B0E5">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1E95F83A">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6AE2093">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356FA404">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D87972E">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8AC7176">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562DBBC">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9DDAE7C">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FC2669B">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DE7A522">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C44683A">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14:paraId="5B2AD53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B5EC51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七、决算公开联系方式及信息反馈渠道</w:t>
      </w:r>
    </w:p>
    <w:p w14:paraId="60D33B27">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023-733268</w:t>
      </w:r>
    </w:p>
    <w:p w14:paraId="01103C55">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0" w:firstLineChars="0"/>
        <w:jc w:val="both"/>
        <w:textAlignment w:val="auto"/>
        <w:rPr>
          <w:rFonts w:hint="default"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6BF4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4D9714F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40BB5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3C28BCE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石柱土家族自治县交通信息中心</w:t>
            </w:r>
          </w:p>
        </w:tc>
        <w:tc>
          <w:tcPr>
            <w:tcW w:w="4419" w:type="dxa"/>
            <w:tcBorders>
              <w:top w:val="nil"/>
              <w:left w:val="nil"/>
              <w:bottom w:val="nil"/>
              <w:right w:val="nil"/>
            </w:tcBorders>
            <w:shd w:val="clear" w:color="auto" w:fill="auto"/>
            <w:vAlign w:val="bottom"/>
          </w:tcPr>
          <w:p w14:paraId="7ACFBCA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65789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79C0BEBE">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4AAEE3E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B25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A6D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053D25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A75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341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2CFB49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7F3F5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31947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6D665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07C7D1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52D5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B882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247B7B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5A37D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7580B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6B6BE9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05B3D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0CA0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9F26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798FF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07BAF6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1,100,802.06 </w:t>
            </w:r>
          </w:p>
        </w:tc>
        <w:tc>
          <w:tcPr>
            <w:tcW w:w="4950" w:type="dxa"/>
            <w:tcBorders>
              <w:top w:val="nil"/>
              <w:left w:val="nil"/>
              <w:bottom w:val="single" w:color="000000" w:sz="4" w:space="0"/>
              <w:right w:val="single" w:color="000000" w:sz="4" w:space="0"/>
            </w:tcBorders>
            <w:shd w:val="clear" w:color="auto" w:fill="auto"/>
            <w:vAlign w:val="center"/>
          </w:tcPr>
          <w:p w14:paraId="44B37A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3F2CE6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80198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9EA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1B20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C3D1F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433822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0B713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78297C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4278D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FB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C63A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57192B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5BA751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5B56B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3E331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51187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793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B700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2F368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7BA62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34AEA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532013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0C50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89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8269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19A5FC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1DCF33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988A2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2F5C28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BE06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B9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CAA9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306780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67E897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375D9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12209C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3D6CC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142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EC08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52251D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62C9D7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82ACC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60910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59AB4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BD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159D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FDDD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59A3D3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7876D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35E82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FEEDC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141,446.56 </w:t>
            </w:r>
          </w:p>
        </w:tc>
      </w:tr>
      <w:tr w14:paraId="63CA8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1F804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7F991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EFFF3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17DCA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5A559B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4A783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47,041.68 </w:t>
            </w:r>
          </w:p>
        </w:tc>
      </w:tr>
      <w:tr w14:paraId="08B6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D7E36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0BE67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49A2B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B374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550F87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1D0B20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65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F889F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FA55F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22936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1FC8D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6352F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3A488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DA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E5A7C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319D7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4B015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A6545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533E5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4381E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C00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E4254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11D4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475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F52F6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58A6DA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E727D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863,502.54 </w:t>
            </w:r>
          </w:p>
        </w:tc>
      </w:tr>
      <w:tr w14:paraId="41D8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473A5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362D4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59C39B1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A4874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9A89B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A7EE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EA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139DD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88BFC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3A88EED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40706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4889E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8F8BA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AF2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6A7D6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D953B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3FB4651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D4CFA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28F4A6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42AA8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90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446BF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42A40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6237805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BF8AA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616649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2D31F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D4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6BF45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A4DF2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0D59C25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B9D80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67221C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651454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33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F2AF7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C1C2C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4F7298A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AF009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421B05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705626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48,811.28 </w:t>
            </w:r>
          </w:p>
        </w:tc>
      </w:tr>
      <w:tr w14:paraId="3303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3904D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ABE0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354076F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356B1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4123DF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622FD1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00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3F3A3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F2BA8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1808841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3AF77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3AA5E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96CCF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C45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C6EF5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1991D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474450D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A4CB9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34035E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71D08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B61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3882F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24F7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32CDF3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8FEFA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15440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0E275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41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F808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2CEE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519B396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5F6FB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53770A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E802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47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71A3A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CA732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608DE30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D55CB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3B5ED7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C84C8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D3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6073D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2EB8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7AAC872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FD3E4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534A9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BE800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9D4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30A1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16382A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78A8E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1,100,802.06 </w:t>
            </w:r>
          </w:p>
        </w:tc>
        <w:tc>
          <w:tcPr>
            <w:tcW w:w="4950" w:type="dxa"/>
            <w:tcBorders>
              <w:top w:val="nil"/>
              <w:left w:val="nil"/>
              <w:bottom w:val="single" w:color="000000" w:sz="4" w:space="0"/>
              <w:right w:val="single" w:color="000000" w:sz="4" w:space="0"/>
            </w:tcBorders>
            <w:shd w:val="clear" w:color="auto" w:fill="auto"/>
            <w:vAlign w:val="center"/>
          </w:tcPr>
          <w:p w14:paraId="74632C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24AE4F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08572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1,100,802.06 </w:t>
            </w:r>
          </w:p>
        </w:tc>
      </w:tr>
      <w:tr w14:paraId="281F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7156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493E1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3627E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D0A5D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2D19F5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2A4D2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F4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543A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4501C4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63DC8A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4E9AE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BC7F7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DD4EC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2F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90A7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45908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B6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1,100,802.06 </w:t>
            </w:r>
          </w:p>
        </w:tc>
        <w:tc>
          <w:tcPr>
            <w:tcW w:w="4950" w:type="dxa"/>
            <w:tcBorders>
              <w:top w:val="nil"/>
              <w:left w:val="nil"/>
              <w:bottom w:val="single" w:color="000000" w:sz="4" w:space="0"/>
              <w:right w:val="single" w:color="000000" w:sz="4" w:space="0"/>
            </w:tcBorders>
            <w:shd w:val="clear" w:color="auto" w:fill="auto"/>
            <w:vAlign w:val="center"/>
          </w:tcPr>
          <w:p w14:paraId="5626F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44D53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D65A8C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1,100,802.06</w:t>
            </w:r>
          </w:p>
        </w:tc>
      </w:tr>
    </w:tbl>
    <w:p w14:paraId="1E242905">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55D2C692">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30CB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AA7F61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060D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2D280FF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石柱土家族自治县交通信息中心</w:t>
            </w:r>
          </w:p>
        </w:tc>
        <w:tc>
          <w:tcPr>
            <w:tcW w:w="2408" w:type="dxa"/>
            <w:tcBorders>
              <w:top w:val="nil"/>
              <w:left w:val="nil"/>
              <w:right w:val="nil"/>
            </w:tcBorders>
            <w:shd w:val="clear" w:color="auto" w:fill="auto"/>
            <w:vAlign w:val="bottom"/>
          </w:tcPr>
          <w:p w14:paraId="1760D3E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077D05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1F0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3C7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2EEE8F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71123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A5BA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83846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8C363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48987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000A0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6708E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25A8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6BB1F">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FDB705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EA3ED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7DB723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966B4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58B73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786B6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8DDC47">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738F710">
            <w:pPr>
              <w:jc w:val="center"/>
              <w:rPr>
                <w:rFonts w:hint="eastAsia" w:ascii="宋体" w:hAnsi="宋体" w:eastAsia="宋体" w:cs="宋体"/>
                <w:i w:val="0"/>
                <w:iCs w:val="0"/>
                <w:color w:val="000000"/>
                <w:sz w:val="22"/>
                <w:szCs w:val="22"/>
                <w:u w:val="none"/>
              </w:rPr>
            </w:pPr>
          </w:p>
        </w:tc>
      </w:tr>
      <w:tr w14:paraId="0C67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21355">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7D36D7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9F3D60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E860C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DA678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5CBA5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AABA4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B9862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87E3EE1">
            <w:pPr>
              <w:jc w:val="center"/>
              <w:rPr>
                <w:rFonts w:hint="eastAsia" w:ascii="宋体" w:hAnsi="宋体" w:eastAsia="宋体" w:cs="宋体"/>
                <w:i w:val="0"/>
                <w:iCs w:val="0"/>
                <w:color w:val="000000"/>
                <w:sz w:val="22"/>
                <w:szCs w:val="22"/>
                <w:u w:val="none"/>
              </w:rPr>
            </w:pPr>
          </w:p>
        </w:tc>
      </w:tr>
      <w:tr w14:paraId="435A7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E19F3">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2F2EF8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A02D1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1D5A5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3B932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90BD1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3C0BA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A849B6">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B87A7A6">
            <w:pPr>
              <w:jc w:val="center"/>
              <w:rPr>
                <w:rFonts w:hint="eastAsia" w:ascii="宋体" w:hAnsi="宋体" w:eastAsia="宋体" w:cs="宋体"/>
                <w:i w:val="0"/>
                <w:iCs w:val="0"/>
                <w:color w:val="000000"/>
                <w:sz w:val="22"/>
                <w:szCs w:val="22"/>
                <w:u w:val="none"/>
              </w:rPr>
            </w:pPr>
          </w:p>
        </w:tc>
      </w:tr>
      <w:tr w14:paraId="5E3A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12AB85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090E78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46EE72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195F92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4011CC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9916E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06146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0B5FA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31A7E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21835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35B1B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7EBF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5AE51140">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435C99ED">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E8A3F2B">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2D7FB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238933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1,100,802.06 </w:t>
            </w:r>
          </w:p>
        </w:tc>
        <w:tc>
          <w:tcPr>
            <w:tcW w:w="2403" w:type="dxa"/>
            <w:tcBorders>
              <w:top w:val="nil"/>
              <w:left w:val="nil"/>
              <w:bottom w:val="single" w:color="000000" w:sz="4" w:space="0"/>
              <w:right w:val="single" w:color="000000" w:sz="4" w:space="0"/>
            </w:tcBorders>
            <w:shd w:val="clear" w:color="auto" w:fill="auto"/>
            <w:vAlign w:val="center"/>
          </w:tcPr>
          <w:p w14:paraId="6CF712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1,100,802.06 </w:t>
            </w:r>
          </w:p>
        </w:tc>
        <w:tc>
          <w:tcPr>
            <w:tcW w:w="2403" w:type="dxa"/>
            <w:tcBorders>
              <w:top w:val="nil"/>
              <w:left w:val="nil"/>
              <w:bottom w:val="single" w:color="000000" w:sz="4" w:space="0"/>
              <w:right w:val="single" w:color="000000" w:sz="4" w:space="0"/>
            </w:tcBorders>
            <w:shd w:val="clear" w:color="auto" w:fill="auto"/>
            <w:vAlign w:val="center"/>
          </w:tcPr>
          <w:p w14:paraId="30F4EC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C5DE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655A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6736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C04E1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0EB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6DAB30">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26D45D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0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141,446.56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8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141,446.56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AE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C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7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FC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B8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B85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AC367D">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286674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F4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141,446.56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7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141,446.56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0A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38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E6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79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A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7A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9CFA6E">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2A7399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E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94,298.04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9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94,298.04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D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4E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6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3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60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B27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A6C336">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126B5D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5F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47,148.52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46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47,148.52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E5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BE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3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1E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9C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E9D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CE6EF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56F107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0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47,041.68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EB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47,041.68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AB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13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4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E9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C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A2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93F806">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49D941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C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47,041.68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C4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47,041.68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33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1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9D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21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E4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279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FD4722">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6494EA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C8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38,641.68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BB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38,641.68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CF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5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27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C7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82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1D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E49335">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007E49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B6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5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3E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4C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3A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14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1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8E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1B2674">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14:paraId="0E7E0D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72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863,502.54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97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863,502.54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8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B1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8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E3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8D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357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666A1C">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14:paraId="7924B7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B1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863,502.54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1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863,502.54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AD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36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CA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9B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0D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EFE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60EFA8">
            <w:pPr>
              <w:textAlignment w:val="center"/>
              <w:rPr>
                <w:rFonts w:hint="eastAsia" w:ascii="宋体" w:hAnsi="宋体" w:eastAsia="宋体" w:cs="宋体"/>
                <w:i w:val="0"/>
                <w:iCs w:val="0"/>
                <w:color w:val="000000"/>
                <w:sz w:val="22"/>
                <w:szCs w:val="22"/>
                <w:u w:val="none"/>
              </w:rPr>
            </w:pPr>
            <w:r>
              <w:rPr>
                <w:rFonts w:cs="宋体"/>
                <w:color w:val="000000"/>
                <w:sz w:val="22"/>
                <w:szCs w:val="22"/>
              </w:rPr>
              <w:t>2140109</w:t>
            </w:r>
          </w:p>
        </w:tc>
        <w:tc>
          <w:tcPr>
            <w:tcW w:w="3900" w:type="dxa"/>
            <w:tcBorders>
              <w:top w:val="nil"/>
              <w:left w:val="nil"/>
              <w:bottom w:val="single" w:color="000000" w:sz="4" w:space="0"/>
              <w:right w:val="single" w:color="000000" w:sz="4" w:space="0"/>
            </w:tcBorders>
            <w:shd w:val="clear" w:color="auto" w:fill="auto"/>
            <w:vAlign w:val="center"/>
          </w:tcPr>
          <w:p w14:paraId="2E0DD6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交通运输信息化建设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A3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863,502.54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1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863,502.54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FC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4A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C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A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4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78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50AE45">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656CF1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38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48,811.28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6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48,811.28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9F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2B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A9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6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44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A5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4F61DF2">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0712A6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A0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48,811.28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82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48,811.28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02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A7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8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37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F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13C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EC46C97">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5A94C5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0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48,811.28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3D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48,811.28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3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4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5B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F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52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166A89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4B24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4F56CF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30F7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5484B9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石柱土家族自治县交通信息中心 </w:t>
            </w:r>
          </w:p>
        </w:tc>
        <w:tc>
          <w:tcPr>
            <w:tcW w:w="2741" w:type="dxa"/>
            <w:tcBorders>
              <w:top w:val="nil"/>
              <w:left w:val="nil"/>
              <w:bottom w:val="nil"/>
              <w:right w:val="nil"/>
            </w:tcBorders>
            <w:shd w:val="clear" w:color="auto" w:fill="auto"/>
            <w:vAlign w:val="bottom"/>
          </w:tcPr>
          <w:p w14:paraId="28B06FD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2279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477A490">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273DF7C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BD88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852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493214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9FA10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B99DC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0F546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16FBE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30620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1667E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35EE7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DC056">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4C1840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66216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F0978E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746D6C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F01AE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9218C25">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E2967EE">
            <w:pPr>
              <w:jc w:val="center"/>
              <w:rPr>
                <w:rFonts w:hint="eastAsia" w:ascii="宋体" w:hAnsi="宋体" w:eastAsia="宋体" w:cs="宋体"/>
                <w:i w:val="0"/>
                <w:iCs w:val="0"/>
                <w:color w:val="000000"/>
                <w:sz w:val="22"/>
                <w:szCs w:val="22"/>
                <w:u w:val="none"/>
              </w:rPr>
            </w:pPr>
          </w:p>
        </w:tc>
      </w:tr>
      <w:tr w14:paraId="142FA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EFD3A">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C39A5D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25BE4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23B32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E82A2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1BCC8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EFAD84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96BCC51">
            <w:pPr>
              <w:jc w:val="center"/>
              <w:rPr>
                <w:rFonts w:hint="eastAsia" w:ascii="宋体" w:hAnsi="宋体" w:eastAsia="宋体" w:cs="宋体"/>
                <w:i w:val="0"/>
                <w:iCs w:val="0"/>
                <w:color w:val="000000"/>
                <w:sz w:val="22"/>
                <w:szCs w:val="22"/>
                <w:u w:val="none"/>
              </w:rPr>
            </w:pPr>
          </w:p>
        </w:tc>
      </w:tr>
      <w:tr w14:paraId="4FBDC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CEF58">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E4A895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26C38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B5F919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25FB0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AFF5C3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28CE3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A143AB3">
            <w:pPr>
              <w:jc w:val="center"/>
              <w:rPr>
                <w:rFonts w:hint="eastAsia" w:ascii="宋体" w:hAnsi="宋体" w:eastAsia="宋体" w:cs="宋体"/>
                <w:i w:val="0"/>
                <w:iCs w:val="0"/>
                <w:color w:val="000000"/>
                <w:sz w:val="22"/>
                <w:szCs w:val="22"/>
                <w:u w:val="none"/>
              </w:rPr>
            </w:pPr>
          </w:p>
        </w:tc>
      </w:tr>
      <w:tr w14:paraId="5EAC9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22CD80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6DFFAC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511AC4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0B6F53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2C415F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5F411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A55C0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E7472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95D56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8F835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2243C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1C4162F2">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91066F7">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568F2F8B">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DABA5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890C2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1,100,802.06 </w:t>
            </w:r>
          </w:p>
        </w:tc>
        <w:tc>
          <w:tcPr>
            <w:tcW w:w="2737" w:type="dxa"/>
            <w:tcBorders>
              <w:top w:val="nil"/>
              <w:left w:val="nil"/>
              <w:bottom w:val="single" w:color="000000" w:sz="4" w:space="0"/>
              <w:right w:val="single" w:color="000000" w:sz="4" w:space="0"/>
            </w:tcBorders>
            <w:shd w:val="clear" w:color="auto" w:fill="auto"/>
            <w:vAlign w:val="center"/>
          </w:tcPr>
          <w:p w14:paraId="2A2B9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1,100,802.06 </w:t>
            </w:r>
          </w:p>
        </w:tc>
        <w:tc>
          <w:tcPr>
            <w:tcW w:w="2737" w:type="dxa"/>
            <w:tcBorders>
              <w:top w:val="nil"/>
              <w:left w:val="nil"/>
              <w:bottom w:val="single" w:color="000000" w:sz="4" w:space="0"/>
              <w:right w:val="single" w:color="000000" w:sz="4" w:space="0"/>
            </w:tcBorders>
            <w:shd w:val="clear" w:color="auto" w:fill="auto"/>
            <w:vAlign w:val="center"/>
          </w:tcPr>
          <w:p w14:paraId="666DC9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2AAA3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17BCE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5F895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45A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AC7E46">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3925E9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D3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141,446.56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0E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141,446.56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8C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3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8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E6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76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A136799">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57888B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4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141,446.56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C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141,446.56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A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B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F7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76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9A9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9C259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1AF211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0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94,298.04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9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94,298.04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4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2F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75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3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F65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15355F">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698BD6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1B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47,148.52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5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47,148.52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B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65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1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76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EC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05EF63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DBD09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7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47,041.68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A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47,041.68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E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26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70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9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F13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C68942">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5BB0AC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5D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47,041.68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9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47,041.68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00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1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3F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ED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46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755535E">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05F518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DA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38,641.68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51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38,641.68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1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4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DF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FF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D54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7B848C">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35520A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4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4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1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46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43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37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158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C4ECE9">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14:paraId="776750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D7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863,502.54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0E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863,502.54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6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0C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C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C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EC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30085F">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14:paraId="5A2D41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9E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863,502.54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D5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863,502.54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D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32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40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F5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9C8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33783E">
            <w:pPr>
              <w:textAlignment w:val="center"/>
              <w:rPr>
                <w:rFonts w:hint="eastAsia" w:ascii="宋体" w:hAnsi="宋体" w:eastAsia="宋体" w:cs="宋体"/>
                <w:i w:val="0"/>
                <w:iCs w:val="0"/>
                <w:color w:val="000000"/>
                <w:sz w:val="22"/>
                <w:szCs w:val="22"/>
                <w:u w:val="none"/>
              </w:rPr>
            </w:pPr>
            <w:r>
              <w:rPr>
                <w:rFonts w:cs="宋体"/>
                <w:color w:val="000000"/>
                <w:sz w:val="22"/>
                <w:szCs w:val="22"/>
              </w:rPr>
              <w:t>2140109</w:t>
            </w:r>
          </w:p>
        </w:tc>
        <w:tc>
          <w:tcPr>
            <w:tcW w:w="4433" w:type="dxa"/>
            <w:tcBorders>
              <w:top w:val="nil"/>
              <w:left w:val="nil"/>
              <w:bottom w:val="single" w:color="000000" w:sz="4" w:space="0"/>
              <w:right w:val="single" w:color="000000" w:sz="4" w:space="0"/>
            </w:tcBorders>
            <w:shd w:val="clear" w:color="auto" w:fill="auto"/>
            <w:vAlign w:val="center"/>
          </w:tcPr>
          <w:p w14:paraId="35541C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交通运输信息化建设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17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863,502.54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9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863,502.54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B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CD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3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60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8D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617445">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34C10E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06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48,811.28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3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48,811.28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12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AB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5A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69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E8F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2778C1">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123332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3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48,811.28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6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48,811.28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62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1B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3C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12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E8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2F714D">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7C006B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C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48,811.28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5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48,811.28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F7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36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9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BA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966B77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A2A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1568F8D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3A594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A66E0E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石柱土家族自治县交通信息中心</w:t>
            </w:r>
          </w:p>
        </w:tc>
        <w:tc>
          <w:tcPr>
            <w:tcW w:w="2874" w:type="dxa"/>
            <w:tcBorders>
              <w:top w:val="nil"/>
              <w:left w:val="nil"/>
              <w:bottom w:val="nil"/>
              <w:right w:val="nil"/>
            </w:tcBorders>
            <w:shd w:val="clear" w:color="auto" w:fill="auto"/>
            <w:vAlign w:val="bottom"/>
          </w:tcPr>
          <w:p w14:paraId="3492393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4DF5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CA07D66">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3DDDC80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7B03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87B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6A53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292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CF8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5C5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E2D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AE5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AE4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0DB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077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31E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476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67C8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51B53">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44967">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AB206">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107BA">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2CC14">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49994">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23264">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34F85">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13B6A">
            <w:pPr>
              <w:jc w:val="center"/>
              <w:rPr>
                <w:rFonts w:hint="eastAsia" w:ascii="宋体" w:hAnsi="宋体" w:eastAsia="宋体" w:cs="宋体"/>
                <w:i w:val="0"/>
                <w:iCs w:val="0"/>
                <w:color w:val="000000"/>
                <w:sz w:val="22"/>
                <w:szCs w:val="22"/>
                <w:u w:val="none"/>
              </w:rPr>
            </w:pPr>
          </w:p>
        </w:tc>
      </w:tr>
      <w:tr w14:paraId="766CC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C5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BDF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AA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E8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7BE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07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7A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E8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4C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7C1F7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EC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7F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34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1,100,802.06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1E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A7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4E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53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00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3C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1ED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50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EA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76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19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52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21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CE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3E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91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A9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D9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23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6B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E0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BB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4B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00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37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CA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0D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7EB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4C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141D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1F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40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8F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72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B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5E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A1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B84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57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7E094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1E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02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7A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21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F1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90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B6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E30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A2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8AD44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C9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97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D6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E5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47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C5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11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81A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AF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C8A73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59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10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4F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E5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51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64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89C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0C5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D8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BD0E8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EA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DE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67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141,446.56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6C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141,446.56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FD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E3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C8D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DC3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02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8467A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8C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C4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33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47,041.68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DD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47,041.68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54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0D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B7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275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46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1AE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1E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81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0E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7C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8B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BD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19C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CF1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4D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8EC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99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04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82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E4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19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A1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64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6B3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43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18C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63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B0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FB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72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BB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C9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00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36A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1E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76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AD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DA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99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863,502.54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7C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863,502.54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D4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CD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BC3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2E8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18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099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FB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EB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40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1C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36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CF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1F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3F2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AA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6E7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58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F4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F2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CD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AA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1C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70D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DE5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FF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C8F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3D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8A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67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AE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53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85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39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00D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52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18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10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23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82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6C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DF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19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598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8B6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61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E68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84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04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A8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0E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AB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56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12C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88C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1C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68F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28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40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EF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48,811.28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77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48,811.28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85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DD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B4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96E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6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4AB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DE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FC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CC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59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CF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98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C7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1AD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8A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2B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48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F6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90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07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4C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57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D7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DCE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02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4A1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7C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15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D1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34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B5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38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87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BA7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AB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546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7C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5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96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06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CF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88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4B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BC3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96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3F4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E1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61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7B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05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78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F5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06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F1B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6E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DF6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43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7D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87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59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17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03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4FB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98A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D8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E6A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8A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0B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FF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22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8B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BD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3C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09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D8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0E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1,100,802.06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4A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5B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3A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1,100,802.06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52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1,100,802.06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DC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6A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99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E2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C2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8B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40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A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9D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32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09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30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564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75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9A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1B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FBF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6B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DEBDA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C6EB9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9ABE6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D15C2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C9E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BA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3D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F7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4D4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ED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5C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9DA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8F6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7DF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A38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C5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26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78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229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0D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15C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57E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127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B72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7645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FD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2F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E4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1,100,802.06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70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2F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73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1,100,802.06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CC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1,100,802.06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2E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FB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15391A5F">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D89E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CD3DC3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4428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316D02D">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石柱土家族自治县交通信息中心</w:t>
            </w:r>
          </w:p>
        </w:tc>
        <w:tc>
          <w:tcPr>
            <w:tcW w:w="1156" w:type="dxa"/>
            <w:tcBorders>
              <w:top w:val="nil"/>
              <w:left w:val="nil"/>
              <w:bottom w:val="nil"/>
              <w:right w:val="nil"/>
            </w:tcBorders>
            <w:shd w:val="clear" w:color="auto" w:fill="auto"/>
            <w:vAlign w:val="bottom"/>
          </w:tcPr>
          <w:p w14:paraId="33C1C46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187D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6419B3C">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C50ABC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3D0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3D5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453B9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42731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B1E7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C26B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A4C6A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A05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5E2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96A3E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B8F1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8AF6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65AED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AEB0D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5FC75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87EAB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A6687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7D6D9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E207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B8D0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287A1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B773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5A1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315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63C21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A8F1D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10D18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BE37B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E0862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03441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3BFD3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86D29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6A442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A9262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6E179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EB1F5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590E6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0375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B7F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867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B2702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59005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CE7D7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7E733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E0CD0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0E6B1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4022A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72920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EF061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432BB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10477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88E7B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63A28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CA509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607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25C1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841C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8AE62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C17D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8D891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EB0B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5BF45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8EBC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02677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1B27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162D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56D49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44E6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279A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B5E6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5D67B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E3E3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3557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C538D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81E16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C8E1E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F75C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4167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9981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AA0A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10A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1,100,802.06 </w:t>
            </w:r>
          </w:p>
        </w:tc>
        <w:tc>
          <w:tcPr>
            <w:tcW w:w="1666" w:type="dxa"/>
            <w:tcBorders>
              <w:top w:val="nil"/>
              <w:left w:val="nil"/>
              <w:bottom w:val="single" w:color="000000" w:sz="4" w:space="0"/>
              <w:right w:val="single" w:color="000000" w:sz="4" w:space="0"/>
            </w:tcBorders>
            <w:shd w:val="clear" w:color="auto" w:fill="auto"/>
            <w:vAlign w:val="center"/>
          </w:tcPr>
          <w:p w14:paraId="1B8C6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1,100,802.06 </w:t>
            </w:r>
          </w:p>
        </w:tc>
        <w:tc>
          <w:tcPr>
            <w:tcW w:w="1684" w:type="dxa"/>
            <w:tcBorders>
              <w:top w:val="nil"/>
              <w:left w:val="nil"/>
              <w:bottom w:val="single" w:color="000000" w:sz="4" w:space="0"/>
              <w:right w:val="single" w:color="000000" w:sz="4" w:space="0"/>
            </w:tcBorders>
            <w:shd w:val="clear" w:color="auto" w:fill="auto"/>
            <w:vAlign w:val="center"/>
          </w:tcPr>
          <w:p w14:paraId="6ACBE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2C7E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1,100,802.06 </w:t>
            </w:r>
          </w:p>
        </w:tc>
        <w:tc>
          <w:tcPr>
            <w:tcW w:w="1700" w:type="dxa"/>
            <w:tcBorders>
              <w:top w:val="nil"/>
              <w:left w:val="nil"/>
              <w:bottom w:val="single" w:color="000000" w:sz="4" w:space="0"/>
              <w:right w:val="single" w:color="000000" w:sz="4" w:space="0"/>
            </w:tcBorders>
            <w:shd w:val="clear" w:color="auto" w:fill="auto"/>
            <w:vAlign w:val="center"/>
          </w:tcPr>
          <w:p w14:paraId="33112F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1,100,802.06 </w:t>
            </w:r>
          </w:p>
        </w:tc>
        <w:tc>
          <w:tcPr>
            <w:tcW w:w="1733" w:type="dxa"/>
            <w:tcBorders>
              <w:top w:val="nil"/>
              <w:left w:val="nil"/>
              <w:bottom w:val="single" w:color="000000" w:sz="4" w:space="0"/>
              <w:right w:val="single" w:color="000000" w:sz="4" w:space="0"/>
            </w:tcBorders>
            <w:shd w:val="clear" w:color="auto" w:fill="auto"/>
            <w:vAlign w:val="center"/>
          </w:tcPr>
          <w:p w14:paraId="3783D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92B09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8F43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5C10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C4C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64BF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2750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6A6E96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26F59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7BA8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6B8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266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141,446.56 </w:t>
            </w:r>
          </w:p>
        </w:tc>
        <w:tc>
          <w:tcPr>
            <w:tcW w:w="1666" w:type="dxa"/>
            <w:tcBorders>
              <w:top w:val="nil"/>
              <w:left w:val="nil"/>
              <w:bottom w:val="single" w:color="000000" w:sz="4" w:space="0"/>
              <w:right w:val="single" w:color="000000" w:sz="4" w:space="0"/>
            </w:tcBorders>
            <w:shd w:val="clear" w:color="auto" w:fill="auto"/>
            <w:vAlign w:val="center"/>
          </w:tcPr>
          <w:p w14:paraId="481F38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141,446.56 </w:t>
            </w:r>
          </w:p>
        </w:tc>
        <w:tc>
          <w:tcPr>
            <w:tcW w:w="1684" w:type="dxa"/>
            <w:tcBorders>
              <w:top w:val="nil"/>
              <w:left w:val="nil"/>
              <w:bottom w:val="single" w:color="000000" w:sz="4" w:space="0"/>
              <w:right w:val="single" w:color="000000" w:sz="4" w:space="0"/>
            </w:tcBorders>
            <w:shd w:val="clear" w:color="auto" w:fill="auto"/>
            <w:vAlign w:val="center"/>
          </w:tcPr>
          <w:p w14:paraId="0159FB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35E3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141,446.56 </w:t>
            </w:r>
          </w:p>
        </w:tc>
        <w:tc>
          <w:tcPr>
            <w:tcW w:w="1700" w:type="dxa"/>
            <w:tcBorders>
              <w:top w:val="nil"/>
              <w:left w:val="nil"/>
              <w:bottom w:val="single" w:color="000000" w:sz="4" w:space="0"/>
              <w:right w:val="single" w:color="000000" w:sz="4" w:space="0"/>
            </w:tcBorders>
            <w:shd w:val="clear" w:color="auto" w:fill="auto"/>
            <w:vAlign w:val="center"/>
          </w:tcPr>
          <w:p w14:paraId="5D3CEA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141,446.56 </w:t>
            </w:r>
          </w:p>
        </w:tc>
        <w:tc>
          <w:tcPr>
            <w:tcW w:w="1733" w:type="dxa"/>
            <w:tcBorders>
              <w:top w:val="nil"/>
              <w:left w:val="nil"/>
              <w:bottom w:val="single" w:color="000000" w:sz="4" w:space="0"/>
              <w:right w:val="single" w:color="000000" w:sz="4" w:space="0"/>
            </w:tcBorders>
            <w:shd w:val="clear" w:color="auto" w:fill="auto"/>
            <w:vAlign w:val="center"/>
          </w:tcPr>
          <w:p w14:paraId="3EEE3A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FE7C9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9FA7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7D2F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0476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DB6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F7CF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A8713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F731E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ECA4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E294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53D6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141,446.56 </w:t>
            </w:r>
          </w:p>
        </w:tc>
        <w:tc>
          <w:tcPr>
            <w:tcW w:w="1666" w:type="dxa"/>
            <w:tcBorders>
              <w:top w:val="nil"/>
              <w:left w:val="nil"/>
              <w:bottom w:val="single" w:color="000000" w:sz="4" w:space="0"/>
              <w:right w:val="single" w:color="000000" w:sz="4" w:space="0"/>
            </w:tcBorders>
            <w:shd w:val="clear" w:color="auto" w:fill="auto"/>
            <w:vAlign w:val="center"/>
          </w:tcPr>
          <w:p w14:paraId="731904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141,446.56 </w:t>
            </w:r>
          </w:p>
        </w:tc>
        <w:tc>
          <w:tcPr>
            <w:tcW w:w="1684" w:type="dxa"/>
            <w:tcBorders>
              <w:top w:val="nil"/>
              <w:left w:val="nil"/>
              <w:bottom w:val="single" w:color="000000" w:sz="4" w:space="0"/>
              <w:right w:val="single" w:color="000000" w:sz="4" w:space="0"/>
            </w:tcBorders>
            <w:shd w:val="clear" w:color="auto" w:fill="auto"/>
            <w:vAlign w:val="center"/>
          </w:tcPr>
          <w:p w14:paraId="64646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D75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141,446.56 </w:t>
            </w:r>
          </w:p>
        </w:tc>
        <w:tc>
          <w:tcPr>
            <w:tcW w:w="1700" w:type="dxa"/>
            <w:tcBorders>
              <w:top w:val="nil"/>
              <w:left w:val="nil"/>
              <w:bottom w:val="single" w:color="000000" w:sz="4" w:space="0"/>
              <w:right w:val="single" w:color="000000" w:sz="4" w:space="0"/>
            </w:tcBorders>
            <w:shd w:val="clear" w:color="auto" w:fill="auto"/>
            <w:vAlign w:val="center"/>
          </w:tcPr>
          <w:p w14:paraId="06F773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141,446.56 </w:t>
            </w:r>
          </w:p>
        </w:tc>
        <w:tc>
          <w:tcPr>
            <w:tcW w:w="1733" w:type="dxa"/>
            <w:tcBorders>
              <w:top w:val="nil"/>
              <w:left w:val="nil"/>
              <w:bottom w:val="single" w:color="000000" w:sz="4" w:space="0"/>
              <w:right w:val="single" w:color="000000" w:sz="4" w:space="0"/>
            </w:tcBorders>
            <w:shd w:val="clear" w:color="auto" w:fill="auto"/>
            <w:vAlign w:val="center"/>
          </w:tcPr>
          <w:p w14:paraId="5D877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E7FB5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A162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9CC9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2ED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02E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E621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4BBD4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2135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A2BD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073E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563B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94,298.04 </w:t>
            </w:r>
          </w:p>
        </w:tc>
        <w:tc>
          <w:tcPr>
            <w:tcW w:w="1666" w:type="dxa"/>
            <w:tcBorders>
              <w:top w:val="nil"/>
              <w:left w:val="nil"/>
              <w:bottom w:val="single" w:color="000000" w:sz="4" w:space="0"/>
              <w:right w:val="single" w:color="000000" w:sz="4" w:space="0"/>
            </w:tcBorders>
            <w:shd w:val="clear" w:color="auto" w:fill="auto"/>
            <w:vAlign w:val="center"/>
          </w:tcPr>
          <w:p w14:paraId="77AEBE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94,298.04 </w:t>
            </w:r>
          </w:p>
        </w:tc>
        <w:tc>
          <w:tcPr>
            <w:tcW w:w="1684" w:type="dxa"/>
            <w:tcBorders>
              <w:top w:val="nil"/>
              <w:left w:val="nil"/>
              <w:bottom w:val="single" w:color="000000" w:sz="4" w:space="0"/>
              <w:right w:val="single" w:color="000000" w:sz="4" w:space="0"/>
            </w:tcBorders>
            <w:shd w:val="clear" w:color="auto" w:fill="auto"/>
            <w:vAlign w:val="center"/>
          </w:tcPr>
          <w:p w14:paraId="4FECD8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14EC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94,298.04 </w:t>
            </w:r>
          </w:p>
        </w:tc>
        <w:tc>
          <w:tcPr>
            <w:tcW w:w="1700" w:type="dxa"/>
            <w:tcBorders>
              <w:top w:val="nil"/>
              <w:left w:val="nil"/>
              <w:bottom w:val="single" w:color="000000" w:sz="4" w:space="0"/>
              <w:right w:val="single" w:color="000000" w:sz="4" w:space="0"/>
            </w:tcBorders>
            <w:shd w:val="clear" w:color="auto" w:fill="auto"/>
            <w:vAlign w:val="center"/>
          </w:tcPr>
          <w:p w14:paraId="027629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94,298.04 </w:t>
            </w:r>
          </w:p>
        </w:tc>
        <w:tc>
          <w:tcPr>
            <w:tcW w:w="1733" w:type="dxa"/>
            <w:tcBorders>
              <w:top w:val="nil"/>
              <w:left w:val="nil"/>
              <w:bottom w:val="single" w:color="000000" w:sz="4" w:space="0"/>
              <w:right w:val="single" w:color="000000" w:sz="4" w:space="0"/>
            </w:tcBorders>
            <w:shd w:val="clear" w:color="auto" w:fill="auto"/>
            <w:vAlign w:val="center"/>
          </w:tcPr>
          <w:p w14:paraId="44934E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7F71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85C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F37C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BFE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CFA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7442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6794FF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CCAC0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B11F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BA32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368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47,148.52 </w:t>
            </w:r>
          </w:p>
        </w:tc>
        <w:tc>
          <w:tcPr>
            <w:tcW w:w="1666" w:type="dxa"/>
            <w:tcBorders>
              <w:top w:val="nil"/>
              <w:left w:val="nil"/>
              <w:bottom w:val="single" w:color="000000" w:sz="4" w:space="0"/>
              <w:right w:val="single" w:color="000000" w:sz="4" w:space="0"/>
            </w:tcBorders>
            <w:shd w:val="clear" w:color="auto" w:fill="auto"/>
            <w:vAlign w:val="center"/>
          </w:tcPr>
          <w:p w14:paraId="2BF8D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47,148.52 </w:t>
            </w:r>
          </w:p>
        </w:tc>
        <w:tc>
          <w:tcPr>
            <w:tcW w:w="1684" w:type="dxa"/>
            <w:tcBorders>
              <w:top w:val="nil"/>
              <w:left w:val="nil"/>
              <w:bottom w:val="single" w:color="000000" w:sz="4" w:space="0"/>
              <w:right w:val="single" w:color="000000" w:sz="4" w:space="0"/>
            </w:tcBorders>
            <w:shd w:val="clear" w:color="auto" w:fill="auto"/>
            <w:vAlign w:val="center"/>
          </w:tcPr>
          <w:p w14:paraId="728D1B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500E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47,148.52 </w:t>
            </w:r>
          </w:p>
        </w:tc>
        <w:tc>
          <w:tcPr>
            <w:tcW w:w="1700" w:type="dxa"/>
            <w:tcBorders>
              <w:top w:val="nil"/>
              <w:left w:val="nil"/>
              <w:bottom w:val="single" w:color="000000" w:sz="4" w:space="0"/>
              <w:right w:val="single" w:color="000000" w:sz="4" w:space="0"/>
            </w:tcBorders>
            <w:shd w:val="clear" w:color="auto" w:fill="auto"/>
            <w:vAlign w:val="center"/>
          </w:tcPr>
          <w:p w14:paraId="02B475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47,148.52 </w:t>
            </w:r>
          </w:p>
        </w:tc>
        <w:tc>
          <w:tcPr>
            <w:tcW w:w="1733" w:type="dxa"/>
            <w:tcBorders>
              <w:top w:val="nil"/>
              <w:left w:val="nil"/>
              <w:bottom w:val="single" w:color="000000" w:sz="4" w:space="0"/>
              <w:right w:val="single" w:color="000000" w:sz="4" w:space="0"/>
            </w:tcBorders>
            <w:shd w:val="clear" w:color="auto" w:fill="auto"/>
            <w:vAlign w:val="center"/>
          </w:tcPr>
          <w:p w14:paraId="2ED515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DE4AC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1914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84C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BFF0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BB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BB3F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0767A6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18C11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E18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9BD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204E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47,041.68 </w:t>
            </w:r>
          </w:p>
        </w:tc>
        <w:tc>
          <w:tcPr>
            <w:tcW w:w="1666" w:type="dxa"/>
            <w:tcBorders>
              <w:top w:val="nil"/>
              <w:left w:val="nil"/>
              <w:bottom w:val="single" w:color="000000" w:sz="4" w:space="0"/>
              <w:right w:val="single" w:color="000000" w:sz="4" w:space="0"/>
            </w:tcBorders>
            <w:shd w:val="clear" w:color="auto" w:fill="auto"/>
            <w:vAlign w:val="center"/>
          </w:tcPr>
          <w:p w14:paraId="41AC81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47,041.68 </w:t>
            </w:r>
          </w:p>
        </w:tc>
        <w:tc>
          <w:tcPr>
            <w:tcW w:w="1684" w:type="dxa"/>
            <w:tcBorders>
              <w:top w:val="nil"/>
              <w:left w:val="nil"/>
              <w:bottom w:val="single" w:color="000000" w:sz="4" w:space="0"/>
              <w:right w:val="single" w:color="000000" w:sz="4" w:space="0"/>
            </w:tcBorders>
            <w:shd w:val="clear" w:color="auto" w:fill="auto"/>
            <w:vAlign w:val="center"/>
          </w:tcPr>
          <w:p w14:paraId="21BBB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6966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47,041.68 </w:t>
            </w:r>
          </w:p>
        </w:tc>
        <w:tc>
          <w:tcPr>
            <w:tcW w:w="1700" w:type="dxa"/>
            <w:tcBorders>
              <w:top w:val="nil"/>
              <w:left w:val="nil"/>
              <w:bottom w:val="single" w:color="000000" w:sz="4" w:space="0"/>
              <w:right w:val="single" w:color="000000" w:sz="4" w:space="0"/>
            </w:tcBorders>
            <w:shd w:val="clear" w:color="auto" w:fill="auto"/>
            <w:vAlign w:val="center"/>
          </w:tcPr>
          <w:p w14:paraId="2A36CD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47,041.68 </w:t>
            </w:r>
          </w:p>
        </w:tc>
        <w:tc>
          <w:tcPr>
            <w:tcW w:w="1733" w:type="dxa"/>
            <w:tcBorders>
              <w:top w:val="nil"/>
              <w:left w:val="nil"/>
              <w:bottom w:val="single" w:color="000000" w:sz="4" w:space="0"/>
              <w:right w:val="single" w:color="000000" w:sz="4" w:space="0"/>
            </w:tcBorders>
            <w:shd w:val="clear" w:color="auto" w:fill="auto"/>
            <w:vAlign w:val="center"/>
          </w:tcPr>
          <w:p w14:paraId="2A61BF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40C5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196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B157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746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70B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0163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49E6B3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9D775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8B1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362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641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47,041.68 </w:t>
            </w:r>
          </w:p>
        </w:tc>
        <w:tc>
          <w:tcPr>
            <w:tcW w:w="1666" w:type="dxa"/>
            <w:tcBorders>
              <w:top w:val="nil"/>
              <w:left w:val="nil"/>
              <w:bottom w:val="single" w:color="000000" w:sz="4" w:space="0"/>
              <w:right w:val="single" w:color="000000" w:sz="4" w:space="0"/>
            </w:tcBorders>
            <w:shd w:val="clear" w:color="auto" w:fill="auto"/>
            <w:vAlign w:val="center"/>
          </w:tcPr>
          <w:p w14:paraId="55C2B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47,041.68 </w:t>
            </w:r>
          </w:p>
        </w:tc>
        <w:tc>
          <w:tcPr>
            <w:tcW w:w="1684" w:type="dxa"/>
            <w:tcBorders>
              <w:top w:val="nil"/>
              <w:left w:val="nil"/>
              <w:bottom w:val="single" w:color="000000" w:sz="4" w:space="0"/>
              <w:right w:val="single" w:color="000000" w:sz="4" w:space="0"/>
            </w:tcBorders>
            <w:shd w:val="clear" w:color="auto" w:fill="auto"/>
            <w:vAlign w:val="center"/>
          </w:tcPr>
          <w:p w14:paraId="541C53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4E47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47,041.68 </w:t>
            </w:r>
          </w:p>
        </w:tc>
        <w:tc>
          <w:tcPr>
            <w:tcW w:w="1700" w:type="dxa"/>
            <w:tcBorders>
              <w:top w:val="nil"/>
              <w:left w:val="nil"/>
              <w:bottom w:val="single" w:color="000000" w:sz="4" w:space="0"/>
              <w:right w:val="single" w:color="000000" w:sz="4" w:space="0"/>
            </w:tcBorders>
            <w:shd w:val="clear" w:color="auto" w:fill="auto"/>
            <w:vAlign w:val="center"/>
          </w:tcPr>
          <w:p w14:paraId="7F32F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47,041.68 </w:t>
            </w:r>
          </w:p>
        </w:tc>
        <w:tc>
          <w:tcPr>
            <w:tcW w:w="1733" w:type="dxa"/>
            <w:tcBorders>
              <w:top w:val="nil"/>
              <w:left w:val="nil"/>
              <w:bottom w:val="single" w:color="000000" w:sz="4" w:space="0"/>
              <w:right w:val="single" w:color="000000" w:sz="4" w:space="0"/>
            </w:tcBorders>
            <w:shd w:val="clear" w:color="auto" w:fill="auto"/>
            <w:vAlign w:val="center"/>
          </w:tcPr>
          <w:p w14:paraId="11A769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AA6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893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6A9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03C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800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753B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4E1BDE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2851A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BABE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008A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132B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38,641.68 </w:t>
            </w:r>
          </w:p>
        </w:tc>
        <w:tc>
          <w:tcPr>
            <w:tcW w:w="1666" w:type="dxa"/>
            <w:tcBorders>
              <w:top w:val="nil"/>
              <w:left w:val="nil"/>
              <w:bottom w:val="single" w:color="000000" w:sz="4" w:space="0"/>
              <w:right w:val="single" w:color="000000" w:sz="4" w:space="0"/>
            </w:tcBorders>
            <w:shd w:val="clear" w:color="auto" w:fill="auto"/>
            <w:vAlign w:val="center"/>
          </w:tcPr>
          <w:p w14:paraId="21FF9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38,641.68 </w:t>
            </w:r>
          </w:p>
        </w:tc>
        <w:tc>
          <w:tcPr>
            <w:tcW w:w="1684" w:type="dxa"/>
            <w:tcBorders>
              <w:top w:val="nil"/>
              <w:left w:val="nil"/>
              <w:bottom w:val="single" w:color="000000" w:sz="4" w:space="0"/>
              <w:right w:val="single" w:color="000000" w:sz="4" w:space="0"/>
            </w:tcBorders>
            <w:shd w:val="clear" w:color="auto" w:fill="auto"/>
            <w:vAlign w:val="center"/>
          </w:tcPr>
          <w:p w14:paraId="1CDD8A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FA0B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38,641.68 </w:t>
            </w:r>
          </w:p>
        </w:tc>
        <w:tc>
          <w:tcPr>
            <w:tcW w:w="1700" w:type="dxa"/>
            <w:tcBorders>
              <w:top w:val="nil"/>
              <w:left w:val="nil"/>
              <w:bottom w:val="single" w:color="000000" w:sz="4" w:space="0"/>
              <w:right w:val="single" w:color="000000" w:sz="4" w:space="0"/>
            </w:tcBorders>
            <w:shd w:val="clear" w:color="auto" w:fill="auto"/>
            <w:vAlign w:val="center"/>
          </w:tcPr>
          <w:p w14:paraId="38A53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38,641.68 </w:t>
            </w:r>
          </w:p>
        </w:tc>
        <w:tc>
          <w:tcPr>
            <w:tcW w:w="1733" w:type="dxa"/>
            <w:tcBorders>
              <w:top w:val="nil"/>
              <w:left w:val="nil"/>
              <w:bottom w:val="single" w:color="000000" w:sz="4" w:space="0"/>
              <w:right w:val="single" w:color="000000" w:sz="4" w:space="0"/>
            </w:tcBorders>
            <w:shd w:val="clear" w:color="auto" w:fill="auto"/>
            <w:vAlign w:val="center"/>
          </w:tcPr>
          <w:p w14:paraId="6A2FF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CAE2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EEB9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24DF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815D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63D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E555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37D046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53C54C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5DD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5477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7CB7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8,400.00 </w:t>
            </w:r>
          </w:p>
        </w:tc>
        <w:tc>
          <w:tcPr>
            <w:tcW w:w="1666" w:type="dxa"/>
            <w:tcBorders>
              <w:top w:val="nil"/>
              <w:left w:val="nil"/>
              <w:bottom w:val="single" w:color="000000" w:sz="4" w:space="0"/>
              <w:right w:val="single" w:color="000000" w:sz="4" w:space="0"/>
            </w:tcBorders>
            <w:shd w:val="clear" w:color="auto" w:fill="auto"/>
            <w:vAlign w:val="center"/>
          </w:tcPr>
          <w:p w14:paraId="23361F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8,400.00 </w:t>
            </w:r>
          </w:p>
        </w:tc>
        <w:tc>
          <w:tcPr>
            <w:tcW w:w="1684" w:type="dxa"/>
            <w:tcBorders>
              <w:top w:val="nil"/>
              <w:left w:val="nil"/>
              <w:bottom w:val="single" w:color="000000" w:sz="4" w:space="0"/>
              <w:right w:val="single" w:color="000000" w:sz="4" w:space="0"/>
            </w:tcBorders>
            <w:shd w:val="clear" w:color="auto" w:fill="auto"/>
            <w:vAlign w:val="center"/>
          </w:tcPr>
          <w:p w14:paraId="1B8CB2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CE35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8,400.00 </w:t>
            </w:r>
          </w:p>
        </w:tc>
        <w:tc>
          <w:tcPr>
            <w:tcW w:w="1700" w:type="dxa"/>
            <w:tcBorders>
              <w:top w:val="nil"/>
              <w:left w:val="nil"/>
              <w:bottom w:val="single" w:color="000000" w:sz="4" w:space="0"/>
              <w:right w:val="single" w:color="000000" w:sz="4" w:space="0"/>
            </w:tcBorders>
            <w:shd w:val="clear" w:color="auto" w:fill="auto"/>
            <w:vAlign w:val="center"/>
          </w:tcPr>
          <w:p w14:paraId="3003CE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8,400.00 </w:t>
            </w:r>
          </w:p>
        </w:tc>
        <w:tc>
          <w:tcPr>
            <w:tcW w:w="1733" w:type="dxa"/>
            <w:tcBorders>
              <w:top w:val="nil"/>
              <w:left w:val="nil"/>
              <w:bottom w:val="single" w:color="000000" w:sz="4" w:space="0"/>
              <w:right w:val="single" w:color="000000" w:sz="4" w:space="0"/>
            </w:tcBorders>
            <w:shd w:val="clear" w:color="auto" w:fill="auto"/>
            <w:vAlign w:val="center"/>
          </w:tcPr>
          <w:p w14:paraId="11E462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D3118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576F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8666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ECE3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C7F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760B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561AC1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5197CA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4B3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E5B0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223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863,502.54 </w:t>
            </w:r>
          </w:p>
        </w:tc>
        <w:tc>
          <w:tcPr>
            <w:tcW w:w="1666" w:type="dxa"/>
            <w:tcBorders>
              <w:top w:val="nil"/>
              <w:left w:val="nil"/>
              <w:bottom w:val="single" w:color="000000" w:sz="4" w:space="0"/>
              <w:right w:val="single" w:color="000000" w:sz="4" w:space="0"/>
            </w:tcBorders>
            <w:shd w:val="clear" w:color="auto" w:fill="auto"/>
            <w:vAlign w:val="center"/>
          </w:tcPr>
          <w:p w14:paraId="1DDF5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863,502.54 </w:t>
            </w:r>
          </w:p>
        </w:tc>
        <w:tc>
          <w:tcPr>
            <w:tcW w:w="1684" w:type="dxa"/>
            <w:tcBorders>
              <w:top w:val="nil"/>
              <w:left w:val="nil"/>
              <w:bottom w:val="single" w:color="000000" w:sz="4" w:space="0"/>
              <w:right w:val="single" w:color="000000" w:sz="4" w:space="0"/>
            </w:tcBorders>
            <w:shd w:val="clear" w:color="auto" w:fill="auto"/>
            <w:vAlign w:val="center"/>
          </w:tcPr>
          <w:p w14:paraId="3B574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D075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863,502.54 </w:t>
            </w:r>
          </w:p>
        </w:tc>
        <w:tc>
          <w:tcPr>
            <w:tcW w:w="1700" w:type="dxa"/>
            <w:tcBorders>
              <w:top w:val="nil"/>
              <w:left w:val="nil"/>
              <w:bottom w:val="single" w:color="000000" w:sz="4" w:space="0"/>
              <w:right w:val="single" w:color="000000" w:sz="4" w:space="0"/>
            </w:tcBorders>
            <w:shd w:val="clear" w:color="auto" w:fill="auto"/>
            <w:vAlign w:val="center"/>
          </w:tcPr>
          <w:p w14:paraId="7A18C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863,502.54 </w:t>
            </w:r>
          </w:p>
        </w:tc>
        <w:tc>
          <w:tcPr>
            <w:tcW w:w="1733" w:type="dxa"/>
            <w:tcBorders>
              <w:top w:val="nil"/>
              <w:left w:val="nil"/>
              <w:bottom w:val="single" w:color="000000" w:sz="4" w:space="0"/>
              <w:right w:val="single" w:color="000000" w:sz="4" w:space="0"/>
            </w:tcBorders>
            <w:shd w:val="clear" w:color="auto" w:fill="auto"/>
            <w:vAlign w:val="center"/>
          </w:tcPr>
          <w:p w14:paraId="06F66B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A92F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7BAD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68E6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099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B1AA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537C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367E21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6E210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9854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0B02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F1D3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863,502.54 </w:t>
            </w:r>
          </w:p>
        </w:tc>
        <w:tc>
          <w:tcPr>
            <w:tcW w:w="1666" w:type="dxa"/>
            <w:tcBorders>
              <w:top w:val="nil"/>
              <w:left w:val="nil"/>
              <w:bottom w:val="single" w:color="000000" w:sz="4" w:space="0"/>
              <w:right w:val="single" w:color="000000" w:sz="4" w:space="0"/>
            </w:tcBorders>
            <w:shd w:val="clear" w:color="auto" w:fill="auto"/>
            <w:vAlign w:val="center"/>
          </w:tcPr>
          <w:p w14:paraId="444B54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863,502.54 </w:t>
            </w:r>
          </w:p>
        </w:tc>
        <w:tc>
          <w:tcPr>
            <w:tcW w:w="1684" w:type="dxa"/>
            <w:tcBorders>
              <w:top w:val="nil"/>
              <w:left w:val="nil"/>
              <w:bottom w:val="single" w:color="000000" w:sz="4" w:space="0"/>
              <w:right w:val="single" w:color="000000" w:sz="4" w:space="0"/>
            </w:tcBorders>
            <w:shd w:val="clear" w:color="auto" w:fill="auto"/>
            <w:vAlign w:val="center"/>
          </w:tcPr>
          <w:p w14:paraId="4789CE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3815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863,502.54 </w:t>
            </w:r>
          </w:p>
        </w:tc>
        <w:tc>
          <w:tcPr>
            <w:tcW w:w="1700" w:type="dxa"/>
            <w:tcBorders>
              <w:top w:val="nil"/>
              <w:left w:val="nil"/>
              <w:bottom w:val="single" w:color="000000" w:sz="4" w:space="0"/>
              <w:right w:val="single" w:color="000000" w:sz="4" w:space="0"/>
            </w:tcBorders>
            <w:shd w:val="clear" w:color="auto" w:fill="auto"/>
            <w:vAlign w:val="center"/>
          </w:tcPr>
          <w:p w14:paraId="2822B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863,502.54 </w:t>
            </w:r>
          </w:p>
        </w:tc>
        <w:tc>
          <w:tcPr>
            <w:tcW w:w="1733" w:type="dxa"/>
            <w:tcBorders>
              <w:top w:val="nil"/>
              <w:left w:val="nil"/>
              <w:bottom w:val="single" w:color="000000" w:sz="4" w:space="0"/>
              <w:right w:val="single" w:color="000000" w:sz="4" w:space="0"/>
            </w:tcBorders>
            <w:shd w:val="clear" w:color="auto" w:fill="auto"/>
            <w:vAlign w:val="center"/>
          </w:tcPr>
          <w:p w14:paraId="6F42C9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9DE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24E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FB6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ADA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4A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B135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2140109</w:t>
            </w:r>
          </w:p>
        </w:tc>
        <w:tc>
          <w:tcPr>
            <w:tcW w:w="1816" w:type="dxa"/>
            <w:tcBorders>
              <w:top w:val="nil"/>
              <w:left w:val="nil"/>
              <w:bottom w:val="single" w:color="000000" w:sz="4" w:space="0"/>
              <w:right w:val="single" w:color="000000" w:sz="4" w:space="0"/>
            </w:tcBorders>
            <w:shd w:val="clear" w:color="auto" w:fill="auto"/>
            <w:vAlign w:val="center"/>
          </w:tcPr>
          <w:p w14:paraId="5253DE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交通运输信息化建设</w:t>
            </w:r>
          </w:p>
        </w:tc>
        <w:tc>
          <w:tcPr>
            <w:tcW w:w="1528" w:type="dxa"/>
            <w:tcBorders>
              <w:top w:val="nil"/>
              <w:left w:val="nil"/>
              <w:bottom w:val="single" w:color="000000" w:sz="4" w:space="0"/>
              <w:right w:val="single" w:color="000000" w:sz="4" w:space="0"/>
            </w:tcBorders>
            <w:shd w:val="clear" w:color="auto" w:fill="auto"/>
            <w:vAlign w:val="center"/>
          </w:tcPr>
          <w:p w14:paraId="1FB5AB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033D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219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5E3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863,502.54 </w:t>
            </w:r>
          </w:p>
        </w:tc>
        <w:tc>
          <w:tcPr>
            <w:tcW w:w="1666" w:type="dxa"/>
            <w:tcBorders>
              <w:top w:val="nil"/>
              <w:left w:val="nil"/>
              <w:bottom w:val="single" w:color="000000" w:sz="4" w:space="0"/>
              <w:right w:val="single" w:color="000000" w:sz="4" w:space="0"/>
            </w:tcBorders>
            <w:shd w:val="clear" w:color="auto" w:fill="auto"/>
            <w:vAlign w:val="center"/>
          </w:tcPr>
          <w:p w14:paraId="405D48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863,502.54 </w:t>
            </w:r>
          </w:p>
        </w:tc>
        <w:tc>
          <w:tcPr>
            <w:tcW w:w="1684" w:type="dxa"/>
            <w:tcBorders>
              <w:top w:val="nil"/>
              <w:left w:val="nil"/>
              <w:bottom w:val="single" w:color="000000" w:sz="4" w:space="0"/>
              <w:right w:val="single" w:color="000000" w:sz="4" w:space="0"/>
            </w:tcBorders>
            <w:shd w:val="clear" w:color="auto" w:fill="auto"/>
            <w:vAlign w:val="center"/>
          </w:tcPr>
          <w:p w14:paraId="27D0A0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F1F1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863,502.54 </w:t>
            </w:r>
          </w:p>
        </w:tc>
        <w:tc>
          <w:tcPr>
            <w:tcW w:w="1700" w:type="dxa"/>
            <w:tcBorders>
              <w:top w:val="nil"/>
              <w:left w:val="nil"/>
              <w:bottom w:val="single" w:color="000000" w:sz="4" w:space="0"/>
              <w:right w:val="single" w:color="000000" w:sz="4" w:space="0"/>
            </w:tcBorders>
            <w:shd w:val="clear" w:color="auto" w:fill="auto"/>
            <w:vAlign w:val="center"/>
          </w:tcPr>
          <w:p w14:paraId="6B079A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863,502.54 </w:t>
            </w:r>
          </w:p>
        </w:tc>
        <w:tc>
          <w:tcPr>
            <w:tcW w:w="1733" w:type="dxa"/>
            <w:tcBorders>
              <w:top w:val="nil"/>
              <w:left w:val="nil"/>
              <w:bottom w:val="single" w:color="000000" w:sz="4" w:space="0"/>
              <w:right w:val="single" w:color="000000" w:sz="4" w:space="0"/>
            </w:tcBorders>
            <w:shd w:val="clear" w:color="auto" w:fill="auto"/>
            <w:vAlign w:val="center"/>
          </w:tcPr>
          <w:p w14:paraId="1775EC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0C54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CB2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5A5E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739E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DD1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5136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CC74E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38CCA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179A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D87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9FCD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48,811.28 </w:t>
            </w:r>
          </w:p>
        </w:tc>
        <w:tc>
          <w:tcPr>
            <w:tcW w:w="1666" w:type="dxa"/>
            <w:tcBorders>
              <w:top w:val="nil"/>
              <w:left w:val="nil"/>
              <w:bottom w:val="single" w:color="000000" w:sz="4" w:space="0"/>
              <w:right w:val="single" w:color="000000" w:sz="4" w:space="0"/>
            </w:tcBorders>
            <w:shd w:val="clear" w:color="auto" w:fill="auto"/>
            <w:vAlign w:val="center"/>
          </w:tcPr>
          <w:p w14:paraId="76831B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48,811.28 </w:t>
            </w:r>
          </w:p>
        </w:tc>
        <w:tc>
          <w:tcPr>
            <w:tcW w:w="1684" w:type="dxa"/>
            <w:tcBorders>
              <w:top w:val="nil"/>
              <w:left w:val="nil"/>
              <w:bottom w:val="single" w:color="000000" w:sz="4" w:space="0"/>
              <w:right w:val="single" w:color="000000" w:sz="4" w:space="0"/>
            </w:tcBorders>
            <w:shd w:val="clear" w:color="auto" w:fill="auto"/>
            <w:vAlign w:val="center"/>
          </w:tcPr>
          <w:p w14:paraId="48D873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02D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48,811.28 </w:t>
            </w:r>
          </w:p>
        </w:tc>
        <w:tc>
          <w:tcPr>
            <w:tcW w:w="1700" w:type="dxa"/>
            <w:tcBorders>
              <w:top w:val="nil"/>
              <w:left w:val="nil"/>
              <w:bottom w:val="single" w:color="000000" w:sz="4" w:space="0"/>
              <w:right w:val="single" w:color="000000" w:sz="4" w:space="0"/>
            </w:tcBorders>
            <w:shd w:val="clear" w:color="auto" w:fill="auto"/>
            <w:vAlign w:val="center"/>
          </w:tcPr>
          <w:p w14:paraId="4F0C1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48,811.28 </w:t>
            </w:r>
          </w:p>
        </w:tc>
        <w:tc>
          <w:tcPr>
            <w:tcW w:w="1733" w:type="dxa"/>
            <w:tcBorders>
              <w:top w:val="nil"/>
              <w:left w:val="nil"/>
              <w:bottom w:val="single" w:color="000000" w:sz="4" w:space="0"/>
              <w:right w:val="single" w:color="000000" w:sz="4" w:space="0"/>
            </w:tcBorders>
            <w:shd w:val="clear" w:color="auto" w:fill="auto"/>
            <w:vAlign w:val="center"/>
          </w:tcPr>
          <w:p w14:paraId="2F589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29C2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3FB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CD24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DB5F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B0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8671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84799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6555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A111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302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8E3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48,811.28 </w:t>
            </w:r>
          </w:p>
        </w:tc>
        <w:tc>
          <w:tcPr>
            <w:tcW w:w="1666" w:type="dxa"/>
            <w:tcBorders>
              <w:top w:val="nil"/>
              <w:left w:val="nil"/>
              <w:bottom w:val="single" w:color="000000" w:sz="4" w:space="0"/>
              <w:right w:val="single" w:color="000000" w:sz="4" w:space="0"/>
            </w:tcBorders>
            <w:shd w:val="clear" w:color="auto" w:fill="auto"/>
            <w:vAlign w:val="center"/>
          </w:tcPr>
          <w:p w14:paraId="682D9B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48,811.28 </w:t>
            </w:r>
          </w:p>
        </w:tc>
        <w:tc>
          <w:tcPr>
            <w:tcW w:w="1684" w:type="dxa"/>
            <w:tcBorders>
              <w:top w:val="nil"/>
              <w:left w:val="nil"/>
              <w:bottom w:val="single" w:color="000000" w:sz="4" w:space="0"/>
              <w:right w:val="single" w:color="000000" w:sz="4" w:space="0"/>
            </w:tcBorders>
            <w:shd w:val="clear" w:color="auto" w:fill="auto"/>
            <w:vAlign w:val="center"/>
          </w:tcPr>
          <w:p w14:paraId="13457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B952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48,811.28 </w:t>
            </w:r>
          </w:p>
        </w:tc>
        <w:tc>
          <w:tcPr>
            <w:tcW w:w="1700" w:type="dxa"/>
            <w:tcBorders>
              <w:top w:val="nil"/>
              <w:left w:val="nil"/>
              <w:bottom w:val="single" w:color="000000" w:sz="4" w:space="0"/>
              <w:right w:val="single" w:color="000000" w:sz="4" w:space="0"/>
            </w:tcBorders>
            <w:shd w:val="clear" w:color="auto" w:fill="auto"/>
            <w:vAlign w:val="center"/>
          </w:tcPr>
          <w:p w14:paraId="7ECB57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48,811.28 </w:t>
            </w:r>
          </w:p>
        </w:tc>
        <w:tc>
          <w:tcPr>
            <w:tcW w:w="1733" w:type="dxa"/>
            <w:tcBorders>
              <w:top w:val="nil"/>
              <w:left w:val="nil"/>
              <w:bottom w:val="single" w:color="000000" w:sz="4" w:space="0"/>
              <w:right w:val="single" w:color="000000" w:sz="4" w:space="0"/>
            </w:tcBorders>
            <w:shd w:val="clear" w:color="auto" w:fill="auto"/>
            <w:vAlign w:val="center"/>
          </w:tcPr>
          <w:p w14:paraId="27EAF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D6C1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6A9E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5DB6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1B3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7E11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60C4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48997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B6CE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2A52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312E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5CC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48,811.28 </w:t>
            </w:r>
          </w:p>
        </w:tc>
        <w:tc>
          <w:tcPr>
            <w:tcW w:w="1666" w:type="dxa"/>
            <w:tcBorders>
              <w:top w:val="nil"/>
              <w:left w:val="nil"/>
              <w:bottom w:val="single" w:color="000000" w:sz="4" w:space="0"/>
              <w:right w:val="single" w:color="000000" w:sz="4" w:space="0"/>
            </w:tcBorders>
            <w:shd w:val="clear" w:color="auto" w:fill="auto"/>
            <w:vAlign w:val="center"/>
          </w:tcPr>
          <w:p w14:paraId="4CC33E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48,811.28 </w:t>
            </w:r>
          </w:p>
        </w:tc>
        <w:tc>
          <w:tcPr>
            <w:tcW w:w="1684" w:type="dxa"/>
            <w:tcBorders>
              <w:top w:val="nil"/>
              <w:left w:val="nil"/>
              <w:bottom w:val="single" w:color="000000" w:sz="4" w:space="0"/>
              <w:right w:val="single" w:color="000000" w:sz="4" w:space="0"/>
            </w:tcBorders>
            <w:shd w:val="clear" w:color="auto" w:fill="auto"/>
            <w:vAlign w:val="center"/>
          </w:tcPr>
          <w:p w14:paraId="673A27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59533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48,811.28 </w:t>
            </w:r>
          </w:p>
        </w:tc>
        <w:tc>
          <w:tcPr>
            <w:tcW w:w="1700" w:type="dxa"/>
            <w:tcBorders>
              <w:top w:val="nil"/>
              <w:left w:val="nil"/>
              <w:bottom w:val="single" w:color="000000" w:sz="4" w:space="0"/>
              <w:right w:val="single" w:color="000000" w:sz="4" w:space="0"/>
            </w:tcBorders>
            <w:shd w:val="clear" w:color="auto" w:fill="auto"/>
            <w:vAlign w:val="center"/>
          </w:tcPr>
          <w:p w14:paraId="1FC757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48,811.28 </w:t>
            </w:r>
          </w:p>
        </w:tc>
        <w:tc>
          <w:tcPr>
            <w:tcW w:w="1733" w:type="dxa"/>
            <w:tcBorders>
              <w:top w:val="nil"/>
              <w:left w:val="nil"/>
              <w:bottom w:val="single" w:color="000000" w:sz="4" w:space="0"/>
              <w:right w:val="single" w:color="000000" w:sz="4" w:space="0"/>
            </w:tcBorders>
            <w:shd w:val="clear" w:color="auto" w:fill="auto"/>
            <w:vAlign w:val="center"/>
          </w:tcPr>
          <w:p w14:paraId="4BCAC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C6D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4C9D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B2BD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BAB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64845B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8F3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5FF147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6143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47A465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石柱土家族自治县交通信息中心</w:t>
            </w:r>
          </w:p>
        </w:tc>
        <w:tc>
          <w:tcPr>
            <w:tcW w:w="2682" w:type="dxa"/>
            <w:tcBorders>
              <w:top w:val="nil"/>
              <w:left w:val="nil"/>
              <w:bottom w:val="nil"/>
              <w:right w:val="nil"/>
            </w:tcBorders>
            <w:shd w:val="clear" w:color="auto" w:fill="auto"/>
            <w:vAlign w:val="bottom"/>
          </w:tcPr>
          <w:p w14:paraId="308F924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226B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BF97F42">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54E4082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19B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3F1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E18F9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45CE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FF81D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FF250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F888B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78B34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F7C05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D7D5A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3B3D35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CE692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07B0F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434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FF3D887">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F434E3C">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F925E00">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2830943E">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A7720C5">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6527DB8">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4E2F311">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9B4CF1B">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5E300376">
            <w:pPr>
              <w:jc w:val="center"/>
              <w:rPr>
                <w:rFonts w:hint="eastAsia" w:ascii="宋体" w:hAnsi="宋体" w:eastAsia="宋体" w:cs="宋体"/>
                <w:i w:val="0"/>
                <w:iCs w:val="0"/>
                <w:color w:val="000000"/>
                <w:sz w:val="22"/>
                <w:szCs w:val="22"/>
                <w:u w:val="none"/>
              </w:rPr>
            </w:pPr>
          </w:p>
        </w:tc>
      </w:tr>
      <w:tr w14:paraId="4ABE2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3618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3D4DF3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8DB1E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914,127.19 </w:t>
            </w:r>
          </w:p>
        </w:tc>
        <w:tc>
          <w:tcPr>
            <w:tcW w:w="1234" w:type="dxa"/>
            <w:tcBorders>
              <w:top w:val="nil"/>
              <w:left w:val="nil"/>
              <w:bottom w:val="single" w:color="000000" w:sz="4" w:space="0"/>
              <w:right w:val="single" w:color="000000" w:sz="4" w:space="0"/>
            </w:tcBorders>
            <w:shd w:val="clear" w:color="auto" w:fill="auto"/>
            <w:vAlign w:val="center"/>
          </w:tcPr>
          <w:p w14:paraId="0BC1F3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45ECBC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DD05D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186,674.87 </w:t>
            </w:r>
          </w:p>
        </w:tc>
        <w:tc>
          <w:tcPr>
            <w:tcW w:w="1133" w:type="dxa"/>
            <w:tcBorders>
              <w:top w:val="nil"/>
              <w:left w:val="nil"/>
              <w:bottom w:val="single" w:color="000000" w:sz="4" w:space="0"/>
              <w:right w:val="single" w:color="000000" w:sz="4" w:space="0"/>
            </w:tcBorders>
            <w:shd w:val="clear" w:color="auto" w:fill="auto"/>
            <w:vAlign w:val="center"/>
          </w:tcPr>
          <w:p w14:paraId="497DFB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062233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7201A7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423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89AE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8AC72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92B6F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213,208.00 </w:t>
            </w:r>
          </w:p>
        </w:tc>
        <w:tc>
          <w:tcPr>
            <w:tcW w:w="1234" w:type="dxa"/>
            <w:tcBorders>
              <w:top w:val="nil"/>
              <w:left w:val="nil"/>
              <w:bottom w:val="single" w:color="000000" w:sz="4" w:space="0"/>
              <w:right w:val="single" w:color="000000" w:sz="4" w:space="0"/>
            </w:tcBorders>
            <w:shd w:val="clear" w:color="auto" w:fill="auto"/>
            <w:vAlign w:val="center"/>
          </w:tcPr>
          <w:p w14:paraId="76CC77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1A048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9E5DC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40,000.00 </w:t>
            </w:r>
          </w:p>
        </w:tc>
        <w:tc>
          <w:tcPr>
            <w:tcW w:w="1133" w:type="dxa"/>
            <w:tcBorders>
              <w:top w:val="nil"/>
              <w:left w:val="nil"/>
              <w:bottom w:val="single" w:color="000000" w:sz="4" w:space="0"/>
              <w:right w:val="single" w:color="000000" w:sz="4" w:space="0"/>
            </w:tcBorders>
            <w:shd w:val="clear" w:color="auto" w:fill="auto"/>
            <w:vAlign w:val="center"/>
          </w:tcPr>
          <w:p w14:paraId="6C634B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A0DE7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65C38A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240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5D4A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52C3A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7CF3B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32,400.00 </w:t>
            </w:r>
          </w:p>
        </w:tc>
        <w:tc>
          <w:tcPr>
            <w:tcW w:w="1234" w:type="dxa"/>
            <w:tcBorders>
              <w:top w:val="nil"/>
              <w:left w:val="nil"/>
              <w:bottom w:val="single" w:color="000000" w:sz="4" w:space="0"/>
              <w:right w:val="single" w:color="000000" w:sz="4" w:space="0"/>
            </w:tcBorders>
            <w:shd w:val="clear" w:color="auto" w:fill="auto"/>
            <w:vAlign w:val="center"/>
          </w:tcPr>
          <w:p w14:paraId="0626A1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74FE4C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CBA38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C69B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6FFD57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AC8F3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7EC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7AA4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340354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60A7B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DB5ED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24FE93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2F71A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7974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D05B2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12775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89C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1C3B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94206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4F3A6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3061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8353A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57E3A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600B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32D80F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B83CF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46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ED2A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142160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06A83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425,932.00 </w:t>
            </w:r>
          </w:p>
        </w:tc>
        <w:tc>
          <w:tcPr>
            <w:tcW w:w="1234" w:type="dxa"/>
            <w:tcBorders>
              <w:top w:val="nil"/>
              <w:left w:val="nil"/>
              <w:bottom w:val="single" w:color="000000" w:sz="4" w:space="0"/>
              <w:right w:val="single" w:color="000000" w:sz="4" w:space="0"/>
            </w:tcBorders>
            <w:shd w:val="clear" w:color="auto" w:fill="auto"/>
            <w:vAlign w:val="center"/>
          </w:tcPr>
          <w:p w14:paraId="476F00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6AB4FE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2ED24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14:paraId="2C1864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01BD81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A4C2A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003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3E20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689BC6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B9B3C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94,298.04 </w:t>
            </w:r>
          </w:p>
        </w:tc>
        <w:tc>
          <w:tcPr>
            <w:tcW w:w="1234" w:type="dxa"/>
            <w:tcBorders>
              <w:top w:val="nil"/>
              <w:left w:val="nil"/>
              <w:bottom w:val="single" w:color="000000" w:sz="4" w:space="0"/>
              <w:right w:val="single" w:color="000000" w:sz="4" w:space="0"/>
            </w:tcBorders>
            <w:shd w:val="clear" w:color="auto" w:fill="auto"/>
            <w:vAlign w:val="center"/>
          </w:tcPr>
          <w:p w14:paraId="0A3B59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1F95D3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AB70F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25,000.00 </w:t>
            </w:r>
          </w:p>
        </w:tc>
        <w:tc>
          <w:tcPr>
            <w:tcW w:w="1133" w:type="dxa"/>
            <w:tcBorders>
              <w:top w:val="nil"/>
              <w:left w:val="nil"/>
              <w:bottom w:val="single" w:color="000000" w:sz="4" w:space="0"/>
              <w:right w:val="single" w:color="000000" w:sz="4" w:space="0"/>
            </w:tcBorders>
            <w:shd w:val="clear" w:color="auto" w:fill="auto"/>
            <w:vAlign w:val="center"/>
          </w:tcPr>
          <w:p w14:paraId="341FCD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7B49A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7F2A2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E8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0960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0A4E6F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69666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47,148.52 </w:t>
            </w:r>
          </w:p>
        </w:tc>
        <w:tc>
          <w:tcPr>
            <w:tcW w:w="1234" w:type="dxa"/>
            <w:tcBorders>
              <w:top w:val="nil"/>
              <w:left w:val="nil"/>
              <w:bottom w:val="single" w:color="000000" w:sz="4" w:space="0"/>
              <w:right w:val="single" w:color="000000" w:sz="4" w:space="0"/>
            </w:tcBorders>
            <w:shd w:val="clear" w:color="auto" w:fill="auto"/>
            <w:vAlign w:val="center"/>
          </w:tcPr>
          <w:p w14:paraId="0387B6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AD891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3590B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15,000.00 </w:t>
            </w:r>
          </w:p>
        </w:tc>
        <w:tc>
          <w:tcPr>
            <w:tcW w:w="1133" w:type="dxa"/>
            <w:tcBorders>
              <w:top w:val="nil"/>
              <w:left w:val="nil"/>
              <w:bottom w:val="single" w:color="000000" w:sz="4" w:space="0"/>
              <w:right w:val="single" w:color="000000" w:sz="4" w:space="0"/>
            </w:tcBorders>
            <w:shd w:val="clear" w:color="auto" w:fill="auto"/>
            <w:vAlign w:val="center"/>
          </w:tcPr>
          <w:p w14:paraId="48ACEB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3101B6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4E2BB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76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D513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2C0C4F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0C2DE4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40,675.40 </w:t>
            </w:r>
          </w:p>
        </w:tc>
        <w:tc>
          <w:tcPr>
            <w:tcW w:w="1234" w:type="dxa"/>
            <w:tcBorders>
              <w:top w:val="nil"/>
              <w:left w:val="nil"/>
              <w:bottom w:val="single" w:color="000000" w:sz="4" w:space="0"/>
              <w:right w:val="single" w:color="000000" w:sz="4" w:space="0"/>
            </w:tcBorders>
            <w:shd w:val="clear" w:color="auto" w:fill="auto"/>
            <w:vAlign w:val="center"/>
          </w:tcPr>
          <w:p w14:paraId="19F8C5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13BDC0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DBFBE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1A6E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1F4650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1FFD7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C9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ADA3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37AA7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138A8B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3C09C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C688A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AC162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9D6B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49274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4934E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F97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76C2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08AF7C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2F0FD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3,253.95 </w:t>
            </w:r>
          </w:p>
        </w:tc>
        <w:tc>
          <w:tcPr>
            <w:tcW w:w="1234" w:type="dxa"/>
            <w:tcBorders>
              <w:top w:val="nil"/>
              <w:left w:val="nil"/>
              <w:bottom w:val="single" w:color="000000" w:sz="4" w:space="0"/>
              <w:right w:val="single" w:color="000000" w:sz="4" w:space="0"/>
            </w:tcBorders>
            <w:shd w:val="clear" w:color="auto" w:fill="auto"/>
            <w:vAlign w:val="center"/>
          </w:tcPr>
          <w:p w14:paraId="6D4529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F7ECF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5C56F4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46,999.99 </w:t>
            </w:r>
          </w:p>
        </w:tc>
        <w:tc>
          <w:tcPr>
            <w:tcW w:w="1133" w:type="dxa"/>
            <w:tcBorders>
              <w:top w:val="nil"/>
              <w:left w:val="nil"/>
              <w:bottom w:val="single" w:color="000000" w:sz="4" w:space="0"/>
              <w:right w:val="single" w:color="000000" w:sz="4" w:space="0"/>
            </w:tcBorders>
            <w:shd w:val="clear" w:color="auto" w:fill="auto"/>
            <w:vAlign w:val="center"/>
          </w:tcPr>
          <w:p w14:paraId="1880D7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6228AF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DA353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CB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0FFE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DC708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B82F8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48,811.28 </w:t>
            </w:r>
          </w:p>
        </w:tc>
        <w:tc>
          <w:tcPr>
            <w:tcW w:w="1234" w:type="dxa"/>
            <w:tcBorders>
              <w:top w:val="nil"/>
              <w:left w:val="nil"/>
              <w:bottom w:val="single" w:color="000000" w:sz="4" w:space="0"/>
              <w:right w:val="single" w:color="000000" w:sz="4" w:space="0"/>
            </w:tcBorders>
            <w:shd w:val="clear" w:color="auto" w:fill="auto"/>
            <w:vAlign w:val="center"/>
          </w:tcPr>
          <w:p w14:paraId="7C755D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00E6A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8FF83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48EC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027AA6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C4FA4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75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ECD2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93C88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531E2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8,400.00 </w:t>
            </w:r>
          </w:p>
        </w:tc>
        <w:tc>
          <w:tcPr>
            <w:tcW w:w="1234" w:type="dxa"/>
            <w:tcBorders>
              <w:top w:val="nil"/>
              <w:left w:val="nil"/>
              <w:bottom w:val="single" w:color="000000" w:sz="4" w:space="0"/>
              <w:right w:val="single" w:color="000000" w:sz="4" w:space="0"/>
            </w:tcBorders>
            <w:shd w:val="clear" w:color="auto" w:fill="auto"/>
            <w:vAlign w:val="center"/>
          </w:tcPr>
          <w:p w14:paraId="037C5D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4F452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C63F7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874F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F36BD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AD56A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A8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0A3C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4A965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46DD4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4AEDF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48509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0A442B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A825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6AAD7C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F8D40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990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A6D4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543FC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EF7B8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4124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DE588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A8426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9392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1E934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29B07F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BC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7B0F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EE38B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1569B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B53AB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6368FF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7B385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5A49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34076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BDCD1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AFA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1FFA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4BCAB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BC4AB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55346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C32BE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99C78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AF59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13405A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0AFFE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1EB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8F47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258D8E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513DF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38D1F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5D3784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D25A0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C524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7C7D9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047FB3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75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4408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5505A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53A37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A62F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353F06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0B4A5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11EE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1F7A1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6CEAA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40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E3BF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66B2EC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7FA8B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6088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6D227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3B991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D304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2CC50E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C8BAC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6DA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BBED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74CB47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529909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FC04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651B06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367F0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AF2A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7C5AD5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F1E1A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11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F193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3008E3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E725B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0AB0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DD3B7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02A35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836B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181603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68859C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41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011C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3CA870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0F80E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6F71B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373E5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7C33A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6,674.88 </w:t>
            </w:r>
          </w:p>
        </w:tc>
        <w:tc>
          <w:tcPr>
            <w:tcW w:w="1133" w:type="dxa"/>
            <w:tcBorders>
              <w:top w:val="nil"/>
              <w:left w:val="nil"/>
              <w:bottom w:val="single" w:color="000000" w:sz="4" w:space="0"/>
              <w:right w:val="single" w:color="000000" w:sz="4" w:space="0"/>
            </w:tcBorders>
            <w:shd w:val="clear" w:color="auto" w:fill="auto"/>
            <w:vAlign w:val="center"/>
          </w:tcPr>
          <w:p w14:paraId="407BEA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217240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87EFB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E0E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2792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7F6CE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71FEA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6084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48E4E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896AB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355C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65C0B0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F8A45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AB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7D4F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7FF056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BD1AA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0B43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07114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596827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B9E6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21B70D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8B49F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D6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55C2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3CC738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BEBE9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A923E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543498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23C10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40,000.00 </w:t>
            </w:r>
          </w:p>
        </w:tc>
        <w:tc>
          <w:tcPr>
            <w:tcW w:w="1133" w:type="dxa"/>
            <w:tcBorders>
              <w:top w:val="nil"/>
              <w:left w:val="nil"/>
              <w:bottom w:val="single" w:color="000000" w:sz="4" w:space="0"/>
              <w:right w:val="single" w:color="000000" w:sz="4" w:space="0"/>
            </w:tcBorders>
            <w:shd w:val="clear" w:color="auto" w:fill="auto"/>
            <w:vAlign w:val="center"/>
          </w:tcPr>
          <w:p w14:paraId="163E05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512449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88475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17A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1256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38A5F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64C5F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FCD9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20F7F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32218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775F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95E03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28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FA6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E7DAF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A903FA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A0CAE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7D769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F857F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4B4C1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14:paraId="2C43D3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07F3D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32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88A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ABF0C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917453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51D66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11619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79DD54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FB768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C8AA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491DE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B9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91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2B130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5BF9ED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3A18A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A3547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414BB9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AD80B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19C7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0557C4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40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2B3AB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223CC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189D6D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8D07E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66523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33B2B7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64895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293D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4667AA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4F4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2ED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27216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23D4F6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9DA17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F8487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4D5C58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30213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94081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1E3A60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2F93">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26CC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AAF35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9480E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03569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C6A99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3D235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80FEA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D1DB1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FE0051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A64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D05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B67EB9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40AED8">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914,127.19 </w:t>
            </w:r>
          </w:p>
        </w:tc>
        <w:tc>
          <w:tcPr>
            <w:tcW w:w="12067" w:type="dxa"/>
            <w:gridSpan w:val="5"/>
            <w:tcBorders>
              <w:top w:val="nil"/>
              <w:left w:val="nil"/>
              <w:bottom w:val="single" w:color="000000" w:sz="4" w:space="0"/>
              <w:right w:val="single" w:color="000000" w:sz="4" w:space="0"/>
            </w:tcBorders>
            <w:shd w:val="clear" w:color="auto" w:fill="auto"/>
            <w:vAlign w:val="center"/>
          </w:tcPr>
          <w:p w14:paraId="26CE179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58C2F8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186,674.87 </w:t>
            </w:r>
          </w:p>
        </w:tc>
      </w:tr>
    </w:tbl>
    <w:p w14:paraId="5F4E7E14">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A54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DC66AC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52DC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F520256">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石柱土家族自治县交通信息中心</w:t>
            </w:r>
          </w:p>
        </w:tc>
        <w:tc>
          <w:tcPr>
            <w:tcW w:w="1156" w:type="dxa"/>
            <w:tcBorders>
              <w:top w:val="nil"/>
              <w:left w:val="nil"/>
              <w:bottom w:val="nil"/>
              <w:right w:val="nil"/>
            </w:tcBorders>
            <w:shd w:val="clear" w:color="auto" w:fill="auto"/>
            <w:vAlign w:val="bottom"/>
          </w:tcPr>
          <w:p w14:paraId="5E2EBBA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3756C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190136E">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1892CB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C554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35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33A5C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48E90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BA48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ABFDC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BF3CB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231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8CE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9D1E5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6E03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E7153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4C9F3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0063A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BFF2E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6A971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AC69C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EF4C2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894BE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D9C25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E2D47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6178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4B5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FA4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51FA8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A993E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790BD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A6D9C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59DAE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BE5B1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2AD9B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42BA5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4C101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DDEDD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E0A79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3F469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2950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DCA30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DE7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E3E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2EC45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484CF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BDF80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2DA73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0017D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F487A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65C0B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DBE04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1DD56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1D6D8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9065C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91BB1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E7267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77BD1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B8C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22BD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240A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8EF1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75C9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92706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6032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5167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B9D4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8E40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BA85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8BC6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1EA26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ED75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366B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6FAC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6C334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31B4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29B1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5189C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00420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FD8FF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1B4D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AD498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02B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BD7C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4B9E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13114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6071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C6B5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B3B0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576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A785C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3C2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763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7B3C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B3A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0B5D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71EA3C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385898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2562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E0F8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4396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EA72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4440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E6C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95CB6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C042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223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8CC5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1C32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FEC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F2AAFA8">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FA4E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83C1D2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7534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C8354B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石柱土家族自治县交通信息中心</w:t>
            </w:r>
          </w:p>
        </w:tc>
        <w:tc>
          <w:tcPr>
            <w:tcW w:w="2116" w:type="dxa"/>
            <w:tcBorders>
              <w:top w:val="nil"/>
              <w:left w:val="nil"/>
              <w:bottom w:val="nil"/>
              <w:right w:val="nil"/>
            </w:tcBorders>
            <w:shd w:val="clear" w:color="auto" w:fill="auto"/>
            <w:vAlign w:val="bottom"/>
          </w:tcPr>
          <w:p w14:paraId="168A6D1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006E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AD1DCDA">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6B61748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C1E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A64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A5DD2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6CC1D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86F93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A50F3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A91E8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4992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FAAA5">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A227959">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74DBB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8D1C3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BD4E5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DEA18E0">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E472E43">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3CE62F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11CECA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EB889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7E4D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A0B0F">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E42E28A">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1CCC997">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009395F">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CF02734">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339D17C">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8BDFE4C">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4B5D24F">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13BB9F9">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22C8AC3">
            <w:pPr>
              <w:jc w:val="center"/>
              <w:rPr>
                <w:rFonts w:hint="eastAsia" w:ascii="宋体" w:hAnsi="宋体" w:eastAsia="宋体" w:cs="宋体"/>
                <w:i w:val="0"/>
                <w:iCs w:val="0"/>
                <w:color w:val="000000"/>
                <w:sz w:val="22"/>
                <w:szCs w:val="22"/>
                <w:u w:val="none"/>
              </w:rPr>
            </w:pPr>
          </w:p>
        </w:tc>
      </w:tr>
      <w:tr w14:paraId="3AD2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6A2F5">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14D4066">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F5E29B3">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AFDC49C">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24CA3D5">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3899BF6">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56579F8">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B7994F5">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707059E">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1AD787D">
            <w:pPr>
              <w:jc w:val="center"/>
              <w:rPr>
                <w:rFonts w:hint="eastAsia" w:ascii="宋体" w:hAnsi="宋体" w:eastAsia="宋体" w:cs="宋体"/>
                <w:i w:val="0"/>
                <w:iCs w:val="0"/>
                <w:color w:val="000000"/>
                <w:sz w:val="22"/>
                <w:szCs w:val="22"/>
                <w:u w:val="none"/>
              </w:rPr>
            </w:pPr>
          </w:p>
        </w:tc>
      </w:tr>
      <w:tr w14:paraId="1159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DF92D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05702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08D588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6EA533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CD0867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4B4198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74E1146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D313B1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C44A0B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4E202B1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0950CE9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20D83AF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7F5E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1BD72A3">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B954D5B">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53549B2">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8B894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044A12D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CF0ECE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538B71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C616B4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D450AB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0D2089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EDD533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CEB4ED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F7E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4D29294">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A5CB63A">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322B272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8E8B4E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23A261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C398D1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2A2047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621E61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252DF4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B94544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E1519D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3ECD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58E925EF">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66AD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28DDDA4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石柱土家族自治县交通信息中心</w:t>
            </w:r>
          </w:p>
        </w:tc>
        <w:tc>
          <w:tcPr>
            <w:tcW w:w="4284" w:type="dxa"/>
            <w:tcBorders>
              <w:top w:val="nil"/>
              <w:left w:val="nil"/>
              <w:bottom w:val="nil"/>
              <w:right w:val="nil"/>
            </w:tcBorders>
            <w:shd w:val="clear" w:color="auto" w:fill="auto"/>
            <w:vAlign w:val="bottom"/>
          </w:tcPr>
          <w:p w14:paraId="45695EC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1890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66BC6513">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534B6D5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01A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6E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12E4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2789D9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16384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B958E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7977D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9A22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5638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1A1ED9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8D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4ADC2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480DD9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19D68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01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F5AB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76705C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5ABCC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E1A42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7FDC3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EBF9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935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25EF4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225850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D89D3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662D0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BC74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7806A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766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3946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432965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B80A1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E99E6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46321A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80F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C845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AC968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14691C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4C58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0A61E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0D8F0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0FF74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AB9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C2C8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1C5D1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0D39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A37E5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75B7D0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EE22E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476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66DA4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201BB3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CEEC4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7D79B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3BD5C2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5741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26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9C53F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439038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464C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E820C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375791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0CB1D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ED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C766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09A730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199BD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DC951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2981B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B607D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DD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6460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2A6AC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E4AA5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FE17C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2BF9CD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7B98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9C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D706D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16B58B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FD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61B570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55EB69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8048A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44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67314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6C295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02E98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DA90A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4613F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79AFD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666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51815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25347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EBBCB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B9D62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0E7B6D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E0BC1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D3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3E40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7A29CC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741B1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69FF3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69323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A1D1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99E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4FB4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26585C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3FBD6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8EA99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58C5CB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168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435A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7F95F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014B8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23FF9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9EE8C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D34C1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C648B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57B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29BE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13E094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FBC35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D0FBF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234FFA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7A23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71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52199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5B8340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FB926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2E044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3B1872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9DAC3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A6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4D5F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44CE82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057B7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DF95D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1A1E8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C4C79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C3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5026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2E5D4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5A760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9D1F3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2D38AB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EE8C8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AD8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78D8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77DCDA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846A9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EB239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657D95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F97C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06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47D0BF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695111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7D41728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6189AA4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59B1B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4F6914">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309E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A6599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554B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11E167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BE1A67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4BB0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6AA4FA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9B2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D3EB1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1B72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5D5403B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46,999.99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F1102D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EF2D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64F5B2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2EBD0A48">
      <w:pPr>
        <w:rPr>
          <w:rFonts w:hint="eastAsia" w:ascii="宋体" w:hAnsi="宋体" w:eastAsia="宋体" w:cs="宋体"/>
          <w:color w:val="000000"/>
          <w:sz w:val="21"/>
          <w:szCs w:val="21"/>
          <w:lang w:bidi="ar"/>
        </w:rPr>
      </w:pPr>
    </w:p>
    <w:p w14:paraId="56CC5263">
      <w:pPr>
        <w:rPr>
          <w:rFonts w:hint="eastAsia" w:ascii="宋体" w:hAnsi="宋体" w:eastAsia="宋体" w:cs="宋体"/>
          <w:color w:val="000000"/>
          <w:sz w:val="21"/>
          <w:szCs w:val="21"/>
          <w:lang w:bidi="ar"/>
        </w:rPr>
      </w:pPr>
    </w:p>
    <w:p w14:paraId="3FC9C441">
      <w:pPr>
        <w:rPr>
          <w:rFonts w:hint="eastAsia" w:ascii="宋体" w:hAnsi="宋体" w:eastAsia="宋体" w:cs="宋体"/>
          <w:color w:val="000000"/>
          <w:sz w:val="21"/>
          <w:szCs w:val="21"/>
          <w:lang w:bidi="ar"/>
        </w:rPr>
      </w:pPr>
    </w:p>
    <w:p w14:paraId="4AC7079D">
      <w:pPr>
        <w:rPr>
          <w:rFonts w:hint="eastAsia" w:ascii="宋体" w:hAnsi="宋体" w:eastAsia="宋体" w:cs="宋体"/>
          <w:color w:val="000000"/>
          <w:sz w:val="21"/>
          <w:szCs w:val="21"/>
          <w:lang w:bidi="ar"/>
        </w:rPr>
      </w:pPr>
    </w:p>
    <w:p w14:paraId="63D3600F">
      <w:pPr>
        <w:rPr>
          <w:rFonts w:hint="eastAsia" w:ascii="宋体" w:hAnsi="宋体" w:eastAsia="宋体" w:cs="宋体"/>
          <w:color w:val="000000"/>
          <w:sz w:val="21"/>
          <w:szCs w:val="21"/>
          <w:lang w:bidi="ar"/>
        </w:rPr>
      </w:pPr>
    </w:p>
    <w:p w14:paraId="48EBBDFE">
      <w:pPr>
        <w:rPr>
          <w:rFonts w:hint="eastAsia" w:ascii="宋体" w:hAnsi="宋体" w:eastAsia="宋体" w:cs="宋体"/>
          <w:color w:val="000000"/>
          <w:sz w:val="21"/>
          <w:szCs w:val="21"/>
          <w:lang w:bidi="ar"/>
        </w:rPr>
      </w:pPr>
    </w:p>
    <w:p w14:paraId="12CA939F">
      <w:pPr>
        <w:rPr>
          <w:rFonts w:hint="eastAsia" w:ascii="宋体" w:hAnsi="宋体" w:eastAsia="宋体" w:cs="宋体"/>
          <w:color w:val="000000"/>
          <w:sz w:val="21"/>
          <w:szCs w:val="21"/>
          <w:lang w:bidi="ar"/>
        </w:rPr>
      </w:pPr>
    </w:p>
    <w:p w14:paraId="7772D5A5">
      <w:pPr>
        <w:rPr>
          <w:rFonts w:hint="eastAsia" w:ascii="宋体" w:hAnsi="宋体" w:eastAsia="宋体" w:cs="宋体"/>
          <w:color w:val="000000"/>
          <w:sz w:val="21"/>
          <w:szCs w:val="21"/>
          <w:lang w:bidi="ar"/>
        </w:rPr>
      </w:pPr>
    </w:p>
    <w:p w14:paraId="0304C006">
      <w:pPr>
        <w:rPr>
          <w:rFonts w:hint="eastAsia" w:ascii="宋体" w:hAnsi="宋体" w:eastAsia="宋体" w:cs="宋体"/>
          <w:color w:val="000000"/>
          <w:sz w:val="21"/>
          <w:szCs w:val="21"/>
          <w:lang w:bidi="ar"/>
        </w:rPr>
      </w:pPr>
    </w:p>
    <w:p w14:paraId="1BC8928B">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9AB4F">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520B7F">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F520B7F">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2F99A">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01254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901254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BD7D86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5BD7D867">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943B0">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AC38D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2AC38D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7F50838">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7F50838">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4F1CB">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41FB8">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8007D5"/>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2E4A53"/>
    <w:rsid w:val="2FE029D7"/>
    <w:rsid w:val="2FF06E00"/>
    <w:rsid w:val="30B97FFD"/>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BEE60EC"/>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8F4396F"/>
    <w:rsid w:val="692172FD"/>
    <w:rsid w:val="6A3829EE"/>
    <w:rsid w:val="6B474EF5"/>
    <w:rsid w:val="6C560CAE"/>
    <w:rsid w:val="6D0615E4"/>
    <w:rsid w:val="6D903FF5"/>
    <w:rsid w:val="6DA955B8"/>
    <w:rsid w:val="6DE346AB"/>
    <w:rsid w:val="6F7F6A2D"/>
    <w:rsid w:val="6FB442D1"/>
    <w:rsid w:val="6FFB2E76"/>
    <w:rsid w:val="70AA684C"/>
    <w:rsid w:val="71C34D91"/>
    <w:rsid w:val="71ED38AA"/>
    <w:rsid w:val="720229AA"/>
    <w:rsid w:val="72DB435C"/>
    <w:rsid w:val="750837F0"/>
    <w:rsid w:val="764F62AB"/>
    <w:rsid w:val="765C45EC"/>
    <w:rsid w:val="768A7619"/>
    <w:rsid w:val="76E14979"/>
    <w:rsid w:val="77EA362A"/>
    <w:rsid w:val="7875383E"/>
    <w:rsid w:val="796D60A4"/>
    <w:rsid w:val="79A031D5"/>
    <w:rsid w:val="79C8342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p15"/>
    <w:basedOn w:val="1"/>
    <w:qFormat/>
    <w:uiPriority w:val="0"/>
    <w:pPr>
      <w:widowControl/>
      <w:ind w:firstLine="420"/>
    </w:pPr>
    <w:rPr>
      <w:rFonts w:ascii="仿宋_GB2312" w:hAnsi="宋体" w:eastAsia="仿宋_GB2312" w:cs="宋体"/>
      <w:b/>
      <w:bCs/>
      <w:kern w:val="0"/>
      <w:sz w:val="30"/>
      <w:szCs w:val="30"/>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普通(网站) Char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8133</Words>
  <Characters>11587</Characters>
  <Lines>161</Lines>
  <Paragraphs>45</Paragraphs>
  <TotalTime>6</TotalTime>
  <ScaleCrop>false</ScaleCrop>
  <LinksUpToDate>false</LinksUpToDate>
  <CharactersWithSpaces>12689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2025-10-16T03:31:38Z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