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石柱土家族自治县道路运输事务中心</w:t>
      </w:r>
    </w:p>
    <w:p>
      <w:pPr>
        <w:pStyle w:val="9"/>
        <w:spacing w:before="0" w:beforeAutospacing="0" w:after="0" w:afterAutospacing="0" w:line="596" w:lineRule="exact"/>
        <w:jc w:val="center"/>
        <w:rPr>
          <w:rFonts w:hint="eastAsia" w:ascii="方正小标宋_GBK" w:hAnsi="方正小标宋_GBK" w:eastAsia="方正小标宋_GBK" w:cs="方正小标宋_GBK"/>
          <w:sz w:val="44"/>
          <w:szCs w:val="44"/>
          <w:shd w:val="clear" w:color="auto" w:fill="FFFFFF"/>
        </w:rPr>
      </w:pPr>
      <w:r>
        <w:rPr>
          <w:rFonts w:ascii="Times New Roman" w:hAnsi="Times New Roman" w:eastAsia="方正小标宋_GBK"/>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一、单位基本情况</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13"/>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（一）职能职责</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1</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宣传、贯彻执行国家道路运输管理有关方针政策和法律、法规、规章。</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2</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承担道路运输行业发展统筹管理的事务性工作。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3</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承担行业发展研究，以及道路运输行业专项规划编制和组织实施的事务性工作。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4</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承担道路运输市场宏观调控、营运车辆运力投放、线路布局等的事务性工作。指导客运、出租汽车的更新。承担道路运输行业相关经营业户的开、停、歇业过程审核及年度审验、资质等级评定的事务性工作。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5</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承担道路运输业转型升级、城乡客运一体化、公交优先发展战略及出租汽车统筹发展推进的事务性工作。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6</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参与协调道路运输经营、公共汽车客运线路及线网规划，调整道路运输各层次和各运输方式之间关系。参与协调道路运输与其他运输方式发展相关工作。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7</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参与本县辖区内客运、出租汽车票价标准及调整方案的审核、上报工作。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8</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承担道路运输从业人员、汽车租赁、道路运输站（场）、机动车维修、机动车驾驶员培训等的日常管理工作。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9</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承担道路运输行业的运行监测、生态环境保护和节能减排，以及智慧运输体系、信息化和数字化建设管理的事务性工作。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10</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负责道路运输行业统计分析及市场预警信息引导工作，参与道路运输市场运行情况报告向社会发布工作，参与道路运输改革发展政策评估。</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11</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承担道路运输行业安全和应急管理的事务性工作；参与行业安全事故调查。</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12</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承担道路运输行业有关重点物资、紧急客货运输和高峰客运组织等工作。承担道路运输战备事务性工作。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13</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承担道路运输行业信用体系建设、行业统计工作。承担道路运输行业安全服务质量考核的事务性工作。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14</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参与道路运输经营及道路运输相关业务服务质量的投诉调解。指导营业性运输车辆的技术管理工作。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eastAsia="方正仿宋_GBK"/>
          <w:color w:val="000000" w:themeColor="text1"/>
          <w:sz w:val="33"/>
          <w:szCs w:val="33"/>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15</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承担指导、推动道路运输领域的网约车司机、货车司机群体的党建工作的事务性工作。</w:t>
      </w:r>
    </w:p>
    <w:p>
      <w:pPr>
        <w:keepNext w:val="0"/>
        <w:keepLines w:val="0"/>
        <w:pageBreakBefore w:val="0"/>
        <w:kinsoku/>
        <w:wordWrap/>
        <w:overflowPunct/>
        <w:topLinePunct w:val="0"/>
        <w:autoSpaceDN/>
        <w:bidi w:val="0"/>
        <w:adjustRightInd/>
        <w:spacing w:line="560" w:lineRule="exact"/>
        <w:ind w:firstLine="660" w:firstLineChars="200"/>
        <w:textAlignment w:val="auto"/>
        <w:rPr>
          <w:rFonts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3"/>
          <w:szCs w:val="33"/>
          <w14:textFill>
            <w14:solidFill>
              <w14:schemeClr w14:val="tx1"/>
            </w14:solidFill>
          </w14:textFill>
        </w:rPr>
        <w:t>16</w:t>
      </w:r>
      <w:r>
        <w:rPr>
          <w:rFonts w:hint="eastAsia" w:ascii="Times New Roman" w:hAnsi="Times New Roman" w:eastAsia="方正仿宋_GBK" w:cs="Times New Roman"/>
          <w:color w:val="000000" w:themeColor="text1"/>
          <w:sz w:val="33"/>
          <w:szCs w:val="33"/>
          <w:lang w:val="en-US"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完成县交通运输委员会领导交办的其他工作任务。</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Style w:val="13"/>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（二）机构设置</w:t>
      </w:r>
    </w:p>
    <w:p>
      <w:pPr>
        <w:pStyle w:val="26"/>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仿宋_GBK" w:hAnsi="宋体" w:eastAsia="方正仿宋_GBK" w:cs="Times New Roman"/>
          <w:smallCaps/>
          <w:color w:val="000000" w:themeColor="text1"/>
          <w:kern w:val="0"/>
          <w:sz w:val="32"/>
          <w:szCs w:val="32"/>
          <w:shd w:val="clear" w:color="auto" w:fill="FFFFFF"/>
          <w:lang w:val="en-US" w:eastAsia="zh-CN" w:bidi="ar-SA"/>
          <w14:textFill>
            <w14:solidFill>
              <w14:schemeClr w14:val="tx1"/>
            </w14:solidFill>
          </w14:textFill>
        </w:rPr>
      </w:pPr>
      <w:r>
        <w:rPr>
          <w:rFonts w:hint="eastAsia" w:eastAsia="方正仿宋_GBK" w:cs="方正仿宋_GBK"/>
          <w:color w:val="000000" w:themeColor="text1"/>
          <w:sz w:val="32"/>
          <w:szCs w:val="32"/>
          <w14:textFill>
            <w14:solidFill>
              <w14:schemeClr w14:val="tx1"/>
            </w14:solidFill>
          </w14:textFill>
        </w:rPr>
        <w:t>石柱土家族自治县道路运输事务中心为县交通运输委员会管理的</w:t>
      </w:r>
      <w:r>
        <w:rPr>
          <w:rFonts w:hint="eastAsia" w:ascii="方正仿宋_GBK" w:hAnsi="宋体" w:eastAsia="方正仿宋_GBK" w:cs="Times New Roman"/>
          <w:smallCaps/>
          <w:color w:val="000000" w:themeColor="text1"/>
          <w:kern w:val="0"/>
          <w:sz w:val="32"/>
          <w:szCs w:val="32"/>
          <w:shd w:val="clear" w:color="auto" w:fill="FFFFFF"/>
          <w:lang w:val="en-US" w:eastAsia="zh-CN" w:bidi="ar-SA"/>
          <w14:textFill>
            <w14:solidFill>
              <w14:schemeClr w14:val="tx1"/>
            </w14:solidFill>
          </w14:textFill>
        </w:rPr>
        <w:t>正科级财政全额拨款公益一类事业单位，内设机构</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3</w:t>
      </w:r>
      <w:r>
        <w:rPr>
          <w:rFonts w:hint="eastAsia" w:ascii="方正仿宋_GBK" w:hAnsi="宋体" w:eastAsia="方正仿宋_GBK" w:cs="Times New Roman"/>
          <w:smallCaps/>
          <w:color w:val="000000" w:themeColor="text1"/>
          <w:kern w:val="0"/>
          <w:sz w:val="32"/>
          <w:szCs w:val="32"/>
          <w:shd w:val="clear" w:color="auto" w:fill="FFFFFF"/>
          <w:lang w:val="en-US" w:eastAsia="zh-CN" w:bidi="ar-SA"/>
          <w14:textFill>
            <w14:solidFill>
              <w14:schemeClr w14:val="tx1"/>
            </w14:solidFill>
          </w14:textFill>
        </w:rPr>
        <w:t>个：综合科、运输事务科、驾驶培训和维修事务科。</w:t>
      </w:r>
    </w:p>
    <w:p>
      <w:pPr>
        <w:pStyle w:val="26"/>
        <w:keepNext w:val="0"/>
        <w:keepLines w:val="0"/>
        <w:pageBreakBefore w:val="0"/>
        <w:kinsoku/>
        <w:wordWrap/>
        <w:overflowPunct/>
        <w:topLinePunct w:val="0"/>
        <w:autoSpaceDN/>
        <w:bidi w:val="0"/>
        <w:adjustRightInd/>
        <w:spacing w:line="560" w:lineRule="exact"/>
        <w:ind w:firstLine="640" w:firstLineChars="200"/>
        <w:textAlignment w:val="auto"/>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宋体" w:eastAsia="方正仿宋_GBK" w:cs="Times New Roman"/>
          <w:smallCaps/>
          <w:color w:val="000000" w:themeColor="text1"/>
          <w:kern w:val="0"/>
          <w:sz w:val="32"/>
          <w:szCs w:val="32"/>
          <w:shd w:val="clear" w:color="auto" w:fill="FFFFFF"/>
          <w:lang w:val="en-US" w:eastAsia="zh-CN" w:bidi="ar-SA"/>
          <w14:textFill>
            <w14:solidFill>
              <w14:schemeClr w14:val="tx1"/>
            </w14:solidFill>
          </w14:textFill>
        </w:rPr>
        <w:t>我中心核定人员编制数</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20</w:t>
      </w:r>
      <w:r>
        <w:rPr>
          <w:rFonts w:hint="eastAsia" w:ascii="方正仿宋_GBK" w:hAnsi="宋体" w:eastAsia="方正仿宋_GBK" w:cs="Times New Roman"/>
          <w:smallCaps/>
          <w:color w:val="000000" w:themeColor="text1"/>
          <w:kern w:val="0"/>
          <w:sz w:val="32"/>
          <w:szCs w:val="32"/>
          <w:shd w:val="clear" w:color="auto" w:fill="FFFFFF"/>
          <w:lang w:val="en-US" w:eastAsia="zh-CN" w:bidi="ar-SA"/>
          <w14:textFill>
            <w14:solidFill>
              <w14:schemeClr w14:val="tx1"/>
            </w14:solidFill>
          </w14:textFill>
        </w:rPr>
        <w:t>人，年末实有</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18</w:t>
      </w:r>
      <w:r>
        <w:rPr>
          <w:rFonts w:hint="eastAsia" w:ascii="方正仿宋_GBK" w:hAnsi="宋体" w:eastAsia="方正仿宋_GBK" w:cs="Times New Roman"/>
          <w:smallCaps/>
          <w:color w:val="000000" w:themeColor="text1"/>
          <w:kern w:val="0"/>
          <w:sz w:val="32"/>
          <w:szCs w:val="32"/>
          <w:shd w:val="clear" w:color="auto" w:fill="FFFFFF"/>
          <w:lang w:val="en-US" w:eastAsia="zh-CN" w:bidi="ar-SA"/>
          <w14:textFill>
            <w14:solidFill>
              <w14:schemeClr w14:val="tx1"/>
            </w14:solidFill>
          </w14:textFill>
        </w:rPr>
        <w:t>人，年末在职人员同上年度增加</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1</w:t>
      </w:r>
      <w:r>
        <w:rPr>
          <w:rFonts w:hint="eastAsia" w:ascii="方正仿宋_GBK" w:hAnsi="宋体" w:eastAsia="方正仿宋_GBK" w:cs="Times New Roman"/>
          <w:smallCaps/>
          <w:color w:val="000000" w:themeColor="text1"/>
          <w:kern w:val="0"/>
          <w:sz w:val="32"/>
          <w:szCs w:val="32"/>
          <w:shd w:val="clear" w:color="auto" w:fill="FFFFFF"/>
          <w:lang w:val="en-US" w:eastAsia="zh-CN" w:bidi="ar-SA"/>
          <w14:textFill>
            <w14:solidFill>
              <w14:schemeClr w14:val="tx1"/>
            </w14:solidFill>
          </w14:textFill>
        </w:rPr>
        <w:t>人，同比增加</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5.88%</w:t>
      </w:r>
      <w:r>
        <w:rPr>
          <w:rFonts w:hint="eastAsia" w:ascii="方正仿宋_GBK" w:hAnsi="宋体" w:eastAsia="方正仿宋_GBK" w:cs="Times New Roman"/>
          <w:smallCaps/>
          <w:color w:val="000000" w:themeColor="text1"/>
          <w:kern w:val="0"/>
          <w:sz w:val="32"/>
          <w:szCs w:val="32"/>
          <w:shd w:val="clear" w:color="auto" w:fill="FFFFFF"/>
          <w:lang w:val="en-US" w:eastAsia="zh-CN" w:bidi="ar-SA"/>
          <w14:textFill>
            <w14:solidFill>
              <w14:schemeClr w14:val="tx1"/>
            </w14:solidFill>
          </w14:textFill>
        </w:rPr>
        <w:t>，主要原因为自然退休</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1</w:t>
      </w:r>
      <w:r>
        <w:rPr>
          <w:rFonts w:hint="eastAsia" w:ascii="方正仿宋_GBK" w:hAnsi="宋体" w:eastAsia="方正仿宋_GBK" w:cs="Times New Roman"/>
          <w:smallCaps/>
          <w:color w:val="000000" w:themeColor="text1"/>
          <w:kern w:val="0"/>
          <w:sz w:val="32"/>
          <w:szCs w:val="32"/>
          <w:shd w:val="clear" w:color="auto" w:fill="FFFFFF"/>
          <w:lang w:val="en-US" w:eastAsia="zh-CN" w:bidi="ar-SA"/>
          <w14:textFill>
            <w14:solidFill>
              <w14:schemeClr w14:val="tx1"/>
            </w14:solidFill>
          </w14:textFill>
        </w:rPr>
        <w:t>人，公开招聘</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2</w:t>
      </w:r>
      <w:r>
        <w:rPr>
          <w:rFonts w:hint="eastAsia" w:ascii="方正仿宋_GBK" w:hAnsi="宋体" w:eastAsia="方正仿宋_GBK" w:cs="Times New Roman"/>
          <w:smallCaps/>
          <w:color w:val="000000" w:themeColor="text1"/>
          <w:kern w:val="0"/>
          <w:sz w:val="32"/>
          <w:szCs w:val="32"/>
          <w:shd w:val="clear" w:color="auto" w:fill="FFFFFF"/>
          <w:lang w:val="en-US" w:eastAsia="zh-CN" w:bidi="ar-SA"/>
          <w14:textFill>
            <w14:solidFill>
              <w14:schemeClr w14:val="tx1"/>
            </w14:solidFill>
          </w14:textFill>
        </w:rPr>
        <w:t>人。</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3"/>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二、单位决算收支情况说明</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shd w:val="clear" w:color="auto" w:fill="FFFFFF"/>
          <w14:textFill>
            <w14:solidFill>
              <w14:schemeClr w14:val="tx1"/>
            </w14:solidFill>
          </w14:textFill>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年度收、支总计均为</w:t>
      </w:r>
      <w:r>
        <w:rPr>
          <w:rFonts w:ascii="Times New Roman" w:hAnsi="Times New Roman" w:eastAsia="方正仿宋_GBK"/>
          <w:color w:val="000000" w:themeColor="text1"/>
          <w:sz w:val="32"/>
          <w:szCs w:val="32"/>
          <w:shd w:val="clear" w:color="auto" w:fill="FFFFFF"/>
          <w14:textFill>
            <w14:solidFill>
              <w14:schemeClr w14:val="tx1"/>
            </w14:solidFill>
          </w14:textFill>
        </w:rPr>
        <w:t>988.85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收、支与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年度相比，增加</w:t>
      </w:r>
      <w:r>
        <w:rPr>
          <w:rFonts w:ascii="Times New Roman" w:hAnsi="Times New Roman" w:eastAsia="方正仿宋_GBK"/>
          <w:color w:val="000000" w:themeColor="text1"/>
          <w:sz w:val="32"/>
          <w:szCs w:val="32"/>
          <w:shd w:val="clear" w:color="auto" w:fill="FFFFFF"/>
          <w14:textFill>
            <w14:solidFill>
              <w14:schemeClr w14:val="tx1"/>
            </w14:solidFill>
          </w14:textFill>
        </w:rPr>
        <w:t>193.96</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w:t>
      </w:r>
      <w:r>
        <w:rPr>
          <w:rFonts w:ascii="Times New Roman" w:hAnsi="Times New Roman" w:eastAsia="方正仿宋_GBK"/>
          <w:color w:val="000000" w:themeColor="text1"/>
          <w:sz w:val="32"/>
          <w:szCs w:val="32"/>
          <w:shd w:val="clear" w:color="auto" w:fill="FFFFFF"/>
          <w14:textFill>
            <w14:solidFill>
              <w14:schemeClr w14:val="tx1"/>
            </w14:solidFill>
          </w14:textFill>
        </w:rPr>
        <w:t>24.4%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年项目</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收、支</w:t>
      </w:r>
      <w:r>
        <w:rPr>
          <w:rFonts w:hint="eastAsia" w:ascii="方正仿宋_GBK" w:eastAsia="方正仿宋_GBK"/>
          <w:color w:val="000000" w:themeColor="text1"/>
          <w:sz w:val="32"/>
          <w:szCs w:val="32"/>
          <w:shd w:val="clear" w:color="auto" w:fill="FFFFFF"/>
          <w14:textFill>
            <w14:solidFill>
              <w14:schemeClr w14:val="tx1"/>
            </w14:solidFill>
          </w14:textFill>
        </w:rPr>
        <w:t>较上年增加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239.15</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其中：</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年农村客运补贴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373.37</w:t>
      </w:r>
      <w:r>
        <w:rPr>
          <w:rFonts w:hint="eastAsia" w:ascii="方正仿宋_GBK" w:eastAsia="方正仿宋_GBK"/>
          <w:color w:val="000000" w:themeColor="text1"/>
          <w:sz w:val="32"/>
          <w:szCs w:val="32"/>
          <w:shd w:val="clear" w:color="auto" w:fill="FFFFFF"/>
          <w14:textFill>
            <w14:solidFill>
              <w14:schemeClr w14:val="tx1"/>
            </w14:solidFill>
          </w14:textFill>
        </w:rPr>
        <w:t>万元，较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年增加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342.5</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年区县运管所专项经费</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0.26</w:t>
      </w:r>
      <w:r>
        <w:rPr>
          <w:rFonts w:hint="eastAsia" w:ascii="方正仿宋_GBK" w:eastAsia="方正仿宋_GBK"/>
          <w:color w:val="000000" w:themeColor="text1"/>
          <w:sz w:val="32"/>
          <w:szCs w:val="32"/>
          <w:shd w:val="clear" w:color="auto" w:fill="FFFFFF"/>
          <w14:textFill>
            <w14:solidFill>
              <w14:schemeClr w14:val="tx1"/>
            </w14:solidFill>
          </w14:textFill>
        </w:rPr>
        <w:t>万元，较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年减少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110.77</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方正仿宋_GBK" w:eastAsia="方正仿宋_GBK"/>
          <w:color w:val="000000" w:themeColor="text1"/>
          <w:sz w:val="32"/>
          <w:szCs w:val="32"/>
          <w:shd w:val="clear" w:color="auto" w:fill="FFFFFF"/>
          <w14:textFill>
            <w14:solidFill>
              <w14:schemeClr w14:val="tx1"/>
            </w14:solidFill>
          </w14:textFill>
        </w:rPr>
        <w:t>人员</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类收、支</w:t>
      </w:r>
      <w:r>
        <w:rPr>
          <w:rFonts w:hint="eastAsia" w:ascii="方正仿宋_GBK" w:eastAsia="方正仿宋_GBK"/>
          <w:color w:val="000000" w:themeColor="text1"/>
          <w:sz w:val="32"/>
          <w:szCs w:val="32"/>
          <w:shd w:val="clear" w:color="auto" w:fill="FFFFFF"/>
          <w14:textFill>
            <w14:solidFill>
              <w14:schemeClr w14:val="tx1"/>
            </w14:solidFill>
          </w14:textFill>
        </w:rPr>
        <w:t>较上年减少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45.14</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方正仿宋_GBK" w:eastAsia="方正仿宋_GBK"/>
          <w:color w:val="000000" w:themeColor="text1"/>
          <w:sz w:val="32"/>
          <w:szCs w:val="32"/>
          <w:shd w:val="clear" w:color="auto" w:fill="FFFFFF"/>
          <w14:textFill>
            <w14:solidFill>
              <w14:schemeClr w14:val="tx1"/>
            </w14:solidFill>
          </w14:textFill>
        </w:rPr>
        <w:t>主要</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年死亡一人付抚恤金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24.11</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有</w:t>
      </w:r>
      <w:r>
        <w:rPr>
          <w:rFonts w:hint="eastAsia" w:ascii="方正仿宋_GBK" w:eastAsia="方正仿宋_GBK"/>
          <w:color w:val="000000" w:themeColor="text1"/>
          <w:sz w:val="32"/>
          <w:szCs w:val="32"/>
          <w:shd w:val="clear" w:color="auto" w:fill="FFFFFF"/>
          <w14:textFill>
            <w14:solidFill>
              <w14:schemeClr w14:val="tx1"/>
            </w14:solidFill>
          </w14:textFill>
        </w:rPr>
        <w:t>准备期职业年金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35.77</w:t>
      </w:r>
      <w:r>
        <w:rPr>
          <w:rFonts w:hint="eastAsia" w:ascii="方正仿宋_GBK" w:eastAsia="方正仿宋_GBK"/>
          <w:color w:val="000000" w:themeColor="text1"/>
          <w:sz w:val="32"/>
          <w:szCs w:val="32"/>
          <w:shd w:val="clear" w:color="auto" w:fill="FFFFFF"/>
          <w14:textFill>
            <w14:solidFill>
              <w14:schemeClr w14:val="tx1"/>
            </w14:solidFill>
          </w14:textFill>
        </w:rPr>
        <w:t>万元。</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3"/>
          <w:rFonts w:ascii="Times New Roman" w:hAnsi="Times New Roman" w:eastAsia="方正仿宋_GBK"/>
          <w:color w:val="000000" w:themeColor="text1"/>
          <w:sz w:val="32"/>
          <w:szCs w:val="32"/>
          <w:shd w:val="clear" w:color="auto" w:fill="FFFFFF"/>
          <w14:textFill>
            <w14:solidFill>
              <w14:schemeClr w14:val="tx1"/>
            </w14:solidFill>
          </w14:textFill>
        </w:rPr>
        <w:t>1</w:t>
      </w:r>
      <w:r>
        <w:rPr>
          <w:rStyle w:val="13"/>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收入情况。</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年度收入合计</w:t>
      </w:r>
      <w:r>
        <w:rPr>
          <w:rFonts w:ascii="Times New Roman" w:hAnsi="Times New Roman" w:eastAsia="方正仿宋_GBK"/>
          <w:color w:val="000000" w:themeColor="text1"/>
          <w:sz w:val="32"/>
          <w:szCs w:val="32"/>
          <w:shd w:val="clear" w:color="auto" w:fill="FFFFFF"/>
          <w14:textFill>
            <w14:solidFill>
              <w14:schemeClr w14:val="tx1"/>
            </w14:solidFill>
          </w14:textFill>
        </w:rPr>
        <w:t>988.85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年度相比，增加</w:t>
      </w:r>
      <w:r>
        <w:rPr>
          <w:rFonts w:ascii="Times New Roman" w:hAnsi="Times New Roman" w:eastAsia="方正仿宋_GBK"/>
          <w:color w:val="000000" w:themeColor="text1"/>
          <w:sz w:val="32"/>
          <w:szCs w:val="32"/>
          <w:shd w:val="clear" w:color="auto" w:fill="FFFFFF"/>
          <w14:textFill>
            <w14:solidFill>
              <w14:schemeClr w14:val="tx1"/>
            </w14:solidFill>
          </w14:textFill>
        </w:rPr>
        <w:t>193.96</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w:t>
      </w:r>
      <w:r>
        <w:rPr>
          <w:rFonts w:ascii="Times New Roman" w:hAnsi="Times New Roman" w:eastAsia="方正仿宋_GBK"/>
          <w:color w:val="000000" w:themeColor="text1"/>
          <w:sz w:val="32"/>
          <w:szCs w:val="32"/>
          <w:shd w:val="clear" w:color="auto" w:fill="FFFFFF"/>
          <w14:textFill>
            <w14:solidFill>
              <w14:schemeClr w14:val="tx1"/>
            </w14:solidFill>
          </w14:textFill>
        </w:rPr>
        <w:t>24.4%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年项目</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收入</w:t>
      </w:r>
      <w:r>
        <w:rPr>
          <w:rFonts w:hint="eastAsia" w:ascii="方正仿宋_GBK" w:eastAsia="方正仿宋_GBK"/>
          <w:color w:val="000000" w:themeColor="text1"/>
          <w:sz w:val="32"/>
          <w:szCs w:val="32"/>
          <w:shd w:val="clear" w:color="auto" w:fill="FFFFFF"/>
          <w14:textFill>
            <w14:solidFill>
              <w14:schemeClr w14:val="tx1"/>
            </w14:solidFill>
          </w14:textFill>
        </w:rPr>
        <w:t>较上年增加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239.15</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其中：</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年农村客运补贴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373.37</w:t>
      </w:r>
      <w:r>
        <w:rPr>
          <w:rFonts w:hint="eastAsia" w:ascii="方正仿宋_GBK" w:eastAsia="方正仿宋_GBK"/>
          <w:color w:val="000000" w:themeColor="text1"/>
          <w:sz w:val="32"/>
          <w:szCs w:val="32"/>
          <w:shd w:val="clear" w:color="auto" w:fill="FFFFFF"/>
          <w14:textFill>
            <w14:solidFill>
              <w14:schemeClr w14:val="tx1"/>
            </w14:solidFill>
          </w14:textFill>
        </w:rPr>
        <w:t>万元，较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年增加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342.5</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年区县运管所专项经费</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0.26</w:t>
      </w:r>
      <w:r>
        <w:rPr>
          <w:rFonts w:hint="eastAsia" w:ascii="方正仿宋_GBK" w:eastAsia="方正仿宋_GBK"/>
          <w:color w:val="000000" w:themeColor="text1"/>
          <w:sz w:val="32"/>
          <w:szCs w:val="32"/>
          <w:shd w:val="clear" w:color="auto" w:fill="FFFFFF"/>
          <w14:textFill>
            <w14:solidFill>
              <w14:schemeClr w14:val="tx1"/>
            </w14:solidFill>
          </w14:textFill>
        </w:rPr>
        <w:t>万元，较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年减少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110.77</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方正仿宋_GBK" w:eastAsia="方正仿宋_GBK"/>
          <w:color w:val="000000" w:themeColor="text1"/>
          <w:sz w:val="32"/>
          <w:szCs w:val="32"/>
          <w:shd w:val="clear" w:color="auto" w:fill="FFFFFF"/>
          <w14:textFill>
            <w14:solidFill>
              <w14:schemeClr w14:val="tx1"/>
            </w14:solidFill>
          </w14:textFill>
        </w:rPr>
        <w:t>人员经费较上年减少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45.14</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方正仿宋_GBK" w:eastAsia="方正仿宋_GBK"/>
          <w:color w:val="000000" w:themeColor="text1"/>
          <w:sz w:val="32"/>
          <w:szCs w:val="32"/>
          <w:shd w:val="clear" w:color="auto" w:fill="FFFFFF"/>
          <w14:textFill>
            <w14:solidFill>
              <w14:schemeClr w14:val="tx1"/>
            </w14:solidFill>
          </w14:textFill>
        </w:rPr>
        <w:t>主要是</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人员调整，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年死亡一人付抚恤金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24.11</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年有准备期职业年金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35.77</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ascii="Times New Roman" w:hAnsi="Times New Roman" w:eastAsia="方正仿宋_GBK"/>
          <w:color w:val="000000" w:themeColor="text1"/>
          <w:sz w:val="32"/>
          <w:szCs w:val="32"/>
          <w:shd w:val="clear" w:color="auto" w:fill="FFFFFF"/>
          <w14:textFill>
            <w14:solidFill>
              <w14:schemeClr w14:val="tx1"/>
            </w14:solidFill>
          </w14:textFill>
        </w:rPr>
        <w:t>988.85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olor w:val="000000" w:themeColor="text1"/>
          <w:sz w:val="32"/>
          <w:szCs w:val="32"/>
          <w:shd w:val="clear" w:color="auto" w:fill="FFFFFF"/>
          <w14:textFill>
            <w14:solidFill>
              <w14:schemeClr w14:val="tx1"/>
            </w14:solidFill>
          </w14:textFill>
        </w:rPr>
        <w:t>100.0%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；事业收入</w:t>
      </w:r>
      <w:r>
        <w:rPr>
          <w:rFonts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olor w:val="000000" w:themeColor="text1"/>
          <w:sz w:val="32"/>
          <w:szCs w:val="32"/>
          <w:shd w:val="clear" w:color="auto" w:fill="FFFFFF"/>
          <w14:textFill>
            <w14:solidFill>
              <w14:schemeClr w14:val="tx1"/>
            </w14:solidFill>
          </w14:textFill>
        </w:rPr>
        <w:t>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；经营收入</w:t>
      </w:r>
      <w:r>
        <w:rPr>
          <w:rFonts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olor w:val="000000" w:themeColor="text1"/>
          <w:sz w:val="32"/>
          <w:szCs w:val="32"/>
          <w:shd w:val="clear" w:color="auto" w:fill="FFFFFF"/>
          <w14:textFill>
            <w14:solidFill>
              <w14:schemeClr w14:val="tx1"/>
            </w14:solidFill>
          </w14:textFill>
        </w:rPr>
        <w:t>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；其他收入</w:t>
      </w:r>
      <w:r>
        <w:rPr>
          <w:rFonts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olor w:val="000000" w:themeColor="text1"/>
          <w:sz w:val="32"/>
          <w:szCs w:val="32"/>
          <w:shd w:val="clear" w:color="auto" w:fill="FFFFFF"/>
          <w14:textFill>
            <w14:solidFill>
              <w14:schemeClr w14:val="tx1"/>
            </w14:solidFill>
          </w14:textFill>
        </w:rPr>
        <w:t>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。此外，使用非财政拨款结余（含专用结余）</w:t>
      </w:r>
      <w:r>
        <w:rPr>
          <w:rFonts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万元，年初结转和结余</w:t>
      </w:r>
      <w:r>
        <w:rPr>
          <w:rFonts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3"/>
          <w:rFonts w:ascii="Times New Roman" w:hAnsi="Times New Roman" w:eastAsia="方正仿宋_GBK"/>
          <w:color w:val="000000" w:themeColor="text1"/>
          <w:sz w:val="32"/>
          <w:szCs w:val="32"/>
          <w:shd w:val="clear" w:color="auto" w:fill="FFFFFF"/>
          <w14:textFill>
            <w14:solidFill>
              <w14:schemeClr w14:val="tx1"/>
            </w14:solidFill>
          </w14:textFill>
        </w:rPr>
        <w:t>2</w:t>
      </w:r>
      <w:r>
        <w:rPr>
          <w:rStyle w:val="13"/>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支出情况。</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年度支出合计</w:t>
      </w:r>
      <w:r>
        <w:rPr>
          <w:rFonts w:ascii="Times New Roman" w:hAnsi="Times New Roman" w:eastAsia="方正仿宋_GBK"/>
          <w:color w:val="000000" w:themeColor="text1"/>
          <w:sz w:val="32"/>
          <w:szCs w:val="32"/>
          <w:shd w:val="clear" w:color="auto" w:fill="FFFFFF"/>
          <w14:textFill>
            <w14:solidFill>
              <w14:schemeClr w14:val="tx1"/>
            </w14:solidFill>
          </w14:textFill>
        </w:rPr>
        <w:t>988.85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年度相比，增加</w:t>
      </w:r>
      <w:r>
        <w:rPr>
          <w:rFonts w:ascii="Times New Roman" w:hAnsi="Times New Roman" w:eastAsia="方正仿宋_GBK"/>
          <w:color w:val="000000" w:themeColor="text1"/>
          <w:sz w:val="32"/>
          <w:szCs w:val="32"/>
          <w:shd w:val="clear" w:color="auto" w:fill="FFFFFF"/>
          <w14:textFill>
            <w14:solidFill>
              <w14:schemeClr w14:val="tx1"/>
            </w14:solidFill>
          </w14:textFill>
        </w:rPr>
        <w:t>193.96</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w:t>
      </w:r>
      <w:r>
        <w:rPr>
          <w:rFonts w:ascii="Times New Roman" w:hAnsi="Times New Roman" w:eastAsia="方正仿宋_GBK"/>
          <w:color w:val="000000" w:themeColor="text1"/>
          <w:sz w:val="32"/>
          <w:szCs w:val="32"/>
          <w:shd w:val="clear" w:color="auto" w:fill="FFFFFF"/>
          <w14:textFill>
            <w14:solidFill>
              <w14:schemeClr w14:val="tx1"/>
            </w14:solidFill>
          </w14:textFill>
        </w:rPr>
        <w:t>24.4%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年项目</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支出</w:t>
      </w:r>
      <w:r>
        <w:rPr>
          <w:rFonts w:hint="eastAsia" w:ascii="方正仿宋_GBK" w:eastAsia="方正仿宋_GBK"/>
          <w:color w:val="000000" w:themeColor="text1"/>
          <w:sz w:val="32"/>
          <w:szCs w:val="32"/>
          <w:shd w:val="clear" w:color="auto" w:fill="FFFFFF"/>
          <w14:textFill>
            <w14:solidFill>
              <w14:schemeClr w14:val="tx1"/>
            </w14:solidFill>
          </w14:textFill>
        </w:rPr>
        <w:t>较上年增加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239.15</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其中：</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年农村客运补贴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373.37</w:t>
      </w:r>
      <w:r>
        <w:rPr>
          <w:rFonts w:hint="eastAsia" w:ascii="方正仿宋_GBK" w:eastAsia="方正仿宋_GBK"/>
          <w:color w:val="000000" w:themeColor="text1"/>
          <w:sz w:val="32"/>
          <w:szCs w:val="32"/>
          <w:shd w:val="clear" w:color="auto" w:fill="FFFFFF"/>
          <w14:textFill>
            <w14:solidFill>
              <w14:schemeClr w14:val="tx1"/>
            </w14:solidFill>
          </w14:textFill>
        </w:rPr>
        <w:t>万元，较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年增加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342.5</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年区县运管所专项经费</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0.26</w:t>
      </w:r>
      <w:r>
        <w:rPr>
          <w:rFonts w:hint="eastAsia" w:ascii="方正仿宋_GBK" w:eastAsia="方正仿宋_GBK"/>
          <w:color w:val="000000" w:themeColor="text1"/>
          <w:sz w:val="32"/>
          <w:szCs w:val="32"/>
          <w:shd w:val="clear" w:color="auto" w:fill="FFFFFF"/>
          <w14:textFill>
            <w14:solidFill>
              <w14:schemeClr w14:val="tx1"/>
            </w14:solidFill>
          </w14:textFill>
        </w:rPr>
        <w:t>万元，较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年减少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110.77</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方正仿宋_GBK" w:eastAsia="方正仿宋_GBK"/>
          <w:color w:val="000000" w:themeColor="text1"/>
          <w:sz w:val="32"/>
          <w:szCs w:val="32"/>
          <w:shd w:val="clear" w:color="auto" w:fill="FFFFFF"/>
          <w14:textFill>
            <w14:solidFill>
              <w14:schemeClr w14:val="tx1"/>
            </w14:solidFill>
          </w14:textFill>
        </w:rPr>
        <w:t>人员经费较上年减少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45.14</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方正仿宋_GBK" w:eastAsia="方正仿宋_GBK"/>
          <w:color w:val="000000" w:themeColor="text1"/>
          <w:sz w:val="32"/>
          <w:szCs w:val="32"/>
          <w:shd w:val="clear" w:color="auto" w:fill="FFFFFF"/>
          <w14:textFill>
            <w14:solidFill>
              <w14:schemeClr w14:val="tx1"/>
            </w14:solidFill>
          </w14:textFill>
        </w:rPr>
        <w:t>主要是</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人员调整，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年死亡一人付抚恤金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24.11</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付</w:t>
      </w:r>
      <w:r>
        <w:rPr>
          <w:rFonts w:hint="eastAsia" w:ascii="方正仿宋_GBK" w:eastAsia="方正仿宋_GBK"/>
          <w:color w:val="000000" w:themeColor="text1"/>
          <w:sz w:val="32"/>
          <w:szCs w:val="32"/>
          <w:shd w:val="clear" w:color="auto" w:fill="FFFFFF"/>
          <w14:textFill>
            <w14:solidFill>
              <w14:schemeClr w14:val="tx1"/>
            </w14:solidFill>
          </w14:textFill>
        </w:rPr>
        <w:t>准备期职业年金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35.77</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ascii="Times New Roman" w:hAnsi="Times New Roman" w:eastAsia="方正仿宋_GBK"/>
          <w:color w:val="000000" w:themeColor="text1"/>
          <w:sz w:val="32"/>
          <w:szCs w:val="32"/>
          <w:shd w:val="clear" w:color="auto" w:fill="FFFFFF"/>
          <w14:textFill>
            <w14:solidFill>
              <w14:schemeClr w14:val="tx1"/>
            </w14:solidFill>
          </w14:textFill>
        </w:rPr>
        <w:t>414.86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olor w:val="000000" w:themeColor="text1"/>
          <w:sz w:val="32"/>
          <w:szCs w:val="32"/>
          <w:shd w:val="clear" w:color="auto" w:fill="FFFFFF"/>
          <w14:textFill>
            <w14:solidFill>
              <w14:schemeClr w14:val="tx1"/>
            </w14:solidFill>
          </w14:textFill>
        </w:rPr>
        <w:t>42.0%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；项目支出</w:t>
      </w:r>
      <w:r>
        <w:rPr>
          <w:rFonts w:ascii="Times New Roman" w:hAnsi="Times New Roman" w:eastAsia="方正仿宋_GBK"/>
          <w:color w:val="000000" w:themeColor="text1"/>
          <w:sz w:val="32"/>
          <w:szCs w:val="32"/>
          <w:shd w:val="clear" w:color="auto" w:fill="FFFFFF"/>
          <w14:textFill>
            <w14:solidFill>
              <w14:schemeClr w14:val="tx1"/>
            </w14:solidFill>
          </w14:textFill>
        </w:rPr>
        <w:t>573.99</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olor w:val="000000" w:themeColor="text1"/>
          <w:sz w:val="32"/>
          <w:szCs w:val="32"/>
          <w:shd w:val="clear" w:color="auto" w:fill="FFFFFF"/>
          <w14:textFill>
            <w14:solidFill>
              <w14:schemeClr w14:val="tx1"/>
            </w14:solidFill>
          </w14:textFill>
        </w:rPr>
        <w:t>58.1%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；经营支出</w:t>
      </w:r>
      <w:r>
        <w:rPr>
          <w:rFonts w:ascii="Times New Roman" w:hAnsi="Times New Roman" w:eastAsia="方正仿宋_GBK"/>
          <w:color w:val="000000" w:themeColor="text1"/>
          <w:sz w:val="32"/>
          <w:szCs w:val="32"/>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olor w:val="000000" w:themeColor="text1"/>
          <w:sz w:val="32"/>
          <w:szCs w:val="32"/>
          <w:shd w:val="clear" w:color="auto" w:fill="FFFFFF"/>
          <w14:textFill>
            <w14:solidFill>
              <w14:schemeClr w14:val="tx1"/>
            </w14:solidFill>
          </w14:textFill>
        </w:rPr>
        <w:t>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。此外，结余分配</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Style w:val="13"/>
          <w:rFonts w:ascii="Times New Roman" w:hAnsi="Times New Roman" w:eastAsia="方正仿宋_GBK"/>
          <w:color w:val="000000" w:themeColor="text1"/>
          <w:sz w:val="32"/>
          <w:szCs w:val="32"/>
          <w:shd w:val="clear" w:color="auto" w:fill="FFFFFF"/>
          <w14:textFill>
            <w14:solidFill>
              <w14:schemeClr w14:val="tx1"/>
            </w14:solidFill>
          </w14:textFill>
        </w:rPr>
        <w:t>3</w:t>
      </w:r>
      <w:r>
        <w:rPr>
          <w:rStyle w:val="13"/>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结转结余情况。</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年度年末结转和结余</w:t>
      </w:r>
      <w:r>
        <w:rPr>
          <w:rFonts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年度相比，无增减</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年度财政拨款收、支总计均为</w:t>
      </w:r>
      <w:r>
        <w:rPr>
          <w:rFonts w:ascii="Times New Roman" w:hAnsi="Times New Roman" w:eastAsia="方正仿宋_GBK"/>
          <w:color w:val="000000" w:themeColor="text1"/>
          <w:sz w:val="32"/>
          <w:szCs w:val="32"/>
          <w:shd w:val="clear" w:color="auto" w:fill="FFFFFF"/>
          <w14:textFill>
            <w14:solidFill>
              <w14:schemeClr w14:val="tx1"/>
            </w14:solidFill>
          </w14:textFill>
        </w:rPr>
        <w:t>988.85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年度相比，</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财政拨款收、支总计各增加</w:t>
      </w:r>
      <w:r>
        <w:rPr>
          <w:rFonts w:ascii="Times New Roman" w:hAnsi="Times New Roman" w:eastAsia="方正仿宋_GBK"/>
          <w:color w:val="000000" w:themeColor="text1"/>
          <w:sz w:val="32"/>
          <w:szCs w:val="32"/>
          <w:shd w:val="clear" w:color="auto" w:fill="FFFFFF"/>
          <w14:textFill>
            <w14:solidFill>
              <w14:schemeClr w14:val="tx1"/>
            </w14:solidFill>
          </w14:textFill>
        </w:rPr>
        <w:t>193.96</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w:t>
      </w:r>
      <w:r>
        <w:rPr>
          <w:rFonts w:ascii="Times New Roman" w:hAnsi="Times New Roman" w:eastAsia="方正仿宋_GBK"/>
          <w:color w:val="000000" w:themeColor="text1"/>
          <w:sz w:val="32"/>
          <w:szCs w:val="32"/>
          <w:shd w:val="clear" w:color="auto" w:fill="FFFFFF"/>
          <w14:textFill>
            <w14:solidFill>
              <w14:schemeClr w14:val="tx1"/>
            </w14:solidFill>
          </w14:textFill>
        </w:rPr>
        <w:t>24.4%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年项目</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收、支</w:t>
      </w:r>
      <w:r>
        <w:rPr>
          <w:rFonts w:hint="eastAsia" w:ascii="方正仿宋_GBK" w:eastAsia="方正仿宋_GBK"/>
          <w:color w:val="000000" w:themeColor="text1"/>
          <w:sz w:val="32"/>
          <w:szCs w:val="32"/>
          <w:shd w:val="clear" w:color="auto" w:fill="FFFFFF"/>
          <w14:textFill>
            <w14:solidFill>
              <w14:schemeClr w14:val="tx1"/>
            </w14:solidFill>
          </w14:textFill>
        </w:rPr>
        <w:t>较上年增加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239.15</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其中：</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年农村客运补贴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373.37</w:t>
      </w:r>
      <w:r>
        <w:rPr>
          <w:rFonts w:hint="eastAsia" w:ascii="方正仿宋_GBK" w:eastAsia="方正仿宋_GBK"/>
          <w:color w:val="000000" w:themeColor="text1"/>
          <w:sz w:val="32"/>
          <w:szCs w:val="32"/>
          <w:shd w:val="clear" w:color="auto" w:fill="FFFFFF"/>
          <w14:textFill>
            <w14:solidFill>
              <w14:schemeClr w14:val="tx1"/>
            </w14:solidFill>
          </w14:textFill>
        </w:rPr>
        <w:t>万元，较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年增加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342.5</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eastAsia="方正仿宋_GBK"/>
          <w:color w:val="000000" w:themeColor="text1"/>
          <w:sz w:val="32"/>
          <w:szCs w:val="32"/>
          <w:shd w:val="clear" w:color="auto" w:fill="FFFFFF"/>
          <w14:textFill>
            <w14:solidFill>
              <w14:schemeClr w14:val="tx1"/>
            </w14:solidFill>
          </w14:textFill>
        </w:rPr>
        <w:t>年区县运管所专项经费</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0.26</w:t>
      </w:r>
      <w:r>
        <w:rPr>
          <w:rFonts w:hint="eastAsia" w:ascii="方正仿宋_GBK" w:eastAsia="方正仿宋_GBK"/>
          <w:color w:val="000000" w:themeColor="text1"/>
          <w:sz w:val="32"/>
          <w:szCs w:val="32"/>
          <w:shd w:val="clear" w:color="auto" w:fill="FFFFFF"/>
          <w14:textFill>
            <w14:solidFill>
              <w14:schemeClr w14:val="tx1"/>
            </w14:solidFill>
          </w14:textFill>
        </w:rPr>
        <w:t>万元，较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年减少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110.77</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方正仿宋_GBK" w:eastAsia="方正仿宋_GBK"/>
          <w:color w:val="000000" w:themeColor="text1"/>
          <w:sz w:val="32"/>
          <w:szCs w:val="32"/>
          <w:shd w:val="clear" w:color="auto" w:fill="FFFFFF"/>
          <w14:textFill>
            <w14:solidFill>
              <w14:schemeClr w14:val="tx1"/>
            </w14:solidFill>
          </w14:textFill>
        </w:rPr>
        <w:t>人员经费较上年减少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45.14</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方正仿宋_GBK" w:eastAsia="方正仿宋_GBK"/>
          <w:color w:val="000000" w:themeColor="text1"/>
          <w:sz w:val="32"/>
          <w:szCs w:val="32"/>
          <w:shd w:val="clear" w:color="auto" w:fill="FFFFFF"/>
          <w:lang w:eastAsia="zh-CN"/>
          <w14:textFill>
            <w14:solidFill>
              <w14:schemeClr w14:val="tx1"/>
            </w14:solidFill>
          </w14:textFill>
        </w:rPr>
        <w:t>，</w:t>
      </w:r>
      <w:r>
        <w:rPr>
          <w:rFonts w:hint="eastAsia" w:ascii="方正仿宋_GBK" w:eastAsia="方正仿宋_GBK"/>
          <w:color w:val="000000" w:themeColor="text1"/>
          <w:sz w:val="32"/>
          <w:szCs w:val="32"/>
          <w:shd w:val="clear" w:color="auto" w:fill="FFFFFF"/>
          <w14:textFill>
            <w14:solidFill>
              <w14:schemeClr w14:val="tx1"/>
            </w14:solidFill>
          </w14:textFill>
        </w:rPr>
        <w:t>主要是</w:t>
      </w:r>
      <w:r>
        <w:rPr>
          <w:rFonts w:hint="eastAsia" w:ascii="方正仿宋_GBK" w:eastAsia="方正仿宋_GBK"/>
          <w:color w:val="000000" w:themeColor="text1"/>
          <w:sz w:val="32"/>
          <w:szCs w:val="32"/>
          <w:shd w:val="clear" w:color="auto" w:fill="FFFFFF"/>
          <w:lang w:val="en-US" w:eastAsia="zh-CN"/>
          <w14:textFill>
            <w14:solidFill>
              <w14:schemeClr w14:val="tx1"/>
            </w14:solidFill>
          </w14:textFill>
        </w:rPr>
        <w:t>人员调整，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年死亡一人付抚恤金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24.11</w:t>
      </w:r>
      <w:r>
        <w:rPr>
          <w:rFonts w:hint="eastAsia" w:ascii="方正仿宋_GBK" w:eastAsia="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方正仿宋_GBK" w:eastAsia="方正仿宋_GBK"/>
          <w:color w:val="000000" w:themeColor="text1"/>
          <w:sz w:val="32"/>
          <w:szCs w:val="32"/>
          <w:shd w:val="clear" w:color="auto" w:fill="FFFFFF"/>
          <w14:textFill>
            <w14:solidFill>
              <w14:schemeClr w14:val="tx1"/>
            </w14:solidFill>
          </w14:textFill>
        </w:rPr>
        <w:t>年有准备期职业年金</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35.77</w:t>
      </w:r>
      <w:r>
        <w:rPr>
          <w:rFonts w:hint="eastAsia" w:ascii="方正仿宋_GBK" w:eastAsia="方正仿宋_GBK"/>
          <w:color w:val="000000" w:themeColor="text1"/>
          <w:sz w:val="32"/>
          <w:szCs w:val="32"/>
          <w:shd w:val="clear" w:color="auto" w:fill="FFFFFF"/>
          <w14:textFill>
            <w14:solidFill>
              <w14:schemeClr w14:val="tx1"/>
            </w14:solidFill>
          </w14:textFill>
        </w:rPr>
        <w:t>万元。</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olor w:val="000000" w:themeColor="text1"/>
          <w:sz w:val="32"/>
          <w:szCs w:val="32"/>
          <w:shd w:val="clear" w:color="auto" w:fill="FFFFFF"/>
          <w14:textFill>
            <w14:solidFill>
              <w14:schemeClr w14:val="tx1"/>
            </w14:solidFill>
          </w14:textFill>
        </w:rPr>
      </w:pPr>
      <w:r>
        <w:rPr>
          <w:rStyle w:val="13"/>
          <w:rFonts w:ascii="Times New Roman" w:hAnsi="Times New Roman" w:eastAsia="方正仿宋_GBK"/>
          <w:color w:val="000000" w:themeColor="text1"/>
          <w:sz w:val="32"/>
          <w:szCs w:val="32"/>
          <w:shd w:val="clear" w:color="auto" w:fill="FFFFFF"/>
          <w14:textFill>
            <w14:solidFill>
              <w14:schemeClr w14:val="tx1"/>
            </w14:solidFill>
          </w14:textFill>
        </w:rPr>
        <w:t>1</w:t>
      </w:r>
      <w:r>
        <w:rPr>
          <w:rStyle w:val="13"/>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收入情况。</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年度一般公共预算财政拨款收入</w:t>
      </w:r>
      <w:r>
        <w:rPr>
          <w:rFonts w:ascii="Times New Roman" w:hAnsi="Times New Roman" w:eastAsia="方正仿宋_GBK"/>
          <w:color w:val="000000" w:themeColor="text1"/>
          <w:sz w:val="32"/>
          <w:szCs w:val="32"/>
          <w:shd w:val="clear" w:color="auto" w:fill="FFFFFF"/>
          <w14:textFill>
            <w14:solidFill>
              <w14:schemeClr w14:val="tx1"/>
            </w14:solidFill>
          </w14:textFill>
        </w:rPr>
        <w:t>988.85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年度相比，增加</w:t>
      </w:r>
      <w:r>
        <w:rPr>
          <w:rFonts w:ascii="Times New Roman" w:hAnsi="Times New Roman" w:eastAsia="方正仿宋_GBK"/>
          <w:color w:val="000000" w:themeColor="text1"/>
          <w:sz w:val="32"/>
          <w:szCs w:val="32"/>
          <w:shd w:val="clear" w:color="auto" w:fill="FFFFFF"/>
          <w14:textFill>
            <w14:solidFill>
              <w14:schemeClr w14:val="tx1"/>
            </w14:solidFill>
          </w14:textFill>
        </w:rPr>
        <w:t>193.96</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w:t>
      </w:r>
      <w:r>
        <w:rPr>
          <w:rFonts w:ascii="Times New Roman" w:hAnsi="Times New Roman" w:eastAsia="方正仿宋_GBK"/>
          <w:color w:val="000000" w:themeColor="text1"/>
          <w:sz w:val="32"/>
          <w:szCs w:val="32"/>
          <w:shd w:val="clear" w:color="auto" w:fill="FFFFFF"/>
          <w14:textFill>
            <w14:solidFill>
              <w14:schemeClr w14:val="tx1"/>
            </w14:solidFill>
          </w14:textFill>
        </w:rPr>
        <w:t>24.4%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024年项目</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收入</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较上年增加239.15万元，</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其中：</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2024年农村客运补贴373.37万元，较2023年增加342.5万元</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2024年区县运管所专项经费0.26万元，较2023年减少110.77万元</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人员经费较上年减少45.14万元</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主要是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人员调整，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2023年死亡一人付抚恤金24.11万元，2023年有准备期职业年金35.77万元</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较年初预算数减少</w:t>
      </w:r>
      <w:r>
        <w:rPr>
          <w:rFonts w:ascii="Times New Roman" w:hAnsi="Times New Roman" w:eastAsia="方正仿宋_GBK"/>
          <w:color w:val="000000" w:themeColor="text1"/>
          <w:sz w:val="32"/>
          <w:szCs w:val="32"/>
          <w:shd w:val="clear" w:color="auto" w:fill="FFFFFF"/>
          <w14:textFill>
            <w14:solidFill>
              <w14:schemeClr w14:val="tx1"/>
            </w14:solidFill>
          </w14:textFill>
        </w:rPr>
        <w:t>297.09</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23.1%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主要原因是</w:t>
      </w:r>
      <w:bookmarkStart w:id="0" w:name="OLE_LINK1"/>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农村客运补贴、农村客运保险等项目根据实际运营的农村客运车辆进行结算，结算的金额低于年初预算金额</w:t>
      </w:r>
      <w:bookmarkEnd w:id="0"/>
      <w:r>
        <w:rPr>
          <w:rFonts w:hint="eastAsia" w:ascii="Times New Roman" w:hAnsi="Times New Roman" w:eastAsia="方正仿宋_GBK"/>
          <w:color w:val="000000" w:themeColor="text1"/>
          <w:sz w:val="32"/>
          <w:szCs w:val="32"/>
          <w:shd w:val="clear" w:color="auto" w:fill="FFFFFF"/>
          <w14:textFill>
            <w14:solidFill>
              <w14:schemeClr w14:val="tx1"/>
            </w14:solidFill>
          </w14:textFill>
        </w:rPr>
        <w:t>。此外，年初财政拨款结转和结余0.00万元。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3"/>
          <w:rFonts w:ascii="Times New Roman" w:hAnsi="Times New Roman" w:eastAsia="方正仿宋_GBK"/>
          <w:color w:val="000000" w:themeColor="text1"/>
          <w:sz w:val="32"/>
          <w:szCs w:val="32"/>
          <w:shd w:val="clear" w:color="auto" w:fill="FFFFFF"/>
          <w14:textFill>
            <w14:solidFill>
              <w14:schemeClr w14:val="tx1"/>
            </w14:solidFill>
          </w14:textFill>
        </w:rPr>
        <w:t>2</w:t>
      </w:r>
      <w:r>
        <w:rPr>
          <w:rStyle w:val="13"/>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支出情况。</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年度一般公共预算财政拨款支出</w:t>
      </w:r>
      <w:r>
        <w:rPr>
          <w:rFonts w:ascii="Times New Roman" w:hAnsi="Times New Roman" w:eastAsia="方正仿宋_GBK"/>
          <w:color w:val="000000" w:themeColor="text1"/>
          <w:sz w:val="32"/>
          <w:szCs w:val="32"/>
          <w:shd w:val="clear" w:color="auto" w:fill="FFFFFF"/>
          <w14:textFill>
            <w14:solidFill>
              <w14:schemeClr w14:val="tx1"/>
            </w14:solidFill>
          </w14:textFill>
        </w:rPr>
        <w:t>988.85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年度相比，增加</w:t>
      </w:r>
      <w:r>
        <w:rPr>
          <w:rFonts w:ascii="Times New Roman" w:hAnsi="Times New Roman" w:eastAsia="方正仿宋_GBK"/>
          <w:color w:val="000000" w:themeColor="text1"/>
          <w:sz w:val="32"/>
          <w:szCs w:val="32"/>
          <w:shd w:val="clear" w:color="auto" w:fill="FFFFFF"/>
          <w14:textFill>
            <w14:solidFill>
              <w14:schemeClr w14:val="tx1"/>
            </w14:solidFill>
          </w14:textFill>
        </w:rPr>
        <w:t>193.96</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w:t>
      </w:r>
      <w:r>
        <w:rPr>
          <w:rFonts w:ascii="Times New Roman" w:hAnsi="Times New Roman" w:eastAsia="方正仿宋_GBK"/>
          <w:color w:val="000000" w:themeColor="text1"/>
          <w:sz w:val="32"/>
          <w:szCs w:val="32"/>
          <w:shd w:val="clear" w:color="auto" w:fill="FFFFFF"/>
          <w14:textFill>
            <w14:solidFill>
              <w14:schemeClr w14:val="tx1"/>
            </w14:solidFill>
          </w14:textFill>
        </w:rPr>
        <w:t>24.4%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024年项目</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收入</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较上年增加239.15万元，</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其中：</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2024年农村客运补贴373.37万元，较2023年增加342.5万元</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2024年区县运管所专项经费0.26万元，较2023年减少110.77万元</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人员经费较上年减少45.14万元</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主要是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人员调整，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2023年死亡一人付抚恤金24.11万元，2023年有准备期职业年金35.77万元</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较年初预算数减少</w:t>
      </w:r>
      <w:r>
        <w:rPr>
          <w:rFonts w:ascii="Times New Roman" w:hAnsi="Times New Roman" w:eastAsia="方正仿宋_GBK"/>
          <w:color w:val="000000" w:themeColor="text1"/>
          <w:sz w:val="32"/>
          <w:szCs w:val="32"/>
          <w:shd w:val="clear" w:color="auto" w:fill="FFFFFF"/>
          <w14:textFill>
            <w14:solidFill>
              <w14:schemeClr w14:val="tx1"/>
            </w14:solidFill>
          </w14:textFill>
        </w:rPr>
        <w:t>297.09</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23.1%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农村客运补贴、农村客运保险等项目根据实际运营的农村客运车辆进行结算，结算的金额低于年初预算金额。</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一般公共预算财政拨款支出主要用途如下：</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1）</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社会保障和就业支出73.16万元，占7.4%，</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较年初预算数增加15.91</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万元，增长27.8%，主要原因是单位职工工资标准</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增加，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养老保险职业年金基数增加</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社会保障和就业支出因此增加。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卫生健康支出20.46万元，占2.1%，</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较年初预算数减少0.08</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万元，下降0.4%，主要原因是单位人员</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变动导</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致</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卫生健康支出减少</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）交通运输支出</w:t>
      </w:r>
      <w:r>
        <w:rPr>
          <w:rFonts w:ascii="Times New Roman" w:hAnsi="Times New Roman" w:eastAsia="方正仿宋_GBK"/>
          <w:color w:val="000000" w:themeColor="text1"/>
          <w:sz w:val="32"/>
          <w:szCs w:val="32"/>
          <w:shd w:val="clear" w:color="auto" w:fill="FFFFFF"/>
          <w14:textFill>
            <w14:solidFill>
              <w14:schemeClr w14:val="tx1"/>
            </w14:solidFill>
          </w14:textFill>
        </w:rPr>
        <w:t>875.19</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olor w:val="000000" w:themeColor="text1"/>
          <w:sz w:val="32"/>
          <w:szCs w:val="32"/>
          <w:shd w:val="clear" w:color="auto" w:fill="FFFFFF"/>
          <w14:textFill>
            <w14:solidFill>
              <w14:schemeClr w14:val="tx1"/>
            </w14:solidFill>
          </w14:textFill>
        </w:rPr>
        <w:t>88.5%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较年初预算数减少</w:t>
      </w:r>
      <w:r>
        <w:rPr>
          <w:rFonts w:ascii="Times New Roman" w:hAnsi="Times New Roman" w:eastAsia="方正仿宋_GBK"/>
          <w:color w:val="000000" w:themeColor="text1"/>
          <w:sz w:val="32"/>
          <w:szCs w:val="32"/>
          <w:shd w:val="clear" w:color="auto" w:fill="FFFFFF"/>
          <w14:textFill>
            <w14:solidFill>
              <w14:schemeClr w14:val="tx1"/>
            </w14:solidFill>
          </w14:textFill>
        </w:rPr>
        <w:t>313.91</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26.4%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农村客运补贴、农村客运营运补贴依据实际运营农村客运车辆结算，结算金额低于年初预算。</w:t>
      </w:r>
    </w:p>
    <w:p>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住房保障支出</w:t>
      </w:r>
      <w:r>
        <w:rPr>
          <w:rFonts w:ascii="Times New Roman" w:hAnsi="Times New Roman" w:eastAsia="方正仿宋_GBK"/>
          <w:color w:val="000000" w:themeColor="text1"/>
          <w:sz w:val="32"/>
          <w:szCs w:val="32"/>
          <w:shd w:val="clear" w:color="auto" w:fill="FFFFFF"/>
          <w14:textFill>
            <w14:solidFill>
              <w14:schemeClr w14:val="tx1"/>
            </w14:solidFill>
          </w14:textFill>
        </w:rPr>
        <w:t>20.03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Times New Roman" w:hAnsi="Times New Roman" w:eastAsia="方正仿宋_GBK"/>
          <w:color w:val="000000" w:themeColor="text1"/>
          <w:sz w:val="32"/>
          <w:szCs w:val="32"/>
          <w:shd w:val="clear" w:color="auto" w:fill="FFFFFF"/>
          <w14:textFill>
            <w14:solidFill>
              <w14:schemeClr w14:val="tx1"/>
            </w14:solidFill>
          </w14:textFill>
        </w:rPr>
        <w:t>2.0%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较年初预算数增加</w:t>
      </w:r>
      <w:r>
        <w:rPr>
          <w:rFonts w:ascii="Times New Roman" w:hAnsi="Times New Roman" w:eastAsia="方正仿宋_GBK"/>
          <w:color w:val="000000" w:themeColor="text1"/>
          <w:sz w:val="32"/>
          <w:szCs w:val="32"/>
          <w:shd w:val="clear" w:color="auto" w:fill="FFFFFF"/>
          <w14:textFill>
            <w14:solidFill>
              <w14:schemeClr w14:val="tx1"/>
            </w14:solidFill>
          </w14:textFill>
        </w:rPr>
        <w:t>0.98</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w:t>
      </w:r>
      <w:r>
        <w:rPr>
          <w:rFonts w:ascii="Times New Roman" w:hAnsi="Times New Roman" w:eastAsia="方正仿宋_GBK"/>
          <w:color w:val="000000" w:themeColor="text1"/>
          <w:sz w:val="32"/>
          <w:szCs w:val="32"/>
          <w:shd w:val="clear" w:color="auto" w:fill="FFFFFF"/>
          <w14:textFill>
            <w14:solidFill>
              <w14:schemeClr w14:val="tx1"/>
            </w14:solidFill>
          </w14:textFill>
        </w:rPr>
        <w:t>5.1%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人员变动，人员工资标准增加导致住房公积金支出增加。</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olor w:val="000000" w:themeColor="text1"/>
          <w:sz w:val="32"/>
          <w:szCs w:val="32"/>
          <w:shd w:val="clear" w:color="auto" w:fill="FFFFFF"/>
          <w:lang w:val="en-US" w:eastAsia="zh-CN"/>
          <w14:textFill>
            <w14:solidFill>
              <w14:schemeClr w14:val="tx1"/>
            </w14:solidFill>
          </w14:textFill>
        </w:rPr>
      </w:pPr>
      <w:r>
        <w:rPr>
          <w:rStyle w:val="13"/>
          <w:rFonts w:ascii="Times New Roman" w:hAnsi="Times New Roman" w:eastAsia="方正仿宋_GBK"/>
          <w:color w:val="000000" w:themeColor="text1"/>
          <w:sz w:val="32"/>
          <w:szCs w:val="32"/>
          <w:shd w:val="clear" w:color="auto" w:fill="FFFFFF"/>
          <w14:textFill>
            <w14:solidFill>
              <w14:schemeClr w14:val="tx1"/>
            </w14:solidFill>
          </w14:textFill>
        </w:rPr>
        <w:t>3</w:t>
      </w:r>
      <w:r>
        <w:rPr>
          <w:rStyle w:val="13"/>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Style w:val="13"/>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结转结余情况。</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年度年末一般公共预算财政拨款结转和结余</w:t>
      </w:r>
      <w:r>
        <w:rPr>
          <w:rFonts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年度相比，无增减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本年度没有结转和结余。</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年度一般公共财政拨款基本支出</w:t>
      </w:r>
      <w:r>
        <w:rPr>
          <w:rFonts w:ascii="Times New Roman" w:hAnsi="Times New Roman" w:eastAsia="方正仿宋_GBK"/>
          <w:color w:val="000000" w:themeColor="text1"/>
          <w:sz w:val="32"/>
          <w:szCs w:val="32"/>
          <w:shd w:val="clear" w:color="auto" w:fill="FFFFFF"/>
          <w14:textFill>
            <w14:solidFill>
              <w14:schemeClr w14:val="tx1"/>
            </w14:solidFill>
          </w14:textFill>
        </w:rPr>
        <w:t>414.86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w:t>
      </w:r>
      <w:r>
        <w:rPr>
          <w:rFonts w:ascii="Times New Roman" w:hAnsi="Times New Roman" w:eastAsia="方正仿宋_GBK"/>
          <w:color w:val="000000" w:themeColor="text1"/>
          <w:sz w:val="32"/>
          <w:szCs w:val="32"/>
          <w:shd w:val="clear" w:color="auto" w:fill="FFFFFF"/>
          <w14:textFill>
            <w14:solidFill>
              <w14:schemeClr w14:val="tx1"/>
            </w14:solidFill>
          </w14:textFill>
        </w:rPr>
        <w:t>352.38</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年度相比，减少</w:t>
      </w:r>
      <w:r>
        <w:rPr>
          <w:rFonts w:ascii="Times New Roman" w:hAnsi="Times New Roman" w:eastAsia="方正仿宋_GBK"/>
          <w:color w:val="000000" w:themeColor="text1"/>
          <w:sz w:val="32"/>
          <w:szCs w:val="32"/>
          <w:shd w:val="clear" w:color="auto" w:fill="FFFFFF"/>
          <w14:textFill>
            <w14:solidFill>
              <w14:schemeClr w14:val="tx1"/>
            </w14:solidFill>
          </w14:textFill>
        </w:rPr>
        <w:t>45.15</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11.4%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人员调整，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2023年死亡一人付抚恤金24.11万元，2023年有准备期职业年金35.77万元，而2024年没有这部分</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基本工资、津贴补贴、奖金、社会保障缴费、住房保障缴费</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等。</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w:t>
      </w:r>
      <w:r>
        <w:rPr>
          <w:rFonts w:ascii="Times New Roman" w:hAnsi="Times New Roman" w:eastAsia="方正仿宋_GBK"/>
          <w:color w:val="000000" w:themeColor="text1"/>
          <w:sz w:val="32"/>
          <w:szCs w:val="32"/>
          <w:shd w:val="clear" w:color="auto" w:fill="FFFFFF"/>
          <w14:textFill>
            <w14:solidFill>
              <w14:schemeClr w14:val="tx1"/>
            </w14:solidFill>
          </w14:textFill>
        </w:rPr>
        <w:t>62.48</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年度相比，减少</w:t>
      </w:r>
      <w:r>
        <w:rPr>
          <w:rFonts w:ascii="Times New Roman" w:hAnsi="Times New Roman" w:eastAsia="方正仿宋_GBK"/>
          <w:color w:val="000000" w:themeColor="text1"/>
          <w:sz w:val="32"/>
          <w:szCs w:val="32"/>
          <w:shd w:val="clear" w:color="auto" w:fill="FFFFFF"/>
          <w14:textFill>
            <w14:solidFill>
              <w14:schemeClr w14:val="tx1"/>
            </w14:solidFill>
          </w14:textFill>
        </w:rPr>
        <w:t>0.05</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0.1%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厉行节约，减少办公开支。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公用经费用途主要包括</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办公费、</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差旅费、邮电费、培训费、</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水</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费、</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电费、公务用车运行维护费</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、其他商品和服务费</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等。</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本单位</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年度无政府性基金预算财政拨款收支。</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本单位</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年度无国有资本经营预算财政拨款支出。</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3"/>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三、财政拨款“三公”经费情况说明</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年度“三公”经费支出共计</w:t>
      </w:r>
      <w:r>
        <w:rPr>
          <w:rFonts w:ascii="Times New Roman" w:hAnsi="Times New Roman" w:eastAsia="方正仿宋_GBK"/>
          <w:color w:val="000000" w:themeColor="text1"/>
          <w:sz w:val="32"/>
          <w:szCs w:val="32"/>
          <w:shd w:val="clear" w:color="auto" w:fill="FFFFFF"/>
          <w14:textFill>
            <w14:solidFill>
              <w14:schemeClr w14:val="tx1"/>
            </w14:solidFill>
          </w14:textFill>
        </w:rPr>
        <w:t>4.74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较年初预算数减少</w:t>
      </w:r>
      <w:r>
        <w:rPr>
          <w:rFonts w:ascii="Times New Roman" w:hAnsi="Times New Roman" w:eastAsia="方正仿宋_GBK"/>
          <w:color w:val="000000" w:themeColor="text1"/>
          <w:sz w:val="32"/>
          <w:szCs w:val="32"/>
          <w:shd w:val="clear" w:color="auto" w:fill="FFFFFF"/>
          <w14:textFill>
            <w14:solidFill>
              <w14:schemeClr w14:val="tx1"/>
            </w14:solidFill>
          </w14:textFill>
        </w:rPr>
        <w:t>0.06</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1.3%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厉行节约，缩减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“三公”经费</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开支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较上年支出数减少</w:t>
      </w:r>
      <w:r>
        <w:rPr>
          <w:rFonts w:ascii="Times New Roman" w:hAnsi="Times New Roman" w:eastAsia="方正仿宋_GBK"/>
          <w:color w:val="000000" w:themeColor="text1"/>
          <w:sz w:val="32"/>
          <w:szCs w:val="32"/>
          <w:shd w:val="clear" w:color="auto" w:fill="FFFFFF"/>
          <w14:textFill>
            <w14:solidFill>
              <w14:schemeClr w14:val="tx1"/>
            </w14:solidFill>
          </w14:textFill>
        </w:rPr>
        <w:t>22.48</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82.6%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2023</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年购买公务用车支出</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23.08</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年没有购买公务用车。</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年度本单位因公出国（境）费用</w:t>
      </w:r>
      <w:r>
        <w:rPr>
          <w:rFonts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万元，主要是用于</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职工因公出国办公开支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较年初预算数无增减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无</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职工因公出国</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较上年支出数无增减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无职工因公出国</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公务用车购置费</w:t>
      </w:r>
      <w:r>
        <w:rPr>
          <w:rFonts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购买</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公务用车</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较年初预算数无增减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未采购新公务车</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较上年支出数减少</w:t>
      </w:r>
      <w:r>
        <w:rPr>
          <w:rFonts w:ascii="Times New Roman" w:hAnsi="Times New Roman" w:eastAsia="方正仿宋_GBK"/>
          <w:color w:val="000000" w:themeColor="text1"/>
          <w:sz w:val="32"/>
          <w:szCs w:val="32"/>
          <w:shd w:val="clear" w:color="auto" w:fill="FFFFFF"/>
          <w14:textFill>
            <w14:solidFill>
              <w14:schemeClr w14:val="tx1"/>
            </w14:solidFill>
          </w14:textFill>
        </w:rPr>
        <w:t>23.08</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100.0%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2023</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年购买公务用车支出</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23.08</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年未采购新公务车</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公务用车运行维护费</w:t>
      </w:r>
      <w:r>
        <w:rPr>
          <w:rFonts w:ascii="Times New Roman" w:hAnsi="Times New Roman" w:eastAsia="方正仿宋_GBK"/>
          <w:color w:val="000000" w:themeColor="text1"/>
          <w:sz w:val="32"/>
          <w:szCs w:val="32"/>
          <w:shd w:val="clear" w:color="auto" w:fill="FFFFFF"/>
          <w14:textFill>
            <w14:solidFill>
              <w14:schemeClr w14:val="tx1"/>
            </w14:solidFill>
          </w14:textFill>
        </w:rPr>
        <w:t>3.96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公务车辆油料费、维修费、通行费、保险费等费用支出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较年初预算数减少</w:t>
      </w:r>
      <w:r>
        <w:rPr>
          <w:rFonts w:ascii="Times New Roman" w:hAnsi="Times New Roman" w:eastAsia="方正仿宋_GBK"/>
          <w:color w:val="000000" w:themeColor="text1"/>
          <w:sz w:val="32"/>
          <w:szCs w:val="32"/>
          <w:shd w:val="clear" w:color="auto" w:fill="FFFFFF"/>
          <w14:textFill>
            <w14:solidFill>
              <w14:schemeClr w14:val="tx1"/>
            </w14:solidFill>
          </w14:textFill>
        </w:rPr>
        <w:t>0.04</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1.0%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严格落实公车使用规定，</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厉行节约，减少开支</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。较上年</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支出数增加</w:t>
      </w:r>
      <w:r>
        <w:rPr>
          <w:rFonts w:ascii="Times New Roman" w:hAnsi="Times New Roman" w:eastAsia="方正仿宋_GBK"/>
          <w:color w:val="000000" w:themeColor="text1"/>
          <w:sz w:val="32"/>
          <w:szCs w:val="32"/>
          <w:shd w:val="clear" w:color="auto" w:fill="FFFFFF"/>
          <w14:textFill>
            <w14:solidFill>
              <w14:schemeClr w14:val="tx1"/>
            </w14:solidFill>
          </w14:textFill>
        </w:rPr>
        <w:t>0.28</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w:t>
      </w:r>
      <w:r>
        <w:rPr>
          <w:rFonts w:ascii="Times New Roman" w:hAnsi="Times New Roman" w:eastAsia="方正仿宋_GBK"/>
          <w:color w:val="000000" w:themeColor="text1"/>
          <w:sz w:val="32"/>
          <w:szCs w:val="32"/>
          <w:shd w:val="clear" w:color="auto" w:fill="FFFFFF"/>
          <w14:textFill>
            <w14:solidFill>
              <w14:schemeClr w14:val="tx1"/>
            </w14:solidFill>
          </w14:textFill>
        </w:rPr>
        <w:t>7.6%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本年度检查调研企业、勘探线路等用车</w:t>
      </w:r>
      <w:r>
        <w:rPr>
          <w:rFonts w:ascii="方正仿宋_GBK" w:hAnsi="方正仿宋_GBK" w:eastAsia="方正仿宋_GBK" w:cs="方正仿宋_GBK"/>
          <w:i w:val="0"/>
          <w:iCs w:val="0"/>
          <w:caps w:val="0"/>
          <w:color w:val="000000" w:themeColor="text1"/>
          <w:spacing w:val="0"/>
          <w:sz w:val="32"/>
          <w:szCs w:val="32"/>
          <w14:textFill>
            <w14:solidFill>
              <w14:schemeClr w14:val="tx1"/>
            </w14:solidFill>
          </w14:textFill>
        </w:rPr>
        <w:t>增加，</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油费和过路费增加，导致</w:t>
      </w:r>
      <w:r>
        <w:rPr>
          <w:rFonts w:ascii="方正仿宋_GBK" w:hAnsi="方正仿宋_GBK" w:eastAsia="方正仿宋_GBK" w:cs="方正仿宋_GBK"/>
          <w:i w:val="0"/>
          <w:iCs w:val="0"/>
          <w:caps w:val="0"/>
          <w:color w:val="000000" w:themeColor="text1"/>
          <w:spacing w:val="0"/>
          <w:sz w:val="32"/>
          <w:szCs w:val="32"/>
          <w14:textFill>
            <w14:solidFill>
              <w14:schemeClr w14:val="tx1"/>
            </w14:solidFill>
          </w14:textFill>
        </w:rPr>
        <w:t>公务用车运行维护费</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较上年</w:t>
      </w:r>
      <w:r>
        <w:rPr>
          <w:rFonts w:ascii="方正仿宋_GBK" w:hAnsi="方正仿宋_GBK" w:eastAsia="方正仿宋_GBK" w:cs="方正仿宋_GBK"/>
          <w:i w:val="0"/>
          <w:iCs w:val="0"/>
          <w:caps w:val="0"/>
          <w:color w:val="000000" w:themeColor="text1"/>
          <w:spacing w:val="0"/>
          <w:sz w:val="32"/>
          <w:szCs w:val="32"/>
          <w14:textFill>
            <w14:solidFill>
              <w14:schemeClr w14:val="tx1"/>
            </w14:solidFill>
          </w14:textFill>
        </w:rPr>
        <w:t>增加</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公务接待费</w:t>
      </w:r>
      <w:r>
        <w:rPr>
          <w:rFonts w:ascii="Times New Roman" w:hAnsi="Times New Roman" w:eastAsia="方正仿宋_GBK"/>
          <w:color w:val="000000" w:themeColor="text1"/>
          <w:sz w:val="32"/>
          <w:szCs w:val="32"/>
          <w:shd w:val="clear" w:color="auto" w:fill="FFFFFF"/>
          <w14:textFill>
            <w14:solidFill>
              <w14:schemeClr w14:val="tx1"/>
            </w14:solidFill>
          </w14:textFill>
        </w:rPr>
        <w:t>0.78</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用于</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公务接待上级及相关部门工作交流及检查</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较年初预算数减少</w:t>
      </w:r>
      <w:r>
        <w:rPr>
          <w:rFonts w:ascii="Times New Roman" w:hAnsi="Times New Roman" w:eastAsia="方正仿宋_GBK"/>
          <w:color w:val="000000" w:themeColor="text1"/>
          <w:sz w:val="32"/>
          <w:szCs w:val="32"/>
          <w:shd w:val="clear" w:color="auto" w:fill="FFFFFF"/>
          <w14:textFill>
            <w14:solidFill>
              <w14:schemeClr w14:val="tx1"/>
            </w14:solidFill>
          </w14:textFill>
        </w:rPr>
        <w:t>0.02</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2.5%</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严格按照年初预算数严控开支，</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严格遵守公务接待开支范围和开支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标准</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厉行节约减少开支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。较上年支出数增加</w:t>
      </w:r>
      <w:r>
        <w:rPr>
          <w:rFonts w:ascii="Times New Roman" w:hAnsi="Times New Roman" w:eastAsia="方正仿宋_GBK"/>
          <w:color w:val="000000" w:themeColor="text1"/>
          <w:sz w:val="32"/>
          <w:szCs w:val="32"/>
          <w:shd w:val="clear" w:color="auto" w:fill="FFFFFF"/>
          <w14:textFill>
            <w14:solidFill>
              <w14:schemeClr w14:val="tx1"/>
            </w14:solidFill>
          </w14:textFill>
        </w:rPr>
        <w:t>0.32</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w:t>
      </w:r>
      <w:r>
        <w:rPr>
          <w:rFonts w:ascii="Times New Roman" w:hAnsi="Times New Roman" w:eastAsia="方正仿宋_GBK"/>
          <w:color w:val="000000" w:themeColor="text1"/>
          <w:sz w:val="32"/>
          <w:szCs w:val="32"/>
          <w:shd w:val="clear" w:color="auto" w:fill="FFFFFF"/>
          <w14:textFill>
            <w14:solidFill>
              <w14:schemeClr w14:val="tx1"/>
            </w14:solidFill>
          </w14:textFill>
        </w:rPr>
        <w:t>69.6%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要原因是</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上级检查及其他区县单位来访开展工作交流的人次增加，导致今年公务接待决算数较上年增加</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年度本单位因公出国（境）共计</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个团组，</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人；公务用车购置</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辆，公务车保有量为</w:t>
      </w:r>
      <w:r>
        <w:rPr>
          <w:rFonts w:ascii="Times New Roman" w:hAnsi="Times New Roman" w:eastAsia="方正仿宋_GBK"/>
          <w:color w:val="000000" w:themeColor="text1"/>
          <w:sz w:val="32"/>
          <w:szCs w:val="32"/>
          <w:shd w:val="clear" w:color="auto"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辆；国内公务接待</w:t>
      </w:r>
      <w:r>
        <w:rPr>
          <w:rFonts w:ascii="Times New Roman" w:hAnsi="Times New Roman" w:eastAsia="方正仿宋_GBK"/>
          <w:color w:val="000000" w:themeColor="text1"/>
          <w:sz w:val="32"/>
          <w:szCs w:val="32"/>
          <w:shd w:val="clear" w:color="auto" w:fill="FFFFFF"/>
          <w14:textFill>
            <w14:solidFill>
              <w14:schemeClr w14:val="tx1"/>
            </w14:solidFill>
          </w14:textFill>
        </w:rPr>
        <w:t>10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olor w:val="000000" w:themeColor="text1"/>
          <w:sz w:val="32"/>
          <w:szCs w:val="32"/>
          <w:shd w:val="clear" w:color="auto" w:fill="FFFFFF"/>
          <w14:textFill>
            <w14:solidFill>
              <w14:schemeClr w14:val="tx1"/>
            </w14:solidFill>
          </w14:textFill>
        </w:rPr>
        <w:t>86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人，其中：国内外事接待</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人；国（境）外公务接待</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批次，</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人。</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年本单位人均接待费</w:t>
      </w:r>
      <w:r>
        <w:rPr>
          <w:rFonts w:ascii="Times New Roman" w:hAnsi="Times New Roman" w:eastAsia="方正仿宋_GBK"/>
          <w:color w:val="000000" w:themeColor="text1"/>
          <w:sz w:val="32"/>
          <w:szCs w:val="32"/>
          <w:shd w:val="clear" w:color="auto" w:fill="FFFFFF"/>
          <w14:textFill>
            <w14:solidFill>
              <w14:schemeClr w14:val="tx1"/>
            </w14:solidFill>
          </w14:textFill>
        </w:rPr>
        <w:t>90.33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元，车均购置费</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万元，车均维护费</w:t>
      </w:r>
      <w:r>
        <w:rPr>
          <w:rFonts w:ascii="Times New Roman" w:hAnsi="Times New Roman" w:eastAsia="方正仿宋_GBK"/>
          <w:color w:val="000000" w:themeColor="text1"/>
          <w:sz w:val="32"/>
          <w:szCs w:val="32"/>
          <w:shd w:val="clear" w:color="auto" w:fill="FFFFFF"/>
          <w14:textFill>
            <w14:solidFill>
              <w14:schemeClr w14:val="tx1"/>
            </w14:solidFill>
          </w14:textFill>
        </w:rPr>
        <w:t>1.32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3"/>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四、其他需要说明的事项</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本年度会议费支出</w:t>
      </w:r>
      <w:r>
        <w:rPr>
          <w:rFonts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年度相比，无增减</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本单位未安排大型会议</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r>
        <w:rPr>
          <w:rFonts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无会议费支出</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年度培训费支出</w:t>
      </w:r>
      <w:r>
        <w:rPr>
          <w:rFonts w:ascii="Times New Roman" w:hAnsi="Times New Roman" w:eastAsia="方正仿宋_GBK"/>
          <w:color w:val="000000" w:themeColor="text1"/>
          <w:sz w:val="32"/>
          <w:szCs w:val="32"/>
          <w:shd w:val="clear" w:color="auto" w:fill="FFFFFF"/>
          <w14:textFill>
            <w14:solidFill>
              <w14:schemeClr w14:val="tx1"/>
            </w14:solidFill>
          </w14:textFill>
        </w:rPr>
        <w:t>5.51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年度相比，减少</w:t>
      </w:r>
      <w:r>
        <w:rPr>
          <w:rFonts w:ascii="Times New Roman" w:hAnsi="Times New Roman" w:eastAsia="方正仿宋_GBK"/>
          <w:color w:val="000000" w:themeColor="text1"/>
          <w:sz w:val="32"/>
          <w:szCs w:val="32"/>
          <w:shd w:val="clear" w:color="auto" w:fill="FFFFFF"/>
          <w14:textFill>
            <w14:solidFill>
              <w14:schemeClr w14:val="tx1"/>
            </w14:solidFill>
          </w14:textFill>
        </w:rPr>
        <w:t>1.61</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万元，下降</w:t>
      </w:r>
      <w:r>
        <w:rPr>
          <w:rFonts w:ascii="Times New Roman" w:hAnsi="Times New Roman" w:eastAsia="方正仿宋_GBK"/>
          <w:color w:val="000000" w:themeColor="text1"/>
          <w:sz w:val="32"/>
          <w:szCs w:val="32"/>
          <w:shd w:val="clear" w:color="auto" w:fill="FFFFFF"/>
          <w14:textFill>
            <w14:solidFill>
              <w14:schemeClr w14:val="tx1"/>
            </w14:solidFill>
          </w14:textFill>
        </w:rPr>
        <w:t>22.6%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严格控制培训费支出，开展道路运输行业安全管理培训支出减少</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。本年度差旅费支出</w:t>
      </w:r>
      <w:r>
        <w:rPr>
          <w:rFonts w:ascii="Times New Roman" w:hAnsi="Times New Roman" w:eastAsia="方正仿宋_GBK"/>
          <w:color w:val="000000" w:themeColor="text1"/>
          <w:sz w:val="32"/>
          <w:szCs w:val="32"/>
          <w:shd w:val="clear" w:color="auto" w:fill="FFFFFF"/>
          <w14:textFill>
            <w14:solidFill>
              <w14:schemeClr w14:val="tx1"/>
            </w14:solidFill>
          </w14:textFill>
        </w:rPr>
        <w:t>23.59</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与</w:t>
      </w:r>
      <w:r>
        <w:rPr>
          <w:rFonts w:ascii="Times New Roman" w:hAnsi="Times New Roman" w:eastAsia="方正仿宋_GBK"/>
          <w:color w:val="000000" w:themeColor="text1"/>
          <w:sz w:val="32"/>
          <w:szCs w:val="32"/>
          <w:shd w:val="clear" w:color="auto" w:fill="FFFFFF"/>
          <w14:textFill>
            <w14:solidFill>
              <w14:schemeClr w14:val="tx1"/>
            </w14:solidFill>
          </w14:textFill>
        </w:rPr>
        <w:t>2023</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年度相比，增加</w:t>
      </w:r>
      <w:r>
        <w:rPr>
          <w:rFonts w:ascii="Times New Roman" w:hAnsi="Times New Roman" w:eastAsia="方正仿宋_GBK"/>
          <w:color w:val="000000" w:themeColor="text1"/>
          <w:sz w:val="32"/>
          <w:szCs w:val="32"/>
          <w:shd w:val="clear" w:color="auto" w:fill="FFFFFF"/>
          <w14:textFill>
            <w14:solidFill>
              <w14:schemeClr w14:val="tx1"/>
            </w14:solidFill>
          </w14:textFill>
        </w:rPr>
        <w:t>1.59</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万元，增长</w:t>
      </w:r>
      <w:r>
        <w:rPr>
          <w:rFonts w:ascii="Times New Roman" w:hAnsi="Times New Roman" w:eastAsia="方正仿宋_GBK"/>
          <w:color w:val="000000" w:themeColor="text1"/>
          <w:sz w:val="32"/>
          <w:szCs w:val="32"/>
          <w:shd w:val="clear" w:color="auto" w:fill="FFFFFF"/>
          <w14:textFill>
            <w14:solidFill>
              <w14:schemeClr w14:val="tx1"/>
            </w14:solidFill>
          </w14:textFill>
        </w:rPr>
        <w:t>7.2%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是</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本年度检查调研企业次数增加，因公出差支出增加</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按照部门决算列报口径，我单位不在机关运行经费统计范围之内。</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截至</w:t>
      </w:r>
      <w:r>
        <w:rPr>
          <w:rFonts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w:t>
      </w:r>
      <w:r>
        <w:rPr>
          <w:rFonts w:ascii="Times New Roman" w:hAnsi="Times New Roman" w:eastAsia="方正仿宋_GBK"/>
          <w:color w:val="000000" w:themeColor="text1"/>
          <w:sz w:val="32"/>
          <w:szCs w:val="32"/>
          <w:shd w:val="clear" w:color="auto" w:fill="FFFFFF"/>
          <w14:textFill>
            <w14:solidFill>
              <w14:schemeClr w14:val="tx1"/>
            </w14:solidFill>
          </w14:textFill>
        </w:rPr>
        <w:t>12</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月</w:t>
      </w:r>
      <w:r>
        <w:rPr>
          <w:rFonts w:ascii="Times New Roman" w:hAnsi="Times New Roman" w:eastAsia="方正仿宋_GBK"/>
          <w:color w:val="000000" w:themeColor="text1"/>
          <w:sz w:val="32"/>
          <w:szCs w:val="32"/>
          <w:shd w:val="clear" w:color="auto" w:fill="FFFFFF"/>
          <w14:textFill>
            <w14:solidFill>
              <w14:schemeClr w14:val="tx1"/>
            </w14:solidFill>
          </w14:textFill>
        </w:rPr>
        <w:t>31</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日，本单位共有车辆</w:t>
      </w:r>
      <w:r>
        <w:rPr>
          <w:rFonts w:ascii="Times New Roman" w:hAnsi="Times New Roman" w:eastAsia="方正仿宋_GBK"/>
          <w:color w:val="000000" w:themeColor="text1"/>
          <w:sz w:val="32"/>
          <w:szCs w:val="32"/>
          <w:shd w:val="clear" w:color="auto"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辆、主要负责人用车</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辆、机要通信用车</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辆、应急保障用车</w:t>
      </w:r>
      <w:r>
        <w:rPr>
          <w:rFonts w:ascii="Times New Roman" w:hAnsi="Times New Roman" w:eastAsia="方正仿宋_GBK"/>
          <w:color w:val="000000" w:themeColor="text1"/>
          <w:sz w:val="32"/>
          <w:szCs w:val="32"/>
          <w:shd w:val="clear" w:color="auto"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辆、执法执勤用车</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辆，特种专业技术用车</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辆，离退休干部用车</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辆。单价</w:t>
      </w:r>
      <w:r>
        <w:rPr>
          <w:rFonts w:ascii="Times New Roman" w:hAnsi="Times New Roman" w:eastAsia="方正仿宋_GBK"/>
          <w:color w:val="000000" w:themeColor="text1"/>
          <w:sz w:val="32"/>
          <w:szCs w:val="32"/>
          <w:shd w:val="clear" w:color="auto" w:fill="FFFFFF"/>
          <w14:textFill>
            <w14:solidFill>
              <w14:schemeClr w14:val="tx1"/>
            </w14:solidFill>
          </w14:textFill>
        </w:rPr>
        <w:t>100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万元（含）以上专用设备</w:t>
      </w:r>
      <w:r>
        <w:rPr>
          <w:rFonts w:ascii="Times New Roman" w:hAnsi="Times New Roman" w:eastAsia="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台（套）。</w:t>
      </w:r>
    </w:p>
    <w:p>
      <w:pPr>
        <w:pStyle w:val="21"/>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olor w:val="000000" w:themeColor="text1"/>
          <w:sz w:val="32"/>
          <w:szCs w:val="32"/>
          <w:shd w:val="clear" w:color="auto" w:fill="FFFFFF"/>
          <w14:textFill>
            <w14:solidFill>
              <w14:schemeClr w14:val="tx1"/>
            </w14:solidFill>
          </w14:textFill>
        </w:rPr>
        <w:t>2024</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年度本单位政府采购支出总额</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1.56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1.56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万元、政府采购工程支出</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万元、政府采购服务支出</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0.00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1.56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100%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1.56</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100%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。主要用于采购</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办公电脑和</w:t>
      </w:r>
      <w:r>
        <w:rPr>
          <w:rFonts w:hint="eastAsia" w:ascii="Times New Roman" w:hAnsi="Times New Roman" w:eastAsia="方正仿宋_GBK"/>
          <w:color w:val="000000" w:themeColor="text1"/>
          <w:sz w:val="32"/>
          <w:szCs w:val="32"/>
          <w:shd w:val="clear" w:color="auto" w:fill="FFFFFF"/>
          <w:lang w:val="en-US" w:eastAsia="zh-CN"/>
          <w14:textFill>
            <w14:solidFill>
              <w14:schemeClr w14:val="tx1"/>
            </w14:solidFill>
          </w14:textFill>
        </w:rPr>
        <w:t>A4</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复印纸</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pPr>
      <w:r>
        <w:rPr>
          <w:rStyle w:val="13"/>
          <w:rFonts w:hint="eastAsia" w:ascii="方正黑体_GBK" w:hAnsi="方正黑体_GBK" w:eastAsia="方正黑体_GBK" w:cs="方正黑体_GBK"/>
          <w:b w:val="0"/>
          <w:bCs/>
          <w:color w:val="000000" w:themeColor="text1"/>
          <w:sz w:val="32"/>
          <w:szCs w:val="32"/>
          <w:shd w:val="clear" w:color="auto" w:fill="FFFFFF"/>
          <w14:textFill>
            <w14:solidFill>
              <w14:schemeClr w14:val="tx1"/>
            </w14:solidFill>
          </w14:textFill>
        </w:rPr>
        <w:t>五、2024年度预算绩效管理情况说明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（一）单位自评情况</w:t>
      </w:r>
    </w:p>
    <w:p>
      <w:pPr>
        <w:pStyle w:val="22"/>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6</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Times New Roman"/>
          <w:color w:val="000000" w:themeColor="text1"/>
          <w:kern w:val="0"/>
          <w:sz w:val="32"/>
          <w:szCs w:val="32"/>
          <w:shd w:val="clear" w:color="auto" w:fill="FFFFFF"/>
          <w:lang w:val="en-US" w:eastAsia="zh-CN" w:bidi="ar-SA"/>
          <w14:textFill>
            <w14:solidFill>
              <w14:schemeClr w14:val="tx1"/>
            </w14:solidFill>
          </w14:textFill>
        </w:rPr>
        <w:t>573.99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w:t>
      </w:r>
    </w:p>
    <w:p>
      <w:pPr>
        <w:pStyle w:val="22"/>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rPr>
      </w:pP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742"/>
        <w:gridCol w:w="742"/>
        <w:gridCol w:w="649"/>
        <w:gridCol w:w="556"/>
        <w:gridCol w:w="621"/>
        <w:gridCol w:w="618"/>
        <w:gridCol w:w="585"/>
        <w:gridCol w:w="463"/>
        <w:gridCol w:w="588"/>
        <w:gridCol w:w="2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农客保险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50024022T000000117582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063-石柱土家族自治县交通运输委员会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508-经济建设和产业发展科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张珑舰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15223794166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1,251,856.72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1,092,796.08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1,092,796.08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1,251,856.72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1,092,796.08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1,092,796.08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1,251,856.72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1,092,796.08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1,092,796.08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用于农村客运车辆购买保险保费专项支出，减少车险负担，市民安全出行得到保障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用于农村客运车辆购买保险保费专项支出，减少车险负担，市民安全出行得到保障，对于符合条件的车辆已及时向保险公司付款，保证车辆按时参保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补贴车辆数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承运人责任险201台，交强险和第三者责任险共68台，合计269台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满足条件通过审核的车辆都已及时参保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补贴到位及时率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降低车辆运营成本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市民出行安全保障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受益群体满意率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每车补贴标准按实际满足条件通过审核的为准</w:t>
            </w:r>
          </w:p>
        </w:tc>
      </w:tr>
    </w:tbl>
    <w:p>
      <w:pPr>
        <w:pStyle w:val="25"/>
        <w:numPr>
          <w:ilvl w:val="0"/>
          <w:numId w:val="0"/>
        </w:numPr>
        <w:autoSpaceDE w:val="0"/>
        <w:spacing w:line="240" w:lineRule="auto"/>
        <w:rPr>
          <w:rFonts w:hint="eastAsia" w:ascii="方正楷体_GBK" w:hAnsi="方正楷体_GBK" w:eastAsia="方正楷体_GBK" w:cs="方正楷体_GBK"/>
          <w:b w:val="0"/>
          <w:bCs w:val="0"/>
          <w:kern w:val="0"/>
          <w:sz w:val="32"/>
          <w:szCs w:val="32"/>
          <w:shd w:val="clear" w:fill="FFFFFF"/>
          <w:lang w:val="en-US" w:eastAsia="zh-CN" w:bidi="ar-SA"/>
        </w:rPr>
      </w:pPr>
    </w:p>
    <w:p>
      <w:pPr>
        <w:pStyle w:val="25"/>
        <w:numPr>
          <w:ilvl w:val="0"/>
          <w:numId w:val="0"/>
        </w:numPr>
        <w:autoSpaceDE w:val="0"/>
        <w:spacing w:line="240" w:lineRule="auto"/>
        <w:rPr>
          <w:rFonts w:hint="eastAsia" w:ascii="方正楷体_GBK" w:hAnsi="方正楷体_GBK" w:eastAsia="方正楷体_GBK" w:cs="方正楷体_GBK"/>
          <w:b w:val="0"/>
          <w:bCs w:val="0"/>
          <w:kern w:val="0"/>
          <w:sz w:val="32"/>
          <w:szCs w:val="32"/>
          <w:shd w:val="clear" w:fill="FFFFFF"/>
          <w:lang w:val="en-US" w:eastAsia="zh-CN" w:bidi="ar-SA"/>
        </w:rPr>
      </w:pPr>
    </w:p>
    <w:p>
      <w:pPr>
        <w:pStyle w:val="25"/>
        <w:numPr>
          <w:ilvl w:val="0"/>
          <w:numId w:val="0"/>
        </w:numPr>
        <w:autoSpaceDE w:val="0"/>
        <w:spacing w:line="240" w:lineRule="auto"/>
        <w:rPr>
          <w:rFonts w:hint="eastAsia" w:ascii="方正楷体_GBK" w:hAnsi="方正楷体_GBK" w:eastAsia="方正楷体_GBK" w:cs="方正楷体_GBK"/>
          <w:b w:val="0"/>
          <w:bCs w:val="0"/>
          <w:kern w:val="0"/>
          <w:sz w:val="32"/>
          <w:szCs w:val="32"/>
          <w:shd w:val="clear" w:fill="FFFFFF"/>
          <w:lang w:val="en-US" w:eastAsia="zh-CN" w:bidi="ar-SA"/>
        </w:rPr>
      </w:pPr>
    </w:p>
    <w:p>
      <w:pPr>
        <w:pStyle w:val="25"/>
        <w:numPr>
          <w:ilvl w:val="0"/>
          <w:numId w:val="0"/>
        </w:numPr>
        <w:autoSpaceDE w:val="0"/>
        <w:spacing w:line="240" w:lineRule="auto"/>
        <w:rPr>
          <w:rFonts w:hint="eastAsia" w:ascii="方正楷体_GBK" w:hAnsi="方正楷体_GBK" w:eastAsia="方正楷体_GBK" w:cs="方正楷体_GBK"/>
          <w:b w:val="0"/>
          <w:bCs w:val="0"/>
          <w:kern w:val="0"/>
          <w:sz w:val="32"/>
          <w:szCs w:val="32"/>
          <w:shd w:val="clear" w:fill="FFFFFF"/>
          <w:lang w:val="en-US" w:eastAsia="zh-CN" w:bidi="ar-SA"/>
        </w:rPr>
      </w:pPr>
    </w:p>
    <w:p>
      <w:pPr>
        <w:pStyle w:val="25"/>
        <w:numPr>
          <w:ilvl w:val="0"/>
          <w:numId w:val="1"/>
        </w:numPr>
        <w:autoSpaceDE w:val="0"/>
        <w:spacing w:line="596"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单位</w:t>
      </w:r>
      <w:r>
        <w:rPr>
          <w:rFonts w:hint="eastAsia" w:ascii="方正楷体_GBK" w:hAnsi="方正楷体_GBK" w:eastAsia="方正楷体_GBK" w:cs="方正楷体_GBK"/>
          <w:b w:val="0"/>
          <w:bCs w:val="0"/>
          <w:sz w:val="32"/>
          <w:szCs w:val="32"/>
          <w:shd w:val="clear" w:color="auto" w:fill="FFFFFF"/>
        </w:rPr>
        <w:t>绩效评价情况</w:t>
      </w:r>
    </w:p>
    <w:p>
      <w:pPr>
        <w:pStyle w:val="25"/>
        <w:numPr>
          <w:ilvl w:val="0"/>
          <w:numId w:val="0"/>
        </w:numPr>
        <w:autoSpaceDE w:val="0"/>
        <w:spacing w:line="240" w:lineRule="auto"/>
        <w:rPr>
          <w:rFonts w:hint="eastAsia" w:ascii="方正楷体_GBK" w:hAnsi="方正楷体_GBK" w:eastAsia="方正楷体_GBK" w:cs="方正楷体_GBK"/>
          <w:b w:val="0"/>
          <w:bCs w:val="0"/>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SA"/>
        </w:rPr>
        <w:t>我单位未组织开展单位绩效评价。</w:t>
      </w:r>
    </w:p>
    <w:p>
      <w:pPr>
        <w:pStyle w:val="25"/>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pPr>
        <w:pStyle w:val="22"/>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Style w:val="23"/>
          <w:rFonts w:hint="eastAsia" w:ascii="方正黑体_GBK" w:hAnsi="方正黑体_GBK" w:eastAsia="方正黑体_GBK" w:cs="方正黑体_GBK"/>
          <w:b w:val="0"/>
          <w:bCs w:val="0"/>
          <w:sz w:val="32"/>
          <w:szCs w:val="32"/>
          <w:shd w:val="clear" w:color="auto" w:fill="FFFFFF"/>
        </w:rPr>
      </w:pPr>
      <w:r>
        <w:rPr>
          <w:rFonts w:ascii="方正仿宋_GBK" w:hAnsi="方正仿宋_GBK" w:eastAsia="方正仿宋_GBK" w:cs="方正仿宋_GBK"/>
          <w:i w:val="0"/>
          <w:iCs w:val="0"/>
          <w:caps w:val="0"/>
          <w:color w:val="000000"/>
          <w:spacing w:val="0"/>
          <w:sz w:val="32"/>
          <w:szCs w:val="32"/>
          <w:shd w:val="clear" w:fill="FFFFFF"/>
        </w:rPr>
        <w:t>市财政局未委托第三方对我单位开展绩效评价。</w:t>
      </w:r>
      <w:r>
        <w:rPr>
          <w:rStyle w:val="23"/>
          <w:rFonts w:hint="eastAsia" w:ascii="方正黑体_GBK" w:hAnsi="方正黑体_GBK" w:eastAsia="方正黑体_GBK" w:cs="方正黑体_GBK"/>
          <w:b w:val="0"/>
          <w:bCs w:val="0"/>
          <w:sz w:val="32"/>
          <w:szCs w:val="32"/>
          <w:shd w:val="clear" w:color="auto" w:fill="FFFFFF"/>
        </w:rPr>
        <w:t xml:space="preserve"> </w:t>
      </w:r>
    </w:p>
    <w:p>
      <w:pPr>
        <w:pStyle w:val="22"/>
        <w:autoSpaceDE w:val="0"/>
        <w:spacing w:before="0" w:beforeAutospacing="0" w:after="0" w:afterAutospacing="0" w:line="596" w:lineRule="exact"/>
        <w:rPr>
          <w:rFonts w:hint="eastAsia" w:ascii="方正黑体_GBK" w:hAnsi="方正黑体_GBK" w:eastAsia="方正黑体_GBK" w:cs="方正黑体_GBK"/>
          <w:b w:val="0"/>
          <w:bCs w:val="0"/>
          <w:sz w:val="32"/>
          <w:szCs w:val="32"/>
        </w:rPr>
      </w:pPr>
      <w:r>
        <w:rPr>
          <w:rStyle w:val="23"/>
          <w:rFonts w:hint="eastAsia" w:ascii="方正黑体_GBK" w:hAnsi="方正黑体_GBK" w:eastAsia="方正黑体_GBK" w:cs="方正黑体_GBK"/>
          <w:b w:val="0"/>
          <w:bCs w:val="0"/>
          <w:sz w:val="32"/>
          <w:szCs w:val="32"/>
          <w:shd w:val="clear" w:color="auto" w:fill="FFFFFF"/>
        </w:rPr>
        <w:t xml:space="preserve"> </w:t>
      </w:r>
      <w:r>
        <w:rPr>
          <w:rStyle w:val="13"/>
          <w:rFonts w:hint="eastAsia" w:ascii="方正黑体_GBK" w:hAnsi="方正黑体_GBK" w:eastAsia="方正黑体_GBK" w:cs="方正黑体_GBK"/>
          <w:b w:val="0"/>
          <w:bCs w:val="0"/>
          <w:sz w:val="32"/>
          <w:szCs w:val="32"/>
          <w:shd w:val="clear" w:color="auto" w:fill="FFFFFF"/>
        </w:rPr>
        <w:t xml:space="preserve"> 六、专业名词解释</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（一）财政拨款收入：</w:t>
      </w:r>
      <w:r>
        <w:rPr>
          <w:rFonts w:hint="eastAsia" w:ascii="方正仿宋_GBK" w:hAnsi="方正仿宋_GBK" w:eastAsia="方正仿宋_GBK" w:cs="方正仿宋_GBK"/>
          <w:b w:val="0"/>
          <w:bCs/>
          <w:sz w:val="32"/>
          <w:szCs w:val="32"/>
          <w:shd w:val="clear" w:color="auto" w:fill="FFFFFF"/>
        </w:rPr>
        <w:t>指本年度从本级财政部门取得的财政拨款，包括一般公共预算财政拨款和政府性基金预算财政拨款。</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（二）事业收入：</w:t>
      </w:r>
      <w:r>
        <w:rPr>
          <w:rFonts w:hint="eastAsia" w:ascii="方正仿宋_GBK" w:hAnsi="方正仿宋_GBK" w:eastAsia="方正仿宋_GBK" w:cs="方正仿宋_GBK"/>
          <w:b w:val="0"/>
          <w:bCs/>
          <w:sz w:val="32"/>
          <w:szCs w:val="32"/>
          <w:shd w:val="clear" w:color="auto" w:fill="FFFFFF"/>
        </w:rPr>
        <w:t>指事业单位开展专业业务活动及其辅助活动取得的现金流入；事业单位收到的财政专户实际核拨的教育收费等资金在此反映。</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（三）经营收入：</w:t>
      </w:r>
      <w:r>
        <w:rPr>
          <w:rFonts w:hint="eastAsia" w:ascii="方正仿宋_GBK" w:hAnsi="方正仿宋_GBK" w:eastAsia="方正仿宋_GBK" w:cs="方正仿宋_GBK"/>
          <w:b w:val="0"/>
          <w:bCs/>
          <w:sz w:val="32"/>
          <w:szCs w:val="32"/>
          <w:shd w:val="clear" w:color="auto" w:fill="FFFFFF"/>
        </w:rPr>
        <w:t>指事业单位在专业业务活动及其辅助活动之外开展非独立核算经营活动取得的现金流入。</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（四）其他收入：</w:t>
      </w:r>
      <w:r>
        <w:rPr>
          <w:rFonts w:hint="eastAsia" w:ascii="方正仿宋_GBK" w:hAnsi="方正仿宋_GBK" w:eastAsia="方正仿宋_GBK" w:cs="方正仿宋_GBK"/>
          <w:b w:val="0"/>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（五）使用非财政拨款结余（含专用结余）：</w:t>
      </w:r>
      <w:r>
        <w:rPr>
          <w:rFonts w:hint="eastAsia" w:ascii="方正仿宋_GBK" w:hAnsi="方正仿宋_GBK" w:eastAsia="方正仿宋_GBK" w:cs="方正仿宋_GBK"/>
          <w:b w:val="0"/>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（六）年初结转和结余：</w:t>
      </w:r>
      <w:r>
        <w:rPr>
          <w:rFonts w:hint="eastAsia" w:ascii="方正仿宋_GBK" w:hAnsi="方正仿宋_GBK" w:eastAsia="方正仿宋_GBK" w:cs="方正仿宋_GBK"/>
          <w:b w:val="0"/>
          <w:bCs/>
          <w:sz w:val="32"/>
          <w:szCs w:val="32"/>
          <w:shd w:val="clear" w:color="auto" w:fill="FFFFFF"/>
        </w:rPr>
        <w:t>指单位上年结转本年使用的基本支出结转、项目支出结转和结余、经营结余。</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（七）结余分配：</w:t>
      </w:r>
      <w:r>
        <w:rPr>
          <w:rFonts w:hint="eastAsia" w:ascii="方正仿宋_GBK" w:hAnsi="方正仿宋_GBK" w:eastAsia="方正仿宋_GBK" w:cs="方正仿宋_GBK"/>
          <w:b w:val="0"/>
          <w:bCs/>
          <w:sz w:val="32"/>
          <w:szCs w:val="32"/>
          <w:shd w:val="clear" w:color="auto" w:fill="FFFFFF"/>
        </w:rPr>
        <w:t>指单位按照国家有关规定，缴纳所得税、提取专用基金、转入非财政拨款结余等当年结余的分配情况。</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（八）年末结转和结余：</w:t>
      </w:r>
      <w:r>
        <w:rPr>
          <w:rFonts w:hint="eastAsia" w:ascii="方正仿宋_GBK" w:hAnsi="方正仿宋_GBK" w:eastAsia="方正仿宋_GBK" w:cs="方正仿宋_GBK"/>
          <w:b w:val="0"/>
          <w:bCs/>
          <w:sz w:val="32"/>
          <w:szCs w:val="32"/>
          <w:shd w:val="clear" w:color="auto" w:fill="FFFFFF"/>
        </w:rPr>
        <w:t>指单位结转下年的基本支出结转、项目支出结转和结余、经营结余。</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（九）基本支出：</w:t>
      </w:r>
      <w:r>
        <w:rPr>
          <w:rFonts w:hint="eastAsia" w:ascii="方正仿宋_GBK" w:hAnsi="方正仿宋_GBK" w:eastAsia="方正仿宋_GBK" w:cs="方正仿宋_GBK"/>
          <w:b w:val="0"/>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（十）项目支出：</w:t>
      </w:r>
      <w:r>
        <w:rPr>
          <w:rFonts w:hint="eastAsia" w:ascii="方正仿宋_GBK" w:hAnsi="方正仿宋_GBK" w:eastAsia="方正仿宋_GBK" w:cs="方正仿宋_GBK"/>
          <w:b w:val="0"/>
          <w:bCs/>
          <w:sz w:val="32"/>
          <w:szCs w:val="32"/>
          <w:shd w:val="clear" w:color="auto" w:fill="FFFFFF"/>
        </w:rPr>
        <w:t>指在基本支出之外为完成特定行政任务和事业发展目标所发生的支出。</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（十一）经营支出：</w:t>
      </w:r>
      <w:r>
        <w:rPr>
          <w:rFonts w:hint="eastAsia" w:ascii="方正仿宋_GBK" w:hAnsi="方正仿宋_GBK" w:eastAsia="方正仿宋_GBK" w:cs="方正仿宋_GBK"/>
          <w:b w:val="0"/>
          <w:bCs/>
          <w:sz w:val="32"/>
          <w:szCs w:val="32"/>
          <w:shd w:val="clear" w:color="auto" w:fill="FFFFFF"/>
        </w:rPr>
        <w:t>指事业单位在专业业务活动及其辅助活动之外开展非独立核算经营活动发生的支出。</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（十二）“三公”经费：</w:t>
      </w:r>
      <w:r>
        <w:rPr>
          <w:rFonts w:hint="eastAsia" w:ascii="方正仿宋_GBK" w:hAnsi="方正仿宋_GBK" w:eastAsia="方正仿宋_GBK" w:cs="方正仿宋_GBK"/>
          <w:b w:val="0"/>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（十三）机关运行经费：</w:t>
      </w:r>
      <w:r>
        <w:rPr>
          <w:rFonts w:hint="eastAsia" w:ascii="方正仿宋_GBK" w:hAnsi="方正仿宋_GBK" w:eastAsia="方正仿宋_GBK" w:cs="方正仿宋_GBK"/>
          <w:b w:val="0"/>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（十四）工资福利支出（支出经济分类科目类级）：</w:t>
      </w:r>
      <w:r>
        <w:rPr>
          <w:rFonts w:hint="eastAsia" w:ascii="方正仿宋_GBK" w:hAnsi="方正仿宋_GBK" w:eastAsia="方正仿宋_GBK" w:cs="方正仿宋_GBK"/>
          <w:b w:val="0"/>
          <w:bCs/>
          <w:sz w:val="32"/>
          <w:szCs w:val="32"/>
          <w:shd w:val="clear" w:color="auto" w:fill="FFFFFF"/>
        </w:rPr>
        <w:t>反映单位开支的在职职工和编制外长期聘用人员的各类劳动报酬，以及为上述人员缴纳的各项社会保险费等。</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（十五）商品和服务支出（支出经济分类科目类级）：</w:t>
      </w:r>
      <w:r>
        <w:rPr>
          <w:rFonts w:hint="eastAsia" w:ascii="方正仿宋_GBK" w:hAnsi="方正仿宋_GBK" w:eastAsia="方正仿宋_GBK" w:cs="方正仿宋_GBK"/>
          <w:b w:val="0"/>
          <w:bCs/>
          <w:sz w:val="32"/>
          <w:szCs w:val="32"/>
          <w:shd w:val="clear" w:color="auto" w:fill="FFFFFF"/>
        </w:rPr>
        <w:t>反映单位购买商品和服务的支出（不包括用于购置固定资产的支出、战略性和应急储备支出）。</w:t>
      </w:r>
    </w:p>
    <w:p>
      <w:pPr>
        <w:pStyle w:val="22"/>
        <w:spacing w:before="0" w:beforeAutospacing="0" w:after="0" w:afterAutospacing="0" w:line="596" w:lineRule="exact"/>
        <w:ind w:firstLine="640" w:firstLineChars="200"/>
        <w:rPr>
          <w:rFonts w:ascii="方正仿宋_GBK" w:hAnsi="方正仿宋_GBK" w:eastAsia="方正仿宋_GBK" w:cs="方正仿宋_GBK"/>
          <w:b w:val="0"/>
          <w:bCs/>
          <w:sz w:val="32"/>
          <w:szCs w:val="32"/>
        </w:rPr>
      </w:pPr>
      <w:r>
        <w:rPr>
          <w:rStyle w:val="13"/>
          <w:rFonts w:hint="eastAsia" w:ascii="楷体" w:hAnsi="楷体" w:eastAsia="楷体" w:cs="楷体"/>
          <w:b w:val="0"/>
          <w:bCs/>
          <w:sz w:val="32"/>
          <w:szCs w:val="32"/>
          <w:shd w:val="clear" w:color="auto" w:fill="FFFFFF"/>
        </w:rPr>
        <w:t>（十六）对个人和家庭的补助（支出经济分类科目类级）：</w:t>
      </w:r>
      <w:r>
        <w:rPr>
          <w:rFonts w:hint="eastAsia" w:ascii="方正仿宋_GBK" w:hAnsi="方正仿宋_GBK" w:eastAsia="方正仿宋_GBK" w:cs="方正仿宋_GBK"/>
          <w:b w:val="0"/>
          <w:bCs/>
          <w:sz w:val="32"/>
          <w:szCs w:val="32"/>
          <w:shd w:val="clear" w:color="auto" w:fill="FFFFFF"/>
        </w:rPr>
        <w:t>反映用于对个人和家庭的补助支出。</w:t>
      </w:r>
    </w:p>
    <w:p>
      <w:pPr>
        <w:pStyle w:val="22"/>
        <w:spacing w:before="0" w:beforeAutospacing="0" w:after="0" w:afterAutospacing="0" w:line="596" w:lineRule="exact"/>
        <w:ind w:firstLine="640" w:firstLineChars="200"/>
        <w:rPr>
          <w:rFonts w:hint="eastAsia" w:ascii="方正仿宋_GBK" w:hAnsi="方正仿宋_GBK" w:eastAsia="方正仿宋_GBK" w:cs="方正仿宋_GBK"/>
          <w:b w:val="0"/>
          <w:bCs/>
          <w:sz w:val="32"/>
          <w:szCs w:val="32"/>
          <w:shd w:val="clear" w:color="auto" w:fill="FFFFFF"/>
        </w:rPr>
      </w:pPr>
      <w:r>
        <w:rPr>
          <w:rStyle w:val="13"/>
          <w:rFonts w:hint="eastAsia" w:ascii="楷体" w:hAnsi="楷体" w:eastAsia="楷体" w:cs="楷体"/>
          <w:b w:val="0"/>
          <w:bCs/>
          <w:sz w:val="32"/>
          <w:szCs w:val="32"/>
          <w:shd w:val="clear" w:color="auto" w:fill="FFFFFF"/>
        </w:rPr>
        <w:t>（十七）其他资本性支出（支出经济分类科目类级）：</w:t>
      </w:r>
      <w:r>
        <w:rPr>
          <w:rFonts w:hint="eastAsia" w:ascii="方正仿宋_GBK" w:hAnsi="方正仿宋_GBK" w:eastAsia="方正仿宋_GBK" w:cs="方正仿宋_GBK"/>
          <w:b w:val="0"/>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2"/>
        <w:spacing w:before="0" w:beforeAutospacing="0" w:after="0" w:afterAutospacing="0" w:line="596" w:lineRule="exact"/>
        <w:ind w:firstLine="640" w:firstLineChars="200"/>
        <w:rPr>
          <w:rFonts w:hint="eastAsia" w:ascii="方正仿宋_GBK" w:hAnsi="方正仿宋_GBK" w:eastAsia="方正仿宋_GBK" w:cs="方正仿宋_GBK"/>
          <w:b w:val="0"/>
          <w:bCs/>
          <w:sz w:val="32"/>
          <w:szCs w:val="32"/>
          <w:shd w:val="clear" w:color="auto" w:fill="FFFFFF"/>
        </w:rPr>
      </w:pPr>
    </w:p>
    <w:p>
      <w:pPr>
        <w:pStyle w:val="22"/>
        <w:spacing w:before="0" w:beforeAutospacing="0" w:after="0" w:afterAutospacing="0" w:line="596" w:lineRule="exact"/>
        <w:ind w:firstLine="640" w:firstLineChars="200"/>
        <w:rPr>
          <w:rFonts w:hint="eastAsia" w:ascii="方正黑体_GBK" w:hAnsi="方正黑体_GBK" w:eastAsia="方正黑体_GBK" w:cs="方正黑体_GBK"/>
          <w:b w:val="0"/>
          <w:bCs/>
          <w:sz w:val="32"/>
          <w:szCs w:val="32"/>
        </w:rPr>
      </w:pP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pPr>
        <w:pStyle w:val="2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rPr>
        <w:t>本单位决算公开信息反馈和联系方式：</w:t>
      </w:r>
    </w:p>
    <w:p>
      <w:pPr>
        <w:pStyle w:val="2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张珑舰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   023-</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73332492</w:t>
      </w:r>
    </w:p>
    <w:p>
      <w:pPr>
        <w:pStyle w:val="21"/>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hint="eastAsia"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noWrap/>
            <w:tcMar>
              <w:top w:w="15" w:type="dxa"/>
              <w:left w:w="15" w:type="dxa"/>
              <w:right w:w="15" w:type="dxa"/>
            </w:tcMar>
            <w:vAlign w:val="bottom"/>
          </w:tcPr>
          <w:p>
            <w:pPr>
              <w:spacing w:line="200" w:lineRule="exact"/>
              <w:rPr>
                <w:rFonts w:ascii="Arial" w:hAnsi="Arial" w:cs="Arial"/>
                <w:color w:val="000000"/>
                <w:sz w:val="20"/>
                <w:szCs w:val="20"/>
              </w:rPr>
            </w:pPr>
          </w:p>
        </w:tc>
        <w:tc>
          <w:tcPr>
            <w:tcW w:w="1206" w:type="pct"/>
            <w:tcBorders>
              <w:top w:val="nil"/>
              <w:left w:val="nil"/>
              <w:bottom w:val="nil"/>
              <w:right w:val="nil"/>
            </w:tcBorders>
            <w:noWrap/>
            <w:tcMar>
              <w:top w:w="15" w:type="dxa"/>
              <w:left w:w="15" w:type="dxa"/>
              <w:right w:w="15" w:type="dxa"/>
            </w:tcMar>
            <w:vAlign w:val="bottom"/>
          </w:tcPr>
          <w:p>
            <w:pPr>
              <w:spacing w:line="200" w:lineRule="exact"/>
              <w:jc w:val="right"/>
              <w:rPr>
                <w:rFonts w:ascii="Arial" w:hAnsi="Arial" w:cs="Arial"/>
                <w:color w:val="000000"/>
                <w:sz w:val="20"/>
                <w:szCs w:val="20"/>
              </w:rPr>
            </w:pPr>
          </w:p>
        </w:tc>
        <w:tc>
          <w:tcPr>
            <w:tcW w:w="1372" w:type="pct"/>
            <w:tcBorders>
              <w:top w:val="nil"/>
              <w:left w:val="nil"/>
              <w:bottom w:val="nil"/>
              <w:right w:val="nil"/>
            </w:tcBorders>
            <w:noWrap/>
            <w:tcMar>
              <w:top w:w="15" w:type="dxa"/>
              <w:left w:w="15" w:type="dxa"/>
              <w:right w:w="15" w:type="dxa"/>
            </w:tcMar>
            <w:vAlign w:val="bottom"/>
          </w:tcPr>
          <w:p>
            <w:pPr>
              <w:spacing w:line="200" w:lineRule="exact"/>
              <w:rPr>
                <w:rFonts w:ascii="Arial" w:hAnsi="Arial" w:cs="Arial"/>
                <w:color w:val="000000"/>
                <w:sz w:val="20"/>
                <w:szCs w:val="20"/>
              </w:rPr>
            </w:pPr>
          </w:p>
        </w:tc>
        <w:tc>
          <w:tcPr>
            <w:tcW w:w="963"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01</w:t>
            </w:r>
            <w:r>
              <w:rPr>
                <w:rFonts w:hint="eastAsia"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noWrap/>
            <w:tcMar>
              <w:top w:w="15" w:type="dxa"/>
              <w:left w:w="15" w:type="dxa"/>
              <w:right w:w="15" w:type="dxa"/>
            </w:tcMar>
            <w:vAlign w:val="bottom"/>
          </w:tcPr>
          <w:p>
            <w:pPr>
              <w:spacing w:line="280" w:lineRule="exact"/>
              <w:rPr>
                <w:rFonts w:ascii="Arial" w:hAnsi="Arial" w:cs="Arial"/>
                <w:color w:val="000000"/>
                <w:sz w:val="22"/>
                <w:szCs w:val="22"/>
              </w:rPr>
            </w:pPr>
            <w:r>
              <w:rPr>
                <w:rFonts w:hint="eastAsia" w:cs="宋体"/>
                <w:sz w:val="20"/>
                <w:szCs w:val="20"/>
              </w:rPr>
              <w:t>单位：</w:t>
            </w:r>
            <w:r>
              <w:rPr>
                <w:rFonts w:hint="eastAsia"/>
                <w:sz w:val="20"/>
              </w:rPr>
              <w:t>石柱土家族自治县道路运输事务中心</w:t>
            </w:r>
          </w:p>
        </w:tc>
        <w:tc>
          <w:tcPr>
            <w:tcW w:w="1372" w:type="pct"/>
            <w:tcBorders>
              <w:top w:val="nil"/>
              <w:left w:val="nil"/>
              <w:bottom w:val="nil"/>
              <w:right w:val="nil"/>
            </w:tcBorders>
            <w:noWrap/>
            <w:tcMar>
              <w:top w:w="15" w:type="dxa"/>
              <w:left w:w="15" w:type="dxa"/>
              <w:right w:w="15" w:type="dxa"/>
            </w:tcMar>
            <w:vAlign w:val="bottom"/>
          </w:tcPr>
          <w:p>
            <w:pPr>
              <w:spacing w:line="200" w:lineRule="exact"/>
              <w:rPr>
                <w:rFonts w:ascii="Arial" w:hAnsi="Arial" w:cs="Arial"/>
                <w:color w:val="000000"/>
                <w:sz w:val="22"/>
                <w:szCs w:val="22"/>
              </w:rPr>
            </w:pPr>
          </w:p>
        </w:tc>
        <w:tc>
          <w:tcPr>
            <w:tcW w:w="963"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项目</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决算数</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功能分类科目</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988.85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一、一般公共服务支出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二、外交支出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三、国防支出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四、上级补助收入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四、公共安全支出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五、事业收入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五、教育支出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六、经营收入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六、科学技术支出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七、附属单位上缴收入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八、其他收入</w:t>
            </w:r>
          </w:p>
        </w:tc>
        <w:tc>
          <w:tcPr>
            <w:tcW w:w="1206" w:type="pct"/>
            <w:tcBorders>
              <w:top w:val="nil"/>
              <w:left w:val="nil"/>
              <w:bottom w:val="nil"/>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73.16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九、卫生健康支出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20.46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十、节能环保支出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十一、城乡社区支出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十二、农林水支出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十三、交通运输支出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875.19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十六、金融支出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十九、住房保障支出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20.03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二十三、其他支出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二十四、债务还本支出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二十五、债务付息支出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hint="eastAsia" w:cs="宋体"/>
                <w:b/>
                <w:bCs/>
                <w:color w:val="000000"/>
                <w:sz w:val="20"/>
                <w:szCs w:val="20"/>
              </w:rPr>
              <w:t>本年收入合计</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988.85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hint="eastAsia" w:cs="宋体"/>
                <w:b/>
                <w:bCs/>
                <w:color w:val="000000"/>
                <w:sz w:val="20"/>
                <w:szCs w:val="20"/>
              </w:rPr>
              <w:t>本年支出合计</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988.85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结余分配</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年初结转和结余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pPr>
              <w:spacing w:line="240" w:lineRule="exact"/>
              <w:textAlignment w:val="center"/>
              <w:rPr>
                <w:rFonts w:cs="宋体"/>
                <w:b/>
                <w:bCs/>
                <w:color w:val="000000"/>
                <w:sz w:val="20"/>
                <w:szCs w:val="20"/>
              </w:rPr>
            </w:pPr>
            <w:r>
              <w:rPr>
                <w:rFonts w:hint="eastAsia" w:cs="宋体"/>
                <w:b/>
                <w:bCs/>
                <w:color w:val="000000"/>
                <w:sz w:val="20"/>
                <w:szCs w:val="20"/>
              </w:rPr>
              <w:t>年末结转和结余</w:t>
            </w:r>
          </w:p>
        </w:tc>
        <w:tc>
          <w:tcPr>
            <w:tcW w:w="963" w:type="pct"/>
            <w:tcBorders>
              <w:top w:val="nil"/>
              <w:left w:val="nil"/>
              <w:bottom w:val="single" w:color="auto"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988.85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hint="eastAsia"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988.85</w:t>
            </w:r>
            <w:r>
              <w:rPr>
                <w:rFonts w:ascii="Times New Roman" w:hAnsi="Times New Roman"/>
                <w:color w:val="000000"/>
                <w:sz w:val="20"/>
              </w:rPr>
              <w:t xml:space="preserve"> </w:t>
            </w:r>
          </w:p>
        </w:tc>
      </w:tr>
    </w:tbl>
    <w:p>
      <w:pPr>
        <w:rPr>
          <w:rFonts w:cs="宋体"/>
          <w:sz w:val="21"/>
          <w:szCs w:val="21"/>
        </w:rPr>
      </w:pPr>
    </w:p>
    <w:p>
      <w:pPr>
        <w:spacing w:line="240" w:lineRule="exact"/>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本表反映单位本年度的总收支和年末结转结余情况。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noWrap/>
            <w:tcMar>
              <w:top w:w="15" w:type="dxa"/>
              <w:left w:w="15" w:type="dxa"/>
              <w:right w:w="15" w:type="dxa"/>
            </w:tcMar>
            <w:vAlign w:val="bottom"/>
          </w:tcPr>
          <w:p>
            <w:pPr>
              <w:jc w:val="center"/>
              <w:textAlignment w:val="bottom"/>
              <w:rPr>
                <w:rFonts w:cs="宋体"/>
                <w:b/>
                <w:color w:val="000000"/>
                <w:sz w:val="32"/>
                <w:szCs w:val="32"/>
              </w:rPr>
            </w:pPr>
            <w:r>
              <w:rPr>
                <w:rFonts w:hint="eastAsia"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rPr>
              <w:t>单位：</w:t>
            </w:r>
            <w:r>
              <w:rPr>
                <w:rFonts w:hint="eastAsia"/>
                <w:sz w:val="20"/>
              </w:rPr>
              <w:t>石柱土家族自治县道路运输事务中心</w:t>
            </w:r>
          </w:p>
        </w:tc>
        <w:tc>
          <w:tcPr>
            <w:tcW w:w="467"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02</w:t>
            </w:r>
            <w:r>
              <w:rPr>
                <w:rFonts w:hint="eastAsia"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noWrap/>
            <w:tcMar>
              <w:top w:w="15" w:type="dxa"/>
              <w:left w:w="15" w:type="dxa"/>
              <w:right w:w="15" w:type="dxa"/>
            </w:tcMar>
            <w:vAlign w:val="bottom"/>
          </w:tcPr>
          <w:p>
            <w:pPr>
              <w:rPr>
                <w:rFonts w:cs="宋体"/>
                <w:color w:val="000000"/>
                <w:sz w:val="20"/>
                <w:szCs w:val="20"/>
              </w:rPr>
            </w:pPr>
          </w:p>
        </w:tc>
        <w:tc>
          <w:tcPr>
            <w:tcW w:w="467"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noWrap/>
            <w:tcMar>
              <w:top w:w="15" w:type="dxa"/>
              <w:left w:w="15" w:type="dxa"/>
              <w:right w:w="15" w:type="dxa"/>
            </w:tcMar>
            <w:vAlign w:val="bottom"/>
          </w:tcPr>
          <w:p>
            <w:pPr>
              <w:jc w:val="center"/>
              <w:textAlignment w:val="bottom"/>
              <w:rPr>
                <w:rFonts w:cs="宋体"/>
                <w:b/>
                <w:color w:val="000000"/>
                <w:sz w:val="20"/>
                <w:szCs w:val="20"/>
              </w:rPr>
            </w:pPr>
            <w:r>
              <w:rPr>
                <w:rFonts w:hint="eastAsia"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bottom"/>
              <w:rPr>
                <w:rFonts w:cs="宋体"/>
                <w:b/>
                <w:color w:val="000000"/>
                <w:sz w:val="20"/>
                <w:szCs w:val="20"/>
              </w:rPr>
            </w:pPr>
            <w:r>
              <w:rPr>
                <w:rFonts w:hint="eastAsia"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功能分类科目编码</w:t>
            </w:r>
          </w:p>
        </w:tc>
        <w:tc>
          <w:tcPr>
            <w:tcW w:w="941" w:type="pct"/>
            <w:vMerge w:val="restart"/>
            <w:tcBorders>
              <w:top w:val="nil"/>
              <w:left w:val="nil"/>
              <w:bottom w:val="single" w:color="000000" w:sz="4" w:space="0"/>
              <w:right w:val="nil"/>
            </w:tcBorders>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510"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988.85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988.85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21.54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21.54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33.42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33.42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16.71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16.71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875.19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875.19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512.16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512.16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2140112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公路运输管理</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392.54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392.54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其他公路水路运输支出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109.28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109.28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363.03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363.03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2149999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363.03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363.03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本表反映单位本年度取得的各项收入情况。</w:t>
      </w:r>
      <w:r>
        <w:rPr>
          <w:rFonts w:cs="宋体"/>
          <w:sz w:val="20"/>
          <w:szCs w:val="20"/>
        </w:rPr>
        <w:br w:type="textWrapping"/>
      </w:r>
      <w:r>
        <w:rPr>
          <w:rFonts w:cs="宋体"/>
          <w:sz w:val="20"/>
          <w:szCs w:val="20"/>
        </w:rPr>
        <w:t>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noWrap/>
            <w:tcMar>
              <w:top w:w="15" w:type="dxa"/>
              <w:left w:w="15" w:type="dxa"/>
              <w:right w:w="15" w:type="dxa"/>
            </w:tcMar>
            <w:vAlign w:val="bottom"/>
          </w:tcPr>
          <w:p>
            <w:pPr>
              <w:jc w:val="center"/>
              <w:textAlignment w:val="bottom"/>
              <w:rPr>
                <w:rFonts w:cs="宋体"/>
                <w:b/>
                <w:color w:val="000000"/>
                <w:sz w:val="32"/>
                <w:szCs w:val="32"/>
              </w:rPr>
            </w:pPr>
            <w:r>
              <w:rPr>
                <w:rFonts w:hint="eastAsia"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noWrap/>
            <w:tcMar>
              <w:top w:w="15" w:type="dxa"/>
              <w:left w:w="15" w:type="dxa"/>
              <w:right w:w="15" w:type="dxa"/>
            </w:tcMar>
            <w:vAlign w:val="bottom"/>
          </w:tcPr>
          <w:p>
            <w:pPr>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石柱土家族自治县道路运输事务中心</w:t>
            </w:r>
            <w:r>
              <w:rPr>
                <w:color w:val="000000"/>
                <w:sz w:val="20"/>
              </w:rPr>
              <w:t xml:space="preserve"> </w:t>
            </w:r>
          </w:p>
        </w:tc>
        <w:tc>
          <w:tcPr>
            <w:tcW w:w="57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03</w:t>
            </w:r>
            <w:r>
              <w:rPr>
                <w:rFonts w:hint="eastAsia"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bottom"/>
              <w:rPr>
                <w:rFonts w:cs="宋体"/>
                <w:b/>
                <w:color w:val="000000"/>
                <w:sz w:val="20"/>
                <w:szCs w:val="20"/>
              </w:rPr>
            </w:pPr>
            <w:r>
              <w:rPr>
                <w:rFonts w:hint="eastAsia"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功能分类科目编码</w:t>
            </w:r>
          </w:p>
        </w:tc>
        <w:tc>
          <w:tcPr>
            <w:tcW w:w="1175" w:type="pct"/>
            <w:vMerge w:val="restart"/>
            <w:tcBorders>
              <w:top w:val="nil"/>
              <w:left w:val="nil"/>
              <w:bottom w:val="single" w:color="000000" w:sz="4" w:space="0"/>
              <w:right w:val="nil"/>
            </w:tcBorders>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600"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988.85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414.86</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573.99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21.54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33.42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33.42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16.71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16.71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15.24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5.22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875.19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301.20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573.99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512.16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301.20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210.96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2140112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公路运输管理</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392.54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301.20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91.34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其他公路水路运输支出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109.28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109.28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363.03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363.03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2149999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363.03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363.03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20.03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本表反映单位本年度各项支出情况。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hint="eastAsia"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rPr>
              <w:t>单位</w:t>
            </w:r>
            <w:r>
              <w:rPr>
                <w:rFonts w:hint="eastAsia" w:cs="宋体"/>
                <w:color w:val="000000"/>
                <w:sz w:val="20"/>
                <w:szCs w:val="20"/>
              </w:rPr>
              <w:t>：</w:t>
            </w:r>
            <w:r>
              <w:rPr>
                <w:rFonts w:hint="eastAsia"/>
                <w:color w:val="000000"/>
                <w:sz w:val="20"/>
              </w:rPr>
              <w:t>石柱土家族自治县道路运输事务中心</w:t>
            </w: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04</w:t>
            </w:r>
            <w:r>
              <w:rPr>
                <w:rFonts w:hint="eastAsia"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收</w:t>
            </w:r>
            <w:r>
              <w:rPr>
                <w:rFonts w:cs="宋体"/>
                <w:b/>
                <w:color w:val="000000"/>
                <w:sz w:val="18"/>
                <w:szCs w:val="18"/>
              </w:rPr>
              <w:t xml:space="preserve">     </w:t>
            </w:r>
            <w:r>
              <w:rPr>
                <w:rFonts w:hint="eastAsia" w:cs="宋体"/>
                <w:b/>
                <w:color w:val="000000"/>
                <w:sz w:val="18"/>
                <w:szCs w:val="18"/>
              </w:rPr>
              <w:t>入</w:t>
            </w:r>
          </w:p>
        </w:tc>
        <w:tc>
          <w:tcPr>
            <w:tcW w:w="3471"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支</w:t>
            </w:r>
            <w:r>
              <w:rPr>
                <w:rFonts w:cs="宋体"/>
                <w:b/>
                <w:color w:val="000000"/>
                <w:sz w:val="18"/>
                <w:szCs w:val="18"/>
              </w:rPr>
              <w:t xml:space="preserve">     </w:t>
            </w:r>
            <w:r>
              <w:rPr>
                <w:rFonts w:hint="eastAsia" w:cs="宋体"/>
                <w:b/>
                <w:color w:val="000000"/>
                <w:sz w:val="18"/>
                <w:szCs w:val="18"/>
              </w:rPr>
              <w:t>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决算数</w:t>
            </w:r>
          </w:p>
        </w:tc>
        <w:tc>
          <w:tcPr>
            <w:tcW w:w="1083" w:type="pct"/>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988.85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73.16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20.46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20.46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875.19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875.19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20.03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20.03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hint="eastAsia"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988.85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hint="eastAsia"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988.85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988.85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hint="eastAsia"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w:t>
            </w:r>
            <w:r>
              <w:rPr>
                <w:rFonts w:hint="eastAsia" w:cs="宋体"/>
                <w:b/>
                <w:bCs/>
                <w:color w:val="000000"/>
                <w:sz w:val="18"/>
                <w:szCs w:val="18"/>
              </w:rPr>
              <w:t>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200" w:lineRule="exact"/>
              <w:rPr>
                <w:rFonts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w:t>
            </w:r>
            <w:r>
              <w:rPr>
                <w:rFonts w:hint="eastAsia" w:cs="宋体"/>
                <w:b/>
                <w:bCs/>
                <w:color w:val="000000"/>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w:t>
            </w:r>
            <w:r>
              <w:rPr>
                <w:rFonts w:hint="eastAsia" w:cs="宋体"/>
                <w:b/>
                <w:bCs/>
                <w:color w:val="000000"/>
                <w:sz w:val="18"/>
                <w:szCs w:val="18"/>
              </w:rPr>
              <w:t>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right"/>
              <w:rPr>
                <w:rFonts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988.85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hint="eastAsia"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988.85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988.85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noWrap/>
            <w:tcMar>
              <w:top w:w="15" w:type="dxa"/>
              <w:left w:w="15" w:type="dxa"/>
              <w:right w:w="15" w:type="dxa"/>
            </w:tcMar>
            <w:vAlign w:val="bottom"/>
          </w:tcPr>
          <w:p>
            <w:pPr>
              <w:jc w:val="center"/>
              <w:textAlignment w:val="bottom"/>
              <w:rPr>
                <w:rFonts w:cs="宋体"/>
                <w:b/>
                <w:color w:val="000000"/>
                <w:sz w:val="32"/>
                <w:szCs w:val="32"/>
              </w:rPr>
            </w:pPr>
            <w:r>
              <w:rPr>
                <w:rFonts w:hint="eastAsia"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石柱土家族自治县道路运输事务中心</w:t>
            </w:r>
          </w:p>
        </w:tc>
        <w:tc>
          <w:tcPr>
            <w:tcW w:w="1076"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05</w:t>
            </w:r>
            <w:r>
              <w:rPr>
                <w:rFonts w:hint="eastAsia"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1076" w:type="pct"/>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基本支出</w:t>
            </w:r>
          </w:p>
        </w:tc>
        <w:tc>
          <w:tcPr>
            <w:tcW w:w="1088" w:type="pct"/>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988.85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414.86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573.99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社会保障和就业支出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73.16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事业单位离退休</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21.54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21.54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33.42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33.42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16.71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16.71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卫生健康支出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行政事业单位医疗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20.46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15.24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15.24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其他行政事业单位医疗支出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5.22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5.22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交通运输支出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875.19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301.20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573.99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公路水路运输</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512.16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301.20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210.96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公路和运输安全</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2140112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公路运输管理</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392.54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301.20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91.34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2140199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其他公路水路运输支出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109.28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109.28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21499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其他交通运输支出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363.03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363.03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2149999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其他交通运输支出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363.03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363.03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住房保障支出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b/>
                <w:color w:val="000000"/>
                <w:sz w:val="20"/>
                <w:szCs w:val="20"/>
              </w:rPr>
              <w:t>住房改革支出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20.03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r>
              <w:rPr>
                <w:rFonts w:hint="eastAsia" w:cs="宋体"/>
                <w:color w:val="000000"/>
                <w:sz w:val="20"/>
                <w:szCs w:val="20"/>
              </w:rPr>
              <w:t>住房公积金</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20.03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20.03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pPr>
        <w:rPr>
          <w:rFonts w:cs="宋体"/>
          <w:sz w:val="21"/>
          <w:szCs w:val="21"/>
        </w:rPr>
      </w:pPr>
      <w:r>
        <w:rPr>
          <w:rFonts w:hint="eastAsia" w:cs="宋体"/>
          <w:sz w:val="20"/>
          <w:szCs w:val="20"/>
        </w:rPr>
        <w:t>备注：</w:t>
      </w:r>
      <w:r>
        <w:rPr>
          <w:rFonts w:cs="宋体"/>
          <w:sz w:val="20"/>
          <w:szCs w:val="20"/>
        </w:rPr>
        <w:t>1.</w:t>
      </w:r>
      <w:r>
        <w:rPr>
          <w:rFonts w:hint="eastAsia" w:cs="宋体"/>
          <w:sz w:val="20"/>
          <w:szCs w:val="20"/>
        </w:rPr>
        <w:t>本表反映单位本年度一般公共预算财政拨款支出情况。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hint="eastAsia"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noWrap/>
            <w:tcMar>
              <w:top w:w="15" w:type="dxa"/>
              <w:left w:w="15" w:type="dxa"/>
              <w:right w:w="15" w:type="dxa"/>
            </w:tcMar>
            <w:vAlign w:val="bottom"/>
          </w:tcPr>
          <w:p>
            <w:pPr>
              <w:spacing w:line="280" w:lineRule="exact"/>
              <w:rPr>
                <w:rFonts w:cs="宋体"/>
                <w:color w:val="000000"/>
                <w:sz w:val="18"/>
                <w:szCs w:val="18"/>
              </w:rPr>
            </w:pPr>
            <w:r>
              <w:rPr>
                <w:rFonts w:hint="eastAsia" w:cs="宋体"/>
                <w:sz w:val="20"/>
                <w:szCs w:val="20"/>
              </w:rPr>
              <w:t>单位</w:t>
            </w:r>
            <w:r>
              <w:rPr>
                <w:rFonts w:hint="eastAsia" w:cs="宋体"/>
                <w:color w:val="000000"/>
                <w:sz w:val="20"/>
                <w:szCs w:val="20"/>
              </w:rPr>
              <w:t>：</w:t>
            </w:r>
            <w:r>
              <w:rPr>
                <w:rFonts w:hint="eastAsia"/>
                <w:color w:val="000000"/>
                <w:sz w:val="20"/>
              </w:rPr>
              <w:t>石柱土家族自治县道路运输事务中心</w:t>
            </w:r>
          </w:p>
        </w:tc>
        <w:tc>
          <w:tcPr>
            <w:tcW w:w="463"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06</w:t>
            </w:r>
            <w:r>
              <w:rPr>
                <w:rFonts w:hint="eastAsia"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326.85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62.12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0.36</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76.10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24.40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0.36</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136.41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33.42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16.71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8.81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16.05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21.31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2.7</w:t>
            </w:r>
            <w:bookmarkStart w:id="1" w:name="_GoBack"/>
            <w:bookmarkEnd w:id="1"/>
            <w:r>
              <w:rPr>
                <w:rFonts w:ascii="Times New Roman" w:hAnsi="Times New Roman"/>
                <w:color w:val="000000"/>
                <w:sz w:val="18"/>
                <w:szCs w:val="18"/>
              </w:rPr>
              <w:t>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25.53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5.51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23.03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5.68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hint="eastAsia"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b/>
                <w:bCs/>
                <w:color w:val="000000"/>
                <w:sz w:val="18"/>
                <w:szCs w:val="18"/>
              </w:rPr>
            </w:pPr>
            <w:r>
              <w:rPr>
                <w:rFonts w:hint="eastAsia"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rPr>
                <w:rFonts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rPr>
                <w:rFonts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right"/>
              <w:rPr>
                <w:rFonts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noWrap/>
            <w:tcMar>
              <w:top w:w="15" w:type="dxa"/>
              <w:left w:w="15" w:type="dxa"/>
              <w:right w:w="15" w:type="dxa"/>
            </w:tcMar>
            <w:vAlign w:val="bottom"/>
          </w:tcPr>
          <w:p>
            <w:pPr>
              <w:spacing w:line="192" w:lineRule="exact"/>
              <w:jc w:val="right"/>
              <w:textAlignment w:val="bottom"/>
              <w:rPr>
                <w:rFonts w:ascii="Times New Roman" w:hAnsi="Times New Roman"/>
                <w:color w:val="000000"/>
                <w:sz w:val="18"/>
                <w:szCs w:val="18"/>
              </w:rPr>
            </w:pPr>
            <w:r>
              <w:rPr>
                <w:rFonts w:ascii="Times New Roman" w:hAnsi="Times New Roman"/>
                <w:color w:val="000000"/>
                <w:sz w:val="18"/>
                <w:szCs w:val="18"/>
              </w:rPr>
              <w:t>352.38</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hint="eastAsia" w:cs="宋体"/>
                <w:b/>
                <w:color w:val="000000"/>
                <w:sz w:val="18"/>
                <w:szCs w:val="18"/>
              </w:rPr>
              <w:t>公用经费合计</w:t>
            </w:r>
          </w:p>
        </w:tc>
        <w:tc>
          <w:tcPr>
            <w:tcW w:w="487" w:type="pct"/>
            <w:tcBorders>
              <w:top w:val="nil"/>
              <w:left w:val="nil"/>
              <w:bottom w:val="single" w:color="000000" w:sz="4" w:space="0"/>
              <w:right w:val="single" w:color="000000" w:sz="4" w:space="0"/>
            </w:tcBorders>
            <w:noWrap/>
            <w:tcMar>
              <w:top w:w="15" w:type="dxa"/>
              <w:left w:w="15" w:type="dxa"/>
              <w:right w:w="15" w:type="dxa"/>
            </w:tcMar>
            <w:vAlign w:val="center"/>
          </w:tcPr>
          <w:p>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62.48</w:t>
            </w:r>
            <w:r>
              <w:rPr>
                <w:rFonts w:ascii="Times New Roman" w:hAnsi="Times New Roman"/>
                <w:color w:val="000000"/>
                <w:sz w:val="18"/>
              </w:rPr>
              <w:t xml:space="preserve"> </w:t>
            </w:r>
          </w:p>
        </w:tc>
      </w:tr>
    </w:tbl>
    <w:p>
      <w:pPr>
        <w:spacing w:line="280" w:lineRule="exact"/>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noWrap/>
            <w:tcMar>
              <w:top w:w="15" w:type="dxa"/>
              <w:left w:w="15" w:type="dxa"/>
              <w:right w:w="15" w:type="dxa"/>
            </w:tcMar>
            <w:vAlign w:val="bottom"/>
          </w:tcPr>
          <w:p>
            <w:pPr>
              <w:jc w:val="center"/>
              <w:textAlignment w:val="bottom"/>
              <w:rPr>
                <w:rFonts w:cs="宋体"/>
                <w:b/>
                <w:color w:val="000000"/>
                <w:sz w:val="32"/>
                <w:szCs w:val="32"/>
              </w:rPr>
            </w:pPr>
            <w:r>
              <w:rPr>
                <w:rFonts w:hint="eastAsia"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石柱土家族自治县道路运输事务中心</w:t>
            </w:r>
          </w:p>
        </w:tc>
        <w:tc>
          <w:tcPr>
            <w:tcW w:w="55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07</w:t>
            </w:r>
            <w:r>
              <w:rPr>
                <w:rFonts w:hint="eastAsia"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基本支出</w:t>
            </w:r>
          </w:p>
        </w:tc>
        <w:tc>
          <w:tcPr>
            <w:tcW w:w="575" w:type="pct"/>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pPr>
        <w:rPr>
          <w:rFonts w:cs="宋体"/>
          <w:sz w:val="21"/>
          <w:szCs w:val="21"/>
        </w:rPr>
      </w:pPr>
      <w:r>
        <w:rPr>
          <w:rFonts w:hint="eastAsia"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noWrap/>
            <w:tcMar>
              <w:top w:w="15" w:type="dxa"/>
              <w:left w:w="15" w:type="dxa"/>
              <w:right w:w="15" w:type="dxa"/>
            </w:tcMar>
            <w:vAlign w:val="bottom"/>
          </w:tcPr>
          <w:p>
            <w:pPr>
              <w:jc w:val="center"/>
              <w:textAlignment w:val="bottom"/>
              <w:rPr>
                <w:rFonts w:cs="宋体"/>
                <w:b/>
                <w:color w:val="000000"/>
                <w:sz w:val="32"/>
                <w:szCs w:val="32"/>
              </w:rPr>
            </w:pPr>
            <w:r>
              <w:rPr>
                <w:rFonts w:hint="eastAsia"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noWrap/>
            <w:tcMar>
              <w:top w:w="15" w:type="dxa"/>
              <w:left w:w="15" w:type="dxa"/>
              <w:right w:w="15" w:type="dxa"/>
            </w:tcMar>
            <w:vAlign w:val="bottom"/>
          </w:tcPr>
          <w:p>
            <w:pPr>
              <w:spacing w:line="280" w:lineRule="exact"/>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石柱土家族自治县道路运输事务中心</w:t>
            </w:r>
          </w:p>
        </w:tc>
        <w:tc>
          <w:tcPr>
            <w:tcW w:w="1220" w:type="pct"/>
            <w:gridSpan w:val="3"/>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08</w:t>
            </w:r>
            <w:r>
              <w:rPr>
                <w:rFonts w:hint="eastAsia"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bottom"/>
              <w:rPr>
                <w:rFonts w:cs="宋体"/>
                <w:b/>
                <w:color w:val="000000"/>
                <w:sz w:val="20"/>
                <w:szCs w:val="20"/>
              </w:rPr>
            </w:pPr>
            <w:r>
              <w:rPr>
                <w:rFonts w:hint="eastAsia"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center"/>
              <w:textAlignment w:val="bottom"/>
              <w:rPr>
                <w:rFonts w:cs="宋体"/>
                <w:b/>
                <w:color w:val="000000"/>
                <w:sz w:val="20"/>
                <w:szCs w:val="20"/>
              </w:rPr>
            </w:pPr>
            <w:r>
              <w:rPr>
                <w:rFonts w:hint="eastAsia"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1130" w:type="pct"/>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cs="宋体"/>
                <w:b/>
                <w:color w:val="000000"/>
                <w:sz w:val="20"/>
                <w:szCs w:val="20"/>
              </w:rPr>
            </w:pPr>
            <w:r>
              <w:rPr>
                <w:rFonts w:hint="eastAsia" w:cs="宋体"/>
                <w:b/>
                <w:color w:val="000000"/>
                <w:sz w:val="20"/>
                <w:szCs w:val="20"/>
              </w:rPr>
              <w:t>合计</w:t>
            </w: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r>
    </w:tbl>
    <w:p>
      <w:pPr>
        <w:rPr>
          <w:rFonts w:cs="宋体"/>
          <w:sz w:val="21"/>
          <w:szCs w:val="21"/>
        </w:rPr>
      </w:pPr>
      <w:r>
        <w:rPr>
          <w:rFonts w:hint="eastAsia"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hint="eastAsia"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noWrap/>
            <w:tcMar>
              <w:top w:w="15" w:type="dxa"/>
              <w:left w:w="15" w:type="dxa"/>
              <w:right w:w="15" w:type="dxa"/>
            </w:tcMar>
            <w:vAlign w:val="bottom"/>
          </w:tcPr>
          <w:p>
            <w:pPr>
              <w:spacing w:line="280" w:lineRule="exact"/>
              <w:rPr>
                <w:rFonts w:cs="宋体"/>
                <w:color w:val="000000"/>
                <w:kern w:val="2"/>
                <w:sz w:val="20"/>
                <w:szCs w:val="20"/>
              </w:rPr>
            </w:pPr>
          </w:p>
        </w:tc>
        <w:tc>
          <w:tcPr>
            <w:tcW w:w="854" w:type="pct"/>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noWrap/>
            <w:tcMar>
              <w:top w:w="15" w:type="dxa"/>
              <w:left w:w="15" w:type="dxa"/>
              <w:right w:w="15" w:type="dxa"/>
            </w:tcMar>
            <w:vAlign w:val="bottom"/>
          </w:tcPr>
          <w:p>
            <w:pPr>
              <w:spacing w:line="280" w:lineRule="exact"/>
              <w:rPr>
                <w:rFonts w:cs="宋体"/>
                <w:color w:val="000000"/>
                <w:kern w:val="2"/>
                <w:sz w:val="20"/>
                <w:szCs w:val="20"/>
              </w:rPr>
            </w:pPr>
          </w:p>
        </w:tc>
        <w:tc>
          <w:tcPr>
            <w:tcW w:w="879" w:type="pct"/>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hint="eastAsia" w:cs="宋体"/>
                <w:color w:val="000000"/>
                <w:kern w:val="2"/>
                <w:sz w:val="20"/>
                <w:szCs w:val="20"/>
              </w:rPr>
              <w:t>公开</w:t>
            </w:r>
            <w:r>
              <w:rPr>
                <w:rFonts w:ascii="Times New Roman" w:hAnsi="Times New Roman"/>
                <w:color w:val="000000"/>
                <w:kern w:val="2"/>
                <w:sz w:val="20"/>
                <w:szCs w:val="20"/>
              </w:rPr>
              <w:t>09</w:t>
            </w:r>
            <w:r>
              <w:rPr>
                <w:rFonts w:hint="eastAsia"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noWrap/>
            <w:tcMar>
              <w:top w:w="15" w:type="dxa"/>
              <w:left w:w="15" w:type="dxa"/>
              <w:right w:w="15" w:type="dxa"/>
            </w:tcMar>
            <w:vAlign w:val="bottom"/>
          </w:tcPr>
          <w:p>
            <w:pPr>
              <w:spacing w:line="280" w:lineRule="exact"/>
              <w:rPr>
                <w:rFonts w:cs="宋体"/>
                <w:color w:val="000000"/>
                <w:kern w:val="2"/>
                <w:sz w:val="20"/>
                <w:szCs w:val="20"/>
              </w:rPr>
            </w:pPr>
            <w:r>
              <w:rPr>
                <w:rFonts w:hint="eastAsia" w:cs="宋体"/>
                <w:kern w:val="2"/>
                <w:sz w:val="20"/>
                <w:szCs w:val="20"/>
              </w:rPr>
              <w:t>单位</w:t>
            </w:r>
            <w:r>
              <w:rPr>
                <w:rFonts w:hint="eastAsia" w:cs="宋体"/>
                <w:color w:val="000000"/>
                <w:kern w:val="2"/>
                <w:sz w:val="20"/>
                <w:szCs w:val="20"/>
              </w:rPr>
              <w:t>：</w:t>
            </w:r>
            <w:r>
              <w:rPr>
                <w:rFonts w:hint="eastAsia"/>
                <w:color w:val="000000"/>
                <w:sz w:val="20"/>
              </w:rPr>
              <w:t>石柱土家族自治县道路运输事务中心</w:t>
            </w:r>
          </w:p>
        </w:tc>
        <w:tc>
          <w:tcPr>
            <w:tcW w:w="840" w:type="pct"/>
            <w:tcBorders>
              <w:top w:val="nil"/>
              <w:left w:val="nil"/>
              <w:bottom w:val="single" w:color="auto" w:sz="4" w:space="0"/>
              <w:right w:val="nil"/>
            </w:tcBorders>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hint="eastAsia" w:cs="宋体"/>
                <w:color w:val="000000"/>
                <w:kern w:val="2"/>
                <w:sz w:val="20"/>
                <w:szCs w:val="20"/>
              </w:rPr>
              <w:t>单位：</w:t>
            </w:r>
            <w:r>
              <w:rPr>
                <w:rFonts w:hint="eastAsia"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hint="eastAsia" w:cs="宋体"/>
                <w:b/>
                <w:color w:val="000000"/>
                <w:kern w:val="2"/>
                <w:sz w:val="16"/>
                <w:szCs w:val="16"/>
              </w:rPr>
              <w:t>项</w:t>
            </w:r>
            <w:r>
              <w:rPr>
                <w:rFonts w:cs="宋体"/>
                <w:b/>
                <w:color w:val="000000"/>
                <w:kern w:val="2"/>
                <w:sz w:val="16"/>
                <w:szCs w:val="16"/>
              </w:rPr>
              <w:t xml:space="preserve">  </w:t>
            </w:r>
            <w:r>
              <w:rPr>
                <w:rFonts w:hint="eastAsia" w:cs="宋体"/>
                <w:b/>
                <w:color w:val="000000"/>
                <w:kern w:val="2"/>
                <w:sz w:val="16"/>
                <w:szCs w:val="16"/>
              </w:rPr>
              <w:t>目</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hint="eastAsia"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hint="eastAsia"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hint="eastAsia" w:cs="宋体"/>
                <w:b/>
                <w:color w:val="000000"/>
                <w:kern w:val="2"/>
                <w:sz w:val="16"/>
                <w:szCs w:val="16"/>
              </w:rPr>
              <w:t>项</w:t>
            </w:r>
            <w:r>
              <w:rPr>
                <w:rFonts w:cs="宋体"/>
                <w:b/>
                <w:color w:val="000000"/>
                <w:kern w:val="2"/>
                <w:sz w:val="16"/>
                <w:szCs w:val="16"/>
              </w:rPr>
              <w:t xml:space="preserve">  </w:t>
            </w:r>
            <w:r>
              <w:rPr>
                <w:rFonts w:hint="eastAsia" w:cs="宋体"/>
                <w:b/>
                <w:color w:val="000000"/>
                <w:kern w:val="2"/>
                <w:sz w:val="16"/>
                <w:szCs w:val="16"/>
              </w:rPr>
              <w:t>目</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hint="eastAsia"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hint="eastAsia"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hint="eastAsia"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（一）支出合计</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4.74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4.74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（一）行政单位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hint="eastAsia"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（二）参照公务员法管理事业单位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hint="eastAsia"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3.96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3.96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hint="eastAsia"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ind w:right="120" w:rightChars="5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1</w:t>
            </w:r>
            <w:r>
              <w:rPr>
                <w:rFonts w:hint="eastAsia" w:cs="宋体"/>
                <w:b/>
                <w:bCs/>
                <w:color w:val="000000"/>
                <w:kern w:val="2"/>
                <w:sz w:val="16"/>
                <w:szCs w:val="16"/>
              </w:rPr>
              <w:t>）公务用车购置费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（一）车辆数合计（辆）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2</w:t>
            </w:r>
            <w:r>
              <w:rPr>
                <w:rFonts w:hint="eastAsia" w:cs="宋体"/>
                <w:b/>
                <w:bCs/>
                <w:color w:val="000000"/>
                <w:kern w:val="2"/>
                <w:sz w:val="16"/>
                <w:szCs w:val="16"/>
              </w:rPr>
              <w:t>）公务用车运行维护费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3.96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3.96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hint="eastAsia"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hint="eastAsia"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0.78</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0.78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hint="eastAsia"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1</w:t>
            </w:r>
            <w:r>
              <w:rPr>
                <w:rFonts w:hint="eastAsia" w:cs="宋体"/>
                <w:b/>
                <w:bCs/>
                <w:color w:val="000000"/>
                <w:kern w:val="2"/>
                <w:sz w:val="16"/>
                <w:szCs w:val="16"/>
              </w:rPr>
              <w:t>）国内接待费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0.78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hint="eastAsia"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其中：外事接待费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w:t>
            </w:r>
            <w:r>
              <w:rPr>
                <w:rFonts w:hint="eastAsia"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2</w:t>
            </w:r>
            <w:r>
              <w:rPr>
                <w:rFonts w:hint="eastAsia" w:cs="宋体"/>
                <w:b/>
                <w:bCs/>
                <w:color w:val="000000"/>
                <w:kern w:val="2"/>
                <w:sz w:val="16"/>
                <w:szCs w:val="16"/>
              </w:rPr>
              <w:t>）国（境）外接待费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w:t>
            </w:r>
            <w:r>
              <w:rPr>
                <w:rFonts w:hint="eastAsia"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（二）相关统计数</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ind w:right="120" w:rightChars="50"/>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w:t>
            </w:r>
            <w:r>
              <w:rPr>
                <w:rFonts w:hint="eastAsia"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hint="eastAsia"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w:t>
            </w:r>
            <w:r>
              <w:rPr>
                <w:rFonts w:hint="eastAsia"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hint="eastAsia"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w:t>
            </w:r>
            <w:r>
              <w:rPr>
                <w:rFonts w:hint="eastAsia"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hint="eastAsia"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（二）单价</w:t>
            </w:r>
            <w:r>
              <w:rPr>
                <w:rFonts w:cs="宋体"/>
                <w:b/>
                <w:bCs/>
                <w:color w:val="000000"/>
                <w:kern w:val="2"/>
                <w:sz w:val="16"/>
                <w:szCs w:val="16"/>
              </w:rPr>
              <w:t>100</w:t>
            </w:r>
            <w:r>
              <w:rPr>
                <w:rFonts w:hint="eastAsia" w:cs="宋体"/>
                <w:b/>
                <w:bCs/>
                <w:color w:val="000000"/>
                <w:kern w:val="2"/>
                <w:sz w:val="16"/>
                <w:szCs w:val="16"/>
              </w:rPr>
              <w:t>万元（含）以上设备（不含车辆）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w:t>
            </w:r>
            <w:r>
              <w:rPr>
                <w:rFonts w:hint="eastAsia"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hint="eastAsia"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ind w:right="120" w:rightChars="5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w:t>
            </w:r>
            <w:r>
              <w:rPr>
                <w:rFonts w:hint="eastAsia"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（一）政府采购支出合计</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1.56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其中：外事接待批次（个）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w:t>
            </w:r>
            <w:r>
              <w:rPr>
                <w:rFonts w:hint="eastAsia"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1.56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w:t>
            </w:r>
            <w:r>
              <w:rPr>
                <w:rFonts w:hint="eastAsia"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86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w:t>
            </w:r>
            <w:r>
              <w:rPr>
                <w:rFonts w:hint="eastAsia"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其中：外事接待人次（人）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w:t>
            </w:r>
            <w:r>
              <w:rPr>
                <w:rFonts w:hint="eastAsia"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w:t>
            </w:r>
            <w:r>
              <w:rPr>
                <w:rFonts w:hint="eastAsia"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（二）政府采购授予中小企业合同金额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1.56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w:t>
            </w:r>
            <w:r>
              <w:rPr>
                <w:rFonts w:hint="eastAsia"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其中：授予小微企业合同金额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1.56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hint="eastAsia"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hint="eastAsia"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kern w:val="2"/>
                <w:sz w:val="18"/>
                <w:szCs w:val="18"/>
              </w:rPr>
              <w:t>5.51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textAlignment w:val="center"/>
              <w:rPr>
                <w:rFonts w:cs="宋体"/>
                <w:b/>
                <w:bCs/>
                <w:color w:val="000000"/>
                <w:sz w:val="16"/>
                <w:szCs w:val="16"/>
              </w:rPr>
            </w:pPr>
            <w:r>
              <w:rPr>
                <w:rFonts w:hint="eastAsia"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23.59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pPr>
              <w:spacing w:line="280" w:lineRule="exact"/>
              <w:jc w:val="right"/>
              <w:rPr>
                <w:rFonts w:cs="宋体"/>
                <w:color w:val="000000"/>
                <w:sz w:val="16"/>
                <w:szCs w:val="16"/>
              </w:rPr>
            </w:pPr>
          </w:p>
        </w:tc>
      </w:tr>
    </w:tbl>
    <w:p>
      <w:pPr>
        <w:rPr>
          <w:sz w:val="18"/>
          <w:szCs w:val="18"/>
        </w:rPr>
      </w:pPr>
      <w:r>
        <w:rPr>
          <w:rFonts w:hint="eastAsia" w:cs="宋体"/>
          <w:sz w:val="18"/>
          <w:szCs w:val="18"/>
        </w:rPr>
        <w:t>备注：</w:t>
      </w:r>
      <w:r>
        <w:rPr>
          <w:rFonts w:cs="宋体"/>
          <w:sz w:val="18"/>
          <w:szCs w:val="18"/>
        </w:rPr>
        <w:t>1.</w:t>
      </w:r>
      <w:r>
        <w:rPr>
          <w:rFonts w:hint="eastAsia"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w:t>
      </w:r>
      <w:r>
        <w:rPr>
          <w:rFonts w:hint="eastAsia" w:cs="宋体"/>
          <w:sz w:val="18"/>
          <w:szCs w:val="18"/>
        </w:rPr>
        <w:t>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pPr>
                          <w:r>
                            <w:t xml:space="preserve"> </w:t>
                          </w:r>
                          <w:r>
                            <w:fldChar w:fldCharType="begin"/>
                          </w:r>
                          <w:r>
                            <w:instrText xml:space="preserve">PAGE   \* MERGEFORMAT</w:instrText>
                          </w:r>
                          <w:r>
                            <w:fldChar w:fldCharType="separate"/>
                          </w:r>
                          <w:r>
                            <w:rPr>
                              <w:lang w:val="zh-CN"/>
                            </w:rPr>
                            <w:t>-</w:t>
                          </w:r>
                          <w:r>
                            <w:t xml:space="preserve"> 20 -</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PAGE   \* MERGEFORMAT</w:instrText>
                    </w:r>
                    <w:r>
                      <w:fldChar w:fldCharType="separate"/>
                    </w:r>
                    <w:r>
                      <w:rPr>
                        <w:lang w:val="zh-CN"/>
                      </w:rPr>
                      <w:t>-</w:t>
                    </w:r>
                    <w:r>
                      <w:t xml:space="preserve"> 20 -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pPr>
                            <w:pStyle w:val="6"/>
                            <w:jc w:val="both"/>
                            <w:rPr>
                              <w:rFonts w:cs="宋体"/>
                            </w:rPr>
                          </w:pPr>
                          <w:r>
                            <w:rPr>
                              <w:rFonts w:cs="宋体"/>
                            </w:rPr>
                            <w:t>— 27.1 —</w:t>
                          </w:r>
                        </w:p>
                      </w:txbxContent>
                    </wps:txbx>
                    <wps:bodyPr wrap="none" lIns="0" tIns="0" rIns="0" bIns="0" upright="1"/>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ngQvs8oBAACHAwAADgAAAAAAAAABACAAAAAnAQAA&#10;ZHJzL2Uyb0RvYy54bWxQSwUGAAAAAAYABgBZAQAAYwUAAA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9D8B00"/>
    <w:multiLevelType w:val="singleLevel"/>
    <w:tmpl w:val="3C9D8B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Yjc4YjhjZmY1ZWQ2NjcxMzUyZWQ1OTA2YjBmZmMifQ=="/>
  </w:docVars>
  <w:rsids>
    <w:rsidRoot w:val="00B03CCD"/>
    <w:rsid w:val="000239C6"/>
    <w:rsid w:val="00066B52"/>
    <w:rsid w:val="001D3BB7"/>
    <w:rsid w:val="002B254B"/>
    <w:rsid w:val="0034050A"/>
    <w:rsid w:val="0038514D"/>
    <w:rsid w:val="0044504F"/>
    <w:rsid w:val="00466C9B"/>
    <w:rsid w:val="00486CFC"/>
    <w:rsid w:val="00491DDD"/>
    <w:rsid w:val="00550ABE"/>
    <w:rsid w:val="00623A85"/>
    <w:rsid w:val="00770383"/>
    <w:rsid w:val="007819D4"/>
    <w:rsid w:val="007B419D"/>
    <w:rsid w:val="007B7C4B"/>
    <w:rsid w:val="007D3D39"/>
    <w:rsid w:val="0086773E"/>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44A6A"/>
    <w:rsid w:val="00F57179"/>
    <w:rsid w:val="00F73F90"/>
    <w:rsid w:val="00FB4B3B"/>
    <w:rsid w:val="01474EBF"/>
    <w:rsid w:val="01DB732C"/>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6E57B7"/>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2825A2"/>
    <w:rsid w:val="194A1770"/>
    <w:rsid w:val="19B906A4"/>
    <w:rsid w:val="1AC634E8"/>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912A5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DFC02BF"/>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7928AD"/>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0C4A20"/>
    <w:rsid w:val="7A1525F7"/>
    <w:rsid w:val="7B420052"/>
    <w:rsid w:val="7BD06A28"/>
    <w:rsid w:val="7C3A7C0B"/>
    <w:rsid w:val="7C5248E4"/>
    <w:rsid w:val="7C566698"/>
    <w:rsid w:val="7C5866A3"/>
    <w:rsid w:val="7D7406BB"/>
    <w:rsid w:val="7DD235AF"/>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Times New Roman"/>
      <w:kern w:val="0"/>
      <w:sz w:val="24"/>
      <w:szCs w:val="24"/>
      <w:lang w:val="en-US" w:eastAsia="zh-CN" w:bidi="ar-SA"/>
    </w:rPr>
  </w:style>
  <w:style w:type="character" w:default="1" w:styleId="12">
    <w:name w:val="Default Paragraph Font"/>
    <w:autoRedefine/>
    <w:semiHidden/>
    <w:qFormat/>
    <w:uiPriority w:val="99"/>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link w:val="14"/>
    <w:autoRedefine/>
    <w:semiHidden/>
    <w:qFormat/>
    <w:uiPriority w:val="99"/>
    <w:pPr>
      <w:snapToGrid w:val="0"/>
    </w:pPr>
    <w:rPr>
      <w:sz w:val="18"/>
      <w:szCs w:val="18"/>
    </w:rPr>
  </w:style>
  <w:style w:type="paragraph" w:styleId="3">
    <w:name w:val="Body Text First Indent 2"/>
    <w:basedOn w:val="4"/>
    <w:next w:val="1"/>
    <w:link w:val="16"/>
    <w:autoRedefine/>
    <w:qFormat/>
    <w:uiPriority w:val="99"/>
    <w:pPr>
      <w:ind w:firstLine="420" w:firstLineChars="200"/>
    </w:pPr>
  </w:style>
  <w:style w:type="paragraph" w:styleId="4">
    <w:name w:val="Body Text Indent"/>
    <w:basedOn w:val="1"/>
    <w:next w:val="3"/>
    <w:link w:val="15"/>
    <w:autoRedefine/>
    <w:qFormat/>
    <w:uiPriority w:val="99"/>
    <w:pPr>
      <w:spacing w:after="120"/>
      <w:ind w:left="420" w:leftChars="200"/>
    </w:pPr>
    <w:rPr>
      <w:rFonts w:cs="宋体"/>
    </w:rPr>
  </w:style>
  <w:style w:type="paragraph" w:styleId="5">
    <w:name w:val="Balloon Text"/>
    <w:basedOn w:val="1"/>
    <w:link w:val="17"/>
    <w:autoRedefine/>
    <w:qFormat/>
    <w:uiPriority w:val="99"/>
    <w:rPr>
      <w:sz w:val="18"/>
      <w:szCs w:val="18"/>
    </w:rPr>
  </w:style>
  <w:style w:type="paragraph" w:styleId="6">
    <w:name w:val="footer"/>
    <w:basedOn w:val="1"/>
    <w:link w:val="18"/>
    <w:autoRedefine/>
    <w:qFormat/>
    <w:uiPriority w:val="99"/>
    <w:pPr>
      <w:tabs>
        <w:tab w:val="center" w:pos="4153"/>
        <w:tab w:val="right" w:pos="8306"/>
      </w:tabs>
      <w:snapToGrid w:val="0"/>
    </w:pPr>
    <w:rPr>
      <w:sz w:val="18"/>
      <w:szCs w:val="18"/>
    </w:rPr>
  </w:style>
  <w:style w:type="paragraph" w:styleId="7">
    <w:name w:val="header"/>
    <w:basedOn w:val="1"/>
    <w:link w:val="19"/>
    <w:autoRedefine/>
    <w:qFormat/>
    <w:uiPriority w:val="99"/>
    <w:pPr>
      <w:tabs>
        <w:tab w:val="center" w:pos="4153"/>
        <w:tab w:val="right" w:pos="8306"/>
      </w:tabs>
      <w:snapToGrid w:val="0"/>
      <w:jc w:val="center"/>
    </w:pPr>
    <w:rPr>
      <w:sz w:val="18"/>
      <w:szCs w:val="18"/>
    </w:rPr>
  </w:style>
  <w:style w:type="paragraph" w:styleId="8">
    <w:name w:val="HTML Preformatted"/>
    <w:basedOn w:val="1"/>
    <w:link w:val="20"/>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qFormat/>
    <w:uiPriority w:val="99"/>
    <w:pPr>
      <w:spacing w:before="100" w:beforeAutospacing="1" w:after="100" w:afterAutospacing="1"/>
    </w:pPr>
  </w:style>
  <w:style w:type="table" w:styleId="11">
    <w:name w:val="Table Grid"/>
    <w:basedOn w:val="10"/>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99"/>
    <w:rPr>
      <w:rFonts w:cs="Times New Roman"/>
      <w:b/>
    </w:rPr>
  </w:style>
  <w:style w:type="character" w:customStyle="1" w:styleId="14">
    <w:name w:val="Footnote Text Char"/>
    <w:basedOn w:val="12"/>
    <w:link w:val="2"/>
    <w:autoRedefine/>
    <w:semiHidden/>
    <w:qFormat/>
    <w:uiPriority w:val="99"/>
    <w:rPr>
      <w:rFonts w:ascii="宋体" w:hAnsi="宋体"/>
      <w:kern w:val="0"/>
      <w:sz w:val="18"/>
      <w:szCs w:val="18"/>
    </w:rPr>
  </w:style>
  <w:style w:type="character" w:customStyle="1" w:styleId="15">
    <w:name w:val="Body Text Indent Char"/>
    <w:basedOn w:val="12"/>
    <w:link w:val="4"/>
    <w:autoRedefine/>
    <w:semiHidden/>
    <w:qFormat/>
    <w:uiPriority w:val="99"/>
    <w:rPr>
      <w:rFonts w:ascii="宋体" w:hAnsi="宋体"/>
      <w:kern w:val="0"/>
      <w:sz w:val="24"/>
      <w:szCs w:val="24"/>
    </w:rPr>
  </w:style>
  <w:style w:type="character" w:customStyle="1" w:styleId="16">
    <w:name w:val="Body Text First Indent 2 Char"/>
    <w:basedOn w:val="15"/>
    <w:link w:val="3"/>
    <w:autoRedefine/>
    <w:semiHidden/>
    <w:qFormat/>
    <w:uiPriority w:val="99"/>
  </w:style>
  <w:style w:type="character" w:customStyle="1" w:styleId="17">
    <w:name w:val="Balloon Text Char"/>
    <w:basedOn w:val="12"/>
    <w:link w:val="5"/>
    <w:autoRedefine/>
    <w:qFormat/>
    <w:locked/>
    <w:uiPriority w:val="99"/>
    <w:rPr>
      <w:rFonts w:ascii="宋体" w:eastAsia="宋体" w:cs="Times New Roman"/>
      <w:sz w:val="18"/>
      <w:szCs w:val="18"/>
    </w:rPr>
  </w:style>
  <w:style w:type="character" w:customStyle="1" w:styleId="18">
    <w:name w:val="Footer Char"/>
    <w:basedOn w:val="12"/>
    <w:link w:val="6"/>
    <w:autoRedefine/>
    <w:semiHidden/>
    <w:qFormat/>
    <w:uiPriority w:val="99"/>
    <w:rPr>
      <w:rFonts w:ascii="宋体" w:hAnsi="宋体"/>
      <w:kern w:val="0"/>
      <w:sz w:val="18"/>
      <w:szCs w:val="18"/>
    </w:rPr>
  </w:style>
  <w:style w:type="character" w:customStyle="1" w:styleId="19">
    <w:name w:val="Header Char"/>
    <w:basedOn w:val="12"/>
    <w:link w:val="7"/>
    <w:autoRedefine/>
    <w:semiHidden/>
    <w:qFormat/>
    <w:uiPriority w:val="99"/>
    <w:rPr>
      <w:rFonts w:ascii="宋体" w:hAnsi="宋体"/>
      <w:kern w:val="0"/>
      <w:sz w:val="18"/>
      <w:szCs w:val="18"/>
    </w:rPr>
  </w:style>
  <w:style w:type="character" w:customStyle="1" w:styleId="20">
    <w:name w:val="HTML Preformatted Char"/>
    <w:basedOn w:val="12"/>
    <w:link w:val="8"/>
    <w:autoRedefine/>
    <w:semiHidden/>
    <w:qFormat/>
    <w:uiPriority w:val="99"/>
    <w:rPr>
      <w:rFonts w:ascii="Courier New" w:hAnsi="Courier New" w:cs="Courier New"/>
      <w:kern w:val="0"/>
      <w:sz w:val="20"/>
      <w:szCs w:val="20"/>
    </w:rPr>
  </w:style>
  <w:style w:type="paragraph" w:customStyle="1" w:styleId="21">
    <w:name w:val="列出段落1"/>
    <w:basedOn w:val="1"/>
    <w:uiPriority w:val="99"/>
    <w:pPr>
      <w:ind w:firstLine="420" w:firstLineChars="200"/>
    </w:pPr>
  </w:style>
  <w:style w:type="paragraph" w:customStyle="1" w:styleId="22">
    <w:name w:val="普通(网站) Char"/>
    <w:autoRedefine/>
    <w:qFormat/>
    <w:uiPriority w:val="99"/>
    <w:pPr>
      <w:spacing w:before="100" w:beforeAutospacing="1" w:after="100" w:afterAutospacing="1"/>
    </w:pPr>
    <w:rPr>
      <w:rFonts w:ascii="宋体" w:hAnsi="宋体" w:eastAsia="宋体" w:cs="Times New Roman"/>
      <w:kern w:val="0"/>
      <w:sz w:val="24"/>
      <w:szCs w:val="24"/>
      <w:lang w:val="en-US" w:eastAsia="zh-CN" w:bidi="ar-SA"/>
    </w:rPr>
  </w:style>
  <w:style w:type="character" w:customStyle="1" w:styleId="23">
    <w:name w:val="21"/>
    <w:basedOn w:val="12"/>
    <w:autoRedefine/>
    <w:qFormat/>
    <w:uiPriority w:val="99"/>
    <w:rPr>
      <w:rFonts w:ascii="Wingdings" w:hAnsi="Wingdings" w:cs="Wingdings"/>
      <w:b/>
      <w:bCs/>
    </w:rPr>
  </w:style>
  <w:style w:type="paragraph" w:customStyle="1" w:styleId="24">
    <w:name w:val="列出段落2"/>
    <w:autoRedefine/>
    <w:qFormat/>
    <w:uiPriority w:val="99"/>
    <w:pPr>
      <w:ind w:firstLine="420" w:firstLineChars="200"/>
    </w:pPr>
    <w:rPr>
      <w:rFonts w:ascii="宋体" w:hAnsi="宋体" w:eastAsia="宋体" w:cs="Times New Roman"/>
      <w:kern w:val="0"/>
      <w:sz w:val="24"/>
      <w:szCs w:val="24"/>
      <w:lang w:val="en-US" w:eastAsia="zh-CN" w:bidi="ar-SA"/>
    </w:rPr>
  </w:style>
  <w:style w:type="paragraph" w:customStyle="1" w:styleId="25">
    <w:name w:val="List Paragraph1"/>
    <w:basedOn w:val="1"/>
    <w:uiPriority w:val="99"/>
    <w:pPr>
      <w:ind w:firstLine="420" w:firstLineChars="200"/>
    </w:pPr>
  </w:style>
  <w:style w:type="paragraph" w:customStyle="1" w:styleId="26">
    <w:name w:val="正文-公1"/>
    <w:basedOn w:val="27"/>
    <w:next w:val="1"/>
    <w:autoRedefine/>
    <w:qFormat/>
    <w:uiPriority w:val="0"/>
    <w:pPr>
      <w:ind w:firstLine="200" w:firstLineChars="200"/>
    </w:p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6"/>
    <w:autoRedefine/>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20</Pages>
  <Words>1808</Words>
  <Characters>10311</Characters>
  <Lines>0</Lines>
  <Paragraphs>0</Paragraphs>
  <TotalTime>140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2025-09-30T01:38:00Z</dcterms:created>
  <dc:creator>Administrator</dc:creator>
  <cp:lastModifiedBy>张珑舰</cp:lastModifiedBy>
  <cp:lastPrinted>2025-10-10T03:26:14Z</cp:lastPrinted>
  <dcterms:modified xsi:type="dcterms:W3CDTF">2025-10-10T03:55:46Z</dcterms:modified>
  <dc:title>石柱土家族自治县道路运输事务中心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354EBC40248540F3AA3BC4162A544C0E_13</vt:lpwstr>
  </property>
</Properties>
</file>