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石柱土家族自治县交通运输委员会（本级）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1.</w:t>
      </w:r>
      <w:r>
        <w:rPr>
          <w:rFonts w:hint="eastAsia" w:ascii="方正仿宋_GBK" w:hAnsi="方正仿宋_GBK" w:eastAsia="方正仿宋_GBK" w:cs="方正仿宋_GBK"/>
          <w:color w:val="000000"/>
          <w:sz w:val="32"/>
          <w:szCs w:val="32"/>
          <w:lang w:eastAsia="zh-CN"/>
        </w:rPr>
        <w:t>贯彻执行交通运输法律、法规、规章和方针政策，组织起草审查涉及交通发展的规范性文件，制定有关的实施细则、管理规定和改革方案，并监督执行；负责交通运输经济运行监测，研究交通运输业发展趋势和重大问题；指导交通行业的体制改革和结构调整。</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color w:val="000000"/>
          <w:sz w:val="32"/>
          <w:szCs w:val="32"/>
          <w:lang w:val="en-US"/>
        </w:rPr>
        <w:t>2.</w:t>
      </w:r>
      <w:r>
        <w:rPr>
          <w:rFonts w:hint="eastAsia" w:ascii="方正仿宋_GBK" w:hAnsi="方正仿宋_GBK" w:eastAsia="方正仿宋_GBK" w:cs="方正仿宋_GBK"/>
          <w:sz w:val="32"/>
          <w:szCs w:val="32"/>
          <w:lang w:eastAsia="zh-CN"/>
        </w:rPr>
        <w:t>拟订全县综合交通发展战略，构建综合交通运输网络；会同有关部门组织编制综合交通运输规划、综合交通建设规划和公路、水路交通中长期规划，并组织实施；组织编制公路建设、航运发展、港口布局、岸线使用、枢纽站场、运力调整等专项规划，并组织实施；负责交通行业综合统计工作；参与拟订物流业发展战略和规划，拟订有关政策和标准并监督实施。</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lang w:eastAsia="zh-CN"/>
        </w:rPr>
        <w:t>综合平衡全县交通运力，构建全县综合交通运输体系；组织公路、水运、公共客运等交通各种运输方式，协调中央垂直管理的海事、民航、邮政、铁路等管理机构的涉地相关工作。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4.</w:t>
      </w:r>
      <w:r>
        <w:rPr>
          <w:rFonts w:hint="eastAsia" w:ascii="方正仿宋_GBK" w:hAnsi="方正仿宋_GBK" w:eastAsia="方正仿宋_GBK" w:cs="方正仿宋_GBK"/>
          <w:sz w:val="32"/>
          <w:szCs w:val="32"/>
          <w:lang w:eastAsia="zh-CN"/>
        </w:rPr>
        <w:t>承担全县道路、水路运输市场监管责任；组织制定道路、水路运输有关政策、准入制度、技术标准和运营规范，并监督实施；指导城乡客运及有关设施规划和管理工作，指导出租汽车行业管理工作。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lang w:eastAsia="zh-CN"/>
        </w:rPr>
        <w:t>承担长江水域以外地方水域交通安全监管责任，指导及协调全县水上交通管制、船舶及相关水上设施检验、登记和防止污染、救助打捞、通信导航及危险品运输监督管理工作；负责和协调船员管理有关工作；负责地方管理水域水上交通安全事故、船舶及相关水上设施污染事故的应急处置，依法组织或参与事故调查处理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lang w:eastAsia="zh-CN"/>
        </w:rPr>
        <w:t>负责提出全县公路、水路固定资产投资规模和方向、财政性资金安排意见，按县政府规定权限审批和核准规划内和年度计划规模内固定资产投资项目；负责所属单位国有资产的监督管理。</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w:t>
      </w:r>
      <w:r>
        <w:rPr>
          <w:rFonts w:hint="eastAsia" w:ascii="方正仿宋_GBK" w:hAnsi="方正仿宋_GBK" w:eastAsia="方正仿宋_GBK" w:cs="方正仿宋_GBK"/>
          <w:sz w:val="32"/>
          <w:szCs w:val="32"/>
          <w:lang w:eastAsia="zh-CN"/>
        </w:rPr>
        <w:t>承担全县公路、水路建设市场监管责任；拟订公路、水路工程建设项目相关政策、制度和技术标准，并监督实施；组织协调全县公路、港口、码头、航道、枢纽站场等交通基础设施建设的工程质量和安全生产监督管理工作，并指导其养护和维护；监督交通建设项目招投标活动。</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8.</w:t>
      </w:r>
      <w:r>
        <w:rPr>
          <w:rFonts w:hint="eastAsia" w:ascii="方正仿宋_GBK" w:hAnsi="方正仿宋_GBK" w:eastAsia="方正仿宋_GBK" w:cs="方正仿宋_GBK"/>
          <w:sz w:val="32"/>
          <w:szCs w:val="32"/>
          <w:lang w:eastAsia="zh-CN"/>
        </w:rPr>
        <w:t>承担交通运政、路政、港航、执法管理工作的组织、指导、协调和监督责任。</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9.</w:t>
      </w:r>
      <w:r>
        <w:rPr>
          <w:rFonts w:hint="eastAsia" w:ascii="方正仿宋_GBK" w:hAnsi="方正仿宋_GBK" w:eastAsia="方正仿宋_GBK" w:cs="方正仿宋_GBK"/>
          <w:sz w:val="32"/>
          <w:szCs w:val="32"/>
          <w:lang w:eastAsia="zh-CN"/>
        </w:rPr>
        <w:t>推动交通行业科技进步，负责新技术、新工艺和新材料在交通行业的推广应用；指导公路、水路行业环境保护和节能减排工作；组织和管理交通运输行业信息化建设；指导交通行业职业技能和技术培训工作。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10.</w:t>
      </w:r>
      <w:r>
        <w:rPr>
          <w:rFonts w:hint="eastAsia" w:ascii="方正仿宋_GBK" w:hAnsi="方正仿宋_GBK" w:eastAsia="方正仿宋_GBK" w:cs="方正仿宋_GBK"/>
          <w:sz w:val="32"/>
          <w:szCs w:val="32"/>
          <w:lang w:eastAsia="zh-CN"/>
        </w:rPr>
        <w:t>指导公路、水路行业安全生产和应急管理工作；协调全县交通突发公共事件的应急管理和处置；按规定组织协调重点物资、紧急客货运输和高峰客运；承担交通国防动员有关工作。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11.</w:t>
      </w:r>
      <w:r>
        <w:rPr>
          <w:rFonts w:hint="eastAsia" w:ascii="方正仿宋_GBK" w:hAnsi="方正仿宋_GBK" w:eastAsia="方正仿宋_GBK" w:cs="方正仿宋_GBK"/>
          <w:sz w:val="32"/>
          <w:szCs w:val="32"/>
          <w:lang w:eastAsia="zh-CN"/>
        </w:rPr>
        <w:t>负责交通行业对外交流工作，指导利用外资工作；组织开展国际交流合作。</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ind w:left="0" w:firstLine="640"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12.</w:t>
      </w:r>
      <w:r>
        <w:rPr>
          <w:rFonts w:hint="eastAsia" w:ascii="方正仿宋_GBK" w:hAnsi="方正仿宋_GBK" w:eastAsia="方正仿宋_GBK" w:cs="方正仿宋_GBK"/>
          <w:sz w:val="32"/>
          <w:szCs w:val="32"/>
          <w:lang w:eastAsia="zh-CN"/>
        </w:rPr>
        <w:t>承担交通行业精神文明建设责任，负责交通行业宣</w:t>
      </w:r>
    </w:p>
    <w:p>
      <w:pPr>
        <w:keepNext w:val="0"/>
        <w:keepLines w:val="0"/>
        <w:pageBreakBefore w:val="0"/>
        <w:widowControl w:val="0"/>
        <w:suppressLineNumbers w:val="0"/>
        <w:kinsoku/>
        <w:wordWrap/>
        <w:overflowPunct/>
        <w:autoSpaceDE w:val="0"/>
        <w:autoSpaceDN/>
        <w:bidi w:val="0"/>
        <w:adjustRightInd/>
        <w:snapToGrid w:val="0"/>
        <w:spacing w:beforeAutospacing="0" w:afterAutospacing="0" w:line="560" w:lineRule="exact"/>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传工作。</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承办县政府交办的其他事项。</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石柱土家族自治县交通局本级内设</w:t>
      </w:r>
      <w:r>
        <w:rPr>
          <w:rFonts w:hint="eastAsia" w:ascii="方正仿宋_GBK" w:hAnsi="方正仿宋_GBK" w:eastAsia="方正仿宋_GBK" w:cs="方正仿宋_GBK"/>
          <w:sz w:val="32"/>
          <w:szCs w:val="32"/>
          <w:lang w:val="en-US"/>
        </w:rPr>
        <w:t>8</w:t>
      </w:r>
      <w:r>
        <w:rPr>
          <w:rFonts w:hint="eastAsia" w:ascii="方正仿宋_GBK" w:hAnsi="方正仿宋_GBK" w:eastAsia="方正仿宋_GBK" w:cs="方正仿宋_GBK"/>
          <w:sz w:val="32"/>
          <w:szCs w:val="32"/>
          <w:lang w:eastAsia="zh-CN"/>
        </w:rPr>
        <w:t>个科室，具体为办公室、规划科、财务科、组织人事科、建设管理科、行政许可服务科、应急管理科、养护运输科</w:t>
      </w:r>
      <w:r>
        <w:rPr>
          <w:rFonts w:hint="eastAsia" w:ascii="方正仿宋_GBK" w:hAnsi="方正仿宋_GBK" w:eastAsia="方正仿宋_GBK" w:cs="方正仿宋_GBK"/>
          <w:sz w:val="32"/>
          <w:szCs w:val="32"/>
          <w:lang w:val="en-US"/>
        </w:rPr>
        <w:t>8</w:t>
      </w:r>
      <w:r>
        <w:rPr>
          <w:rFonts w:hint="eastAsia" w:ascii="方正仿宋_GBK" w:hAnsi="方正仿宋_GBK" w:eastAsia="方正仿宋_GBK" w:cs="方正仿宋_GBK"/>
          <w:sz w:val="32"/>
          <w:szCs w:val="32"/>
          <w:lang w:eastAsia="zh-CN"/>
        </w:rPr>
        <w:t>个科室。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82102.47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收、支与2023年度相比，减少23850.68万元，下降22.5%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rPr>
        <w:t>2023年度缴纳准备期职业年金，本年度未缴纳准备期职业年金，人员经费减少14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二是</w:t>
      </w:r>
      <w:r>
        <w:rPr>
          <w:rFonts w:hint="eastAsia" w:ascii="方正仿宋_GBK" w:hAnsi="方正仿宋_GBK" w:eastAsia="方正仿宋_GBK" w:cs="方正仿宋_GBK"/>
          <w:color w:val="auto"/>
          <w:sz w:val="32"/>
          <w:szCs w:val="32"/>
          <w:shd w:val="clear" w:color="auto" w:fill="FFFFFF"/>
        </w:rPr>
        <w:t>本年农村公路检查次数增加，工作量增大，其他交通费支出增加，日常公用经费增加</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4</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三是</w:t>
      </w:r>
      <w:r>
        <w:rPr>
          <w:rFonts w:hint="eastAsia" w:ascii="方正仿宋_GBK" w:hAnsi="方正仿宋_GBK" w:eastAsia="方正仿宋_GBK" w:cs="方正仿宋_GBK"/>
          <w:color w:val="auto"/>
          <w:sz w:val="32"/>
          <w:szCs w:val="32"/>
          <w:shd w:val="clear" w:color="auto" w:fill="FFFFFF"/>
        </w:rPr>
        <w:t>本年度公路建设项目减少，主要用于石柱县万寿山旅游公共服务保障设施建设项目、渝利铁路沙子站建设项目等，项目收入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较上年减少23836</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3</w:t>
      </w:r>
      <w:r>
        <w:rPr>
          <w:rFonts w:hint="eastAsia" w:ascii="方正仿宋_GBK" w:hAnsi="方正仿宋_GBK" w:eastAsia="方正仿宋_GBK" w:cs="方正仿宋_GBK"/>
          <w:color w:val="auto"/>
          <w:sz w:val="32"/>
          <w:szCs w:val="32"/>
          <w:shd w:val="clear" w:color="auto" w:fill="FFFFFF"/>
          <w:lang w:val="en-US" w:eastAsia="zh-CN"/>
        </w:rPr>
        <w:t>9万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故</w:t>
      </w:r>
      <w:r>
        <w:rPr>
          <w:rFonts w:hint="eastAsia" w:ascii="方正仿宋_GBK" w:hAnsi="方正仿宋_GBK" w:eastAsia="方正仿宋_GBK" w:cs="方正仿宋_GBK"/>
          <w:color w:val="auto"/>
          <w:sz w:val="32"/>
          <w:szCs w:val="32"/>
          <w:shd w:val="clear" w:color="auto" w:fill="FFFFFF"/>
        </w:rPr>
        <w:t>本年收入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减少23850</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68</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82102.47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与2023年度相比，减少23850.68万元，下降22.5%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rPr>
        <w:t>2023年度缴纳准备期职业年金，本年度未缴纳准备期职业年金，人员经费减少14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二是</w:t>
      </w:r>
      <w:r>
        <w:rPr>
          <w:rFonts w:hint="eastAsia" w:ascii="方正仿宋_GBK" w:hAnsi="方正仿宋_GBK" w:eastAsia="方正仿宋_GBK" w:cs="方正仿宋_GBK"/>
          <w:color w:val="auto"/>
          <w:sz w:val="32"/>
          <w:szCs w:val="32"/>
          <w:shd w:val="clear" w:color="auto" w:fill="FFFFFF"/>
        </w:rPr>
        <w:t>本年农村公路检查次数增加，工作量增大，其他交通费支出增加，日常公用经费增加</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4</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三是</w:t>
      </w:r>
      <w:r>
        <w:rPr>
          <w:rFonts w:hint="eastAsia" w:ascii="方正仿宋_GBK" w:hAnsi="方正仿宋_GBK" w:eastAsia="方正仿宋_GBK" w:cs="方正仿宋_GBK"/>
          <w:color w:val="auto"/>
          <w:sz w:val="32"/>
          <w:szCs w:val="32"/>
          <w:shd w:val="clear" w:color="auto" w:fill="FFFFFF"/>
        </w:rPr>
        <w:t>本年度公路建设项目减少，主要用于石柱县万寿山旅游公共服务保障设施建设项目、渝利铁路沙子站建设项目等，项目收入较上年减少23836</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3</w:t>
      </w:r>
      <w:r>
        <w:rPr>
          <w:rFonts w:hint="eastAsia" w:ascii="方正仿宋_GBK" w:hAnsi="方正仿宋_GBK" w:eastAsia="方正仿宋_GBK" w:cs="方正仿宋_GBK"/>
          <w:color w:val="auto"/>
          <w:sz w:val="32"/>
          <w:szCs w:val="32"/>
          <w:shd w:val="clear" w:color="auto" w:fill="FFFFFF"/>
          <w:lang w:val="en-US" w:eastAsia="zh-CN"/>
        </w:rPr>
        <w:t>9万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故</w:t>
      </w:r>
      <w:r>
        <w:rPr>
          <w:rFonts w:hint="eastAsia" w:ascii="方正仿宋_GBK" w:hAnsi="方正仿宋_GBK" w:eastAsia="方正仿宋_GBK" w:cs="方正仿宋_GBK"/>
          <w:color w:val="auto"/>
          <w:sz w:val="32"/>
          <w:szCs w:val="32"/>
          <w:shd w:val="clear" w:color="auto" w:fill="FFFFFF"/>
        </w:rPr>
        <w:t>本年收入减少23850</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68</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82102.47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82102.47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与2023年度相比，减少23850.68万元，下降22.5%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rPr>
        <w:t>2023年度缴纳准备期职业年金，本年度未缴纳准备期职业年金，人员经费减少14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二是</w:t>
      </w:r>
      <w:r>
        <w:rPr>
          <w:rFonts w:hint="eastAsia" w:ascii="方正仿宋_GBK" w:hAnsi="方正仿宋_GBK" w:eastAsia="方正仿宋_GBK" w:cs="方正仿宋_GBK"/>
          <w:color w:val="auto"/>
          <w:sz w:val="32"/>
          <w:szCs w:val="32"/>
          <w:shd w:val="clear" w:color="auto" w:fill="FFFFFF"/>
        </w:rPr>
        <w:t>本年农村公路检查次数增加，工作量增大，其他交通费支出增加，日常公用经费增加</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4</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三是</w:t>
      </w:r>
      <w:r>
        <w:rPr>
          <w:rFonts w:hint="eastAsia" w:ascii="方正仿宋_GBK" w:hAnsi="方正仿宋_GBK" w:eastAsia="方正仿宋_GBK" w:cs="方正仿宋_GBK"/>
          <w:color w:val="auto"/>
          <w:sz w:val="32"/>
          <w:szCs w:val="32"/>
          <w:shd w:val="clear" w:color="auto" w:fill="FFFFFF"/>
        </w:rPr>
        <w:t>本年度公路建设项目减少，主要用于石柱县万寿山旅游公共服务保障设施建设项目、渝利铁路沙子站建设项目等，项目</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较上年减少23836</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3</w:t>
      </w:r>
      <w:r>
        <w:rPr>
          <w:rFonts w:hint="eastAsia" w:ascii="方正仿宋_GBK" w:hAnsi="方正仿宋_GBK" w:eastAsia="方正仿宋_GBK" w:cs="方正仿宋_GBK"/>
          <w:color w:val="auto"/>
          <w:sz w:val="32"/>
          <w:szCs w:val="32"/>
          <w:shd w:val="clear" w:color="auto" w:fill="FFFFFF"/>
          <w:lang w:val="en-US" w:eastAsia="zh-CN"/>
        </w:rPr>
        <w:t>9万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val="en-US" w:eastAsia="zh-CN"/>
        </w:rPr>
        <w:t>故</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减少23850</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68</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423.61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81678.86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无年末结转和结余。</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82102.47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财政拨款收、支总计各减少23850.68万元，下降22.5%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交通建设项目增加。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52754.86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与2023年度相比，增加39541.28万元，增长299.3%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交通建设项目增加</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较年初预算数增加38776.78万元，增长277.4%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一般公共预算交通建设项目</w:t>
      </w:r>
      <w:r>
        <w:rPr>
          <w:rFonts w:hint="eastAsia" w:ascii="方正仿宋_GBK" w:hAnsi="方正仿宋_GBK" w:eastAsia="方正仿宋_GBK" w:cs="方正仿宋_GBK"/>
          <w:sz w:val="32"/>
          <w:szCs w:val="32"/>
          <w:shd w:val="clear" w:fill="FFFFFF"/>
          <w:lang w:val="en-US" w:eastAsia="zh-CN"/>
        </w:rPr>
        <w:t>增加，项目经费增加。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52754.86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与2023年度相比，增加39541.28万元，增长299.3%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交通建设项目增加。</w:t>
      </w:r>
      <w:r>
        <w:rPr>
          <w:rFonts w:hint="default" w:ascii="Times New Roman" w:hAnsi="Times New Roman" w:eastAsia="方正仿宋_GBK"/>
          <w:sz w:val="32"/>
          <w:szCs w:val="32"/>
          <w:shd w:val="clear" w:color="auto" w:fill="FFFFFF"/>
        </w:rPr>
        <w:t>较年初预算数增加38776.78万元，增长277.4%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一般公共预算交通建设项目</w:t>
      </w:r>
      <w:r>
        <w:rPr>
          <w:rFonts w:hint="eastAsia" w:ascii="方正仿宋_GBK" w:hAnsi="方正仿宋_GBK" w:eastAsia="方正仿宋_GBK" w:cs="方正仿宋_GBK"/>
          <w:sz w:val="32"/>
          <w:szCs w:val="32"/>
          <w:shd w:val="clear" w:fill="FFFFFF"/>
          <w:lang w:val="en-US" w:eastAsia="zh-CN"/>
        </w:rPr>
        <w:t>增加，项目经费增加。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eastAsia" w:ascii="Times New Roman" w:hAnsi="Times New Roman" w:eastAsia="方正仿宋_GBK"/>
          <w:sz w:val="32"/>
          <w:szCs w:val="32"/>
          <w:shd w:val="clear" w:color="auto" w:fill="FFFFFF"/>
          <w:lang w:val="en-US" w:eastAsia="zh-CN"/>
        </w:rPr>
        <w:t>25</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该部分</w:t>
      </w:r>
      <w:r>
        <w:rPr>
          <w:rFonts w:hint="eastAsia" w:ascii="方正仿宋_GBK" w:hAnsi="方正仿宋_GBK" w:eastAsia="方正仿宋_GBK" w:cs="方正仿宋_GBK"/>
          <w:color w:val="auto"/>
          <w:sz w:val="32"/>
          <w:szCs w:val="32"/>
          <w:shd w:val="clear" w:color="auto" w:fill="FFFFFF"/>
          <w:lang w:val="en-US" w:eastAsia="zh-CN"/>
        </w:rPr>
        <w:t>主要为</w:t>
      </w:r>
      <w:r>
        <w:rPr>
          <w:rFonts w:hint="eastAsia" w:ascii="方正仿宋_GBK" w:hAnsi="方正仿宋_GBK" w:eastAsia="方正仿宋_GBK" w:cs="方正仿宋_GBK"/>
          <w:color w:val="auto"/>
          <w:sz w:val="32"/>
          <w:szCs w:val="32"/>
        </w:rPr>
        <w:t>副处级退休干部活动经费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离退休党组织建设经费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副处级及以上退休干部公用经费</w:t>
      </w:r>
      <w:r>
        <w:rPr>
          <w:rFonts w:hint="eastAsia" w:ascii="方正仿宋_GBK" w:hAnsi="方正仿宋_GBK" w:eastAsia="方正仿宋_GBK" w:cs="方正仿宋_GBK"/>
          <w:color w:val="auto"/>
          <w:sz w:val="32"/>
          <w:szCs w:val="32"/>
          <w:lang w:val="en-US" w:eastAsia="zh-CN"/>
        </w:rPr>
        <w:t>等经费，为组织部预算年中调剂至我单位，故较年初增加</w:t>
      </w:r>
      <w:r>
        <w:rPr>
          <w:rFonts w:hint="eastAsia"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94.77</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olor w:val="auto"/>
          <w:sz w:val="32"/>
          <w:szCs w:val="32"/>
          <w:shd w:val="clear" w:color="auto" w:fill="FFFFFF"/>
          <w:lang w:val="en-US" w:eastAsia="zh-CN"/>
        </w:rPr>
        <w:t>0.11</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较年初预算数增加5.27万元，增长5.9%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人员工资标准调整，社会保障和就业支出增加</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27.33</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0.033</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较年初预算数增加0.92万元，增长3.5%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人员工资标准调整，卫生健康支出增加</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城乡社区支出12947.61万元，占</w:t>
      </w:r>
      <w:r>
        <w:rPr>
          <w:rFonts w:hint="eastAsia" w:ascii="Times New Roman" w:hAnsi="Times New Roman" w:eastAsia="方正仿宋_GBK" w:cs="Times New Roman"/>
          <w:color w:val="auto"/>
          <w:sz w:val="32"/>
          <w:szCs w:val="32"/>
          <w:shd w:val="clear" w:color="auto" w:fill="FFFFFF"/>
          <w:lang w:val="en-US" w:eastAsia="zh-CN"/>
        </w:rPr>
        <w:t>15.77%</w:t>
      </w:r>
      <w:r>
        <w:rPr>
          <w:rFonts w:hint="default" w:ascii="Times New Roman" w:hAnsi="Times New Roman" w:eastAsia="方正仿宋_GBK" w:cs="Times New Roman"/>
          <w:color w:val="auto"/>
          <w:sz w:val="32"/>
          <w:szCs w:val="32"/>
          <w:shd w:val="clear" w:color="auto" w:fill="FFFFFF"/>
          <w:lang w:val="en-US" w:eastAsia="zh-CN"/>
        </w:rPr>
        <w:t>，较年初预算数增加8394万元，增长184.3%，主要是债券资金安排的交通建设项目支出增加。</w:t>
      </w:r>
    </w:p>
    <w:p>
      <w:pPr>
        <w:pStyle w:val="11"/>
        <w:keepNext w:val="0"/>
        <w:keepLines w:val="0"/>
        <w:pageBreakBefore w:val="0"/>
        <w:widowControl w:val="0"/>
        <w:kinsoku/>
        <w:wordWrap/>
        <w:overflowPunct/>
        <w:autoSpaceDE w:val="0"/>
        <w:autoSpaceDN/>
        <w:bidi w:val="0"/>
        <w:adjustRightInd/>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52599.52</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64.06</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较年初预算数增加38762.54万元，增长280.1%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交通</w:t>
      </w:r>
      <w:r>
        <w:rPr>
          <w:rFonts w:ascii="方正仿宋_GBK" w:hAnsi="方正仿宋_GBK" w:eastAsia="方正仿宋_GBK" w:cs="方正仿宋_GBK"/>
          <w:sz w:val="32"/>
          <w:szCs w:val="32"/>
          <w:shd w:val="clear" w:color="auto" w:fill="FFFFFF"/>
        </w:rPr>
        <w:t>建设项目支出增加。</w:t>
      </w:r>
    </w:p>
    <w:p>
      <w:pPr>
        <w:pStyle w:val="11"/>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26.36</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0.032</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较年初预算数增加1.16万元，增长4.6%</w:t>
      </w:r>
      <w:r>
        <w:rPr>
          <w:rFonts w:ascii="方正仿宋_GBK" w:hAnsi="方正仿宋_GBK" w:eastAsia="方正仿宋_GBK" w:cs="方正仿宋_GBK"/>
          <w:sz w:val="32"/>
          <w:szCs w:val="32"/>
          <w:shd w:val="clear" w:color="auto" w:fill="FFFFFF"/>
        </w:rPr>
        <w:t>，主要原因是据实调整住房保障支出。</w:t>
      </w:r>
    </w:p>
    <w:p>
      <w:pPr>
        <w:pStyle w:val="11"/>
        <w:keepNext w:val="0"/>
        <w:keepLines w:val="0"/>
        <w:pageBreakBefore w:val="0"/>
        <w:widowControl w:val="0"/>
        <w:kinsoku/>
        <w:wordWrap/>
        <w:overflowPunct/>
        <w:topLinePunct/>
        <w:autoSpaceDE w:val="0"/>
        <w:autoSpaceDN/>
        <w:bidi w:val="0"/>
        <w:adjustRightInd/>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其他支出16400万元，占</w:t>
      </w:r>
      <w:r>
        <w:rPr>
          <w:rFonts w:hint="eastAsia" w:ascii="Times New Roman" w:hAnsi="Times New Roman" w:eastAsia="方正仿宋_GBK" w:cs="Times New Roman"/>
          <w:sz w:val="32"/>
          <w:szCs w:val="32"/>
          <w:shd w:val="clear" w:color="auto" w:fill="FFFFFF"/>
          <w:lang w:val="en-US" w:eastAsia="zh-CN"/>
        </w:rPr>
        <w:t>19.97%</w:t>
      </w:r>
      <w:r>
        <w:rPr>
          <w:rFonts w:hint="default" w:ascii="Times New Roman" w:hAnsi="Times New Roman" w:eastAsia="方正仿宋_GBK" w:cs="Times New Roman"/>
          <w:sz w:val="32"/>
          <w:szCs w:val="32"/>
          <w:shd w:val="clear" w:color="auto" w:fill="FFFFFF"/>
          <w:lang w:val="en-US" w:eastAsia="zh-CN"/>
        </w:rPr>
        <w:t>，较年初预算数增加16400万元，增长100%，主要原因是用新增债券资金安排的交通建设项目支出增加，主要用于</w:t>
      </w:r>
      <w:r>
        <w:rPr>
          <w:rFonts w:hint="default" w:ascii="Times New Roman" w:hAnsi="Times New Roman" w:eastAsia="方正仿宋_GBK" w:cs="Times New Roman"/>
          <w:sz w:val="32"/>
          <w:szCs w:val="32"/>
        </w:rPr>
        <w:t>万寿山旅游公共服务保障设施建设</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工业园区拓展区配套基础设施建设</w:t>
      </w:r>
      <w:r>
        <w:rPr>
          <w:rFonts w:hint="default" w:ascii="Times New Roman" w:hAnsi="Times New Roman" w:eastAsia="方正仿宋_GBK" w:cs="Times New Roman"/>
          <w:sz w:val="32"/>
          <w:szCs w:val="32"/>
          <w:lang w:val="en-US" w:eastAsia="zh-CN"/>
        </w:rPr>
        <w:t>等项目。</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无年末结转和结余。</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423.61</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1"/>
        <w:keepNext w:val="0"/>
        <w:keepLines w:val="0"/>
        <w:pageBreakBefore w:val="0"/>
        <w:widowControl w:val="0"/>
        <w:suppressLineNumbers w:val="0"/>
        <w:kinsoku/>
        <w:wordWrap/>
        <w:overflowPunct/>
        <w:topLinePunct/>
        <w:autoSpaceDE w:val="0"/>
        <w:autoSpaceDN/>
        <w:bidi w:val="0"/>
        <w:adjustRightInd/>
        <w:spacing w:before="0" w:beforeAutospacing="0" w:after="0" w:afterAutospacing="0" w:line="560" w:lineRule="exact"/>
        <w:ind w:left="0" w:righ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367.43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与2023年度相比，减少14.72万元，下降3.9%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2023年度缴纳准备期职业年金，本年度未缴纳准备期职业年金，人员经费减少14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w:t>
      </w:r>
      <w:r>
        <w:rPr>
          <w:rFonts w:hint="eastAsia" w:ascii="方正仿宋_GBK" w:hAnsi="方正仿宋_GBK" w:eastAsia="方正仿宋_GBK" w:cs="方正仿宋_GBK"/>
          <w:color w:val="auto"/>
          <w:sz w:val="32"/>
          <w:szCs w:val="32"/>
          <w:shd w:val="clear" w:color="auto" w:fill="FFFFFF"/>
          <w:lang w:val="en-US" w:eastAsia="zh-CN"/>
        </w:rPr>
        <w:t>2万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人员经费用途</w:t>
      </w:r>
      <w:r>
        <w:rPr>
          <w:rFonts w:ascii="方正仿宋_GBK" w:hAnsi="方正仿宋_GBK" w:eastAsia="方正仿宋_GBK" w:cs="方正仿宋_GBK"/>
          <w:sz w:val="32"/>
          <w:szCs w:val="32"/>
          <w:shd w:val="clear" w:color="auto" w:fill="FFFFFF"/>
        </w:rPr>
        <w:t>主要包括</w:t>
      </w:r>
      <w:r>
        <w:rPr>
          <w:rFonts w:hint="eastAsia" w:ascii="方正仿宋_GBK" w:hAnsi="方正仿宋_GBK" w:eastAsia="方正仿宋_GBK" w:cs="方正仿宋_GBK"/>
          <w:sz w:val="32"/>
          <w:szCs w:val="32"/>
          <w:shd w:val="clear" w:fill="FFFFFF"/>
          <w:lang w:eastAsia="zh-CN"/>
        </w:rPr>
        <w:t>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56.18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与2023年度相比，增加0.42万元，增长0.8%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本年度公路建设项目增加，工作量增大，公用经费增加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办公费、差旅费、公务车辆运行维护费、公务接待费、其他交通费等。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29347.61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与2023年度相比，减少63391.96万元，下降68.4%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债券资金安排的公路建设项目</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29347.61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与2023年度相比，减少63391.96万元，下降68.4%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债券资金安排的公路建设项目</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年初按需据实预算支</w:t>
      </w:r>
      <w:r>
        <w:rPr>
          <w:rFonts w:hint="eastAsia" w:ascii="方正仿宋_GBK" w:hAnsi="方正仿宋_GBK" w:eastAsia="方正仿宋_GBK" w:cs="方正仿宋_GBK"/>
          <w:color w:val="auto"/>
          <w:sz w:val="32"/>
          <w:szCs w:val="32"/>
          <w:shd w:val="clear" w:fill="FFFFFF"/>
          <w:lang w:eastAsia="zh-CN"/>
        </w:rPr>
        <w:t>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严格按年初预算执行</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lang w:val="en-US" w:eastAsia="zh-CN"/>
        </w:rPr>
        <w:t>单位公务</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val="en-US" w:eastAsia="zh-CN"/>
        </w:rPr>
        <w:t>相关</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fill="FFFFFF"/>
          <w:lang w:eastAsia="zh-CN"/>
        </w:rPr>
        <w:t>本年度未发生因公出国（境）费用支出。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fill="FFFFFF"/>
          <w:lang w:eastAsia="zh-CN"/>
        </w:rPr>
        <w:t>本年度未发生因公出国（境）费用支出。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公务用车燃料费、维修费、过桥过路费、保险费等支出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fill="FFFFFF"/>
          <w:lang w:eastAsia="zh-CN"/>
        </w:rPr>
        <w:t>年初按需据实预算支出。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严格按年初预算执行</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上级相关单位督查、检查等费用支出。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fill="FFFFFF"/>
          <w:lang w:eastAsia="zh-CN"/>
        </w:rPr>
        <w:t>年初按需据实预算支出。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严格按年初预算执行</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79.39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严格按照年初预算执行</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与2023年度相比，增加1.50万元，增长150.0%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举办安全</w:t>
      </w:r>
      <w:r>
        <w:rPr>
          <w:rFonts w:hint="default" w:ascii="Times New Roman" w:hAnsi="Times New Roman" w:eastAsia="方正仿宋_GBK" w:cs="Times New Roman"/>
          <w:color w:val="auto"/>
          <w:sz w:val="32"/>
          <w:szCs w:val="32"/>
          <w:shd w:val="clear" w:color="auto" w:fill="FFFFFF"/>
        </w:rPr>
        <w:t>培训1次，且参加上级部门及相关单位组织的培训次数增加，培训费增加。</w:t>
      </w:r>
      <w:r>
        <w:rPr>
          <w:rFonts w:hint="default" w:ascii="Times New Roman" w:hAnsi="Times New Roman" w:eastAsia="方正仿宋_GBK" w:cs="Times New Roman"/>
          <w:sz w:val="32"/>
          <w:szCs w:val="32"/>
          <w:shd w:val="clear" w:color="auto" w:fill="FFFFFF"/>
        </w:rPr>
        <w:t>本年</w:t>
      </w:r>
      <w:r>
        <w:rPr>
          <w:rFonts w:ascii="方正仿宋_GBK" w:hAnsi="方正仿宋_GBK" w:eastAsia="方正仿宋_GBK" w:cs="方正仿宋_GBK"/>
          <w:sz w:val="32"/>
          <w:szCs w:val="32"/>
          <w:shd w:val="clear" w:color="auto" w:fill="FFFFFF"/>
        </w:rPr>
        <w:t>度差旅费支出</w:t>
      </w:r>
      <w:r>
        <w:rPr>
          <w:rFonts w:hint="default" w:ascii="Times New Roman" w:hAnsi="Times New Roman" w:eastAsia="方正仿宋_GBK"/>
          <w:sz w:val="32"/>
          <w:szCs w:val="32"/>
          <w:shd w:val="clear" w:color="auto" w:fill="FFFFFF"/>
        </w:rPr>
        <w:t>9.87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与2023年度相比，减少56.88万元，下降85.2%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本年度疫情防控经费减少，差旅费减少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56.18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fill="FFFFFF"/>
          <w:lang w:eastAsia="zh-CN"/>
        </w:rPr>
        <w:t>办公费、差旅费、车辆运行维护费、</w:t>
      </w:r>
      <w:r>
        <w:rPr>
          <w:rFonts w:hint="eastAsia" w:ascii="方正仿宋_GBK" w:hAnsi="方正仿宋_GBK" w:eastAsia="方正仿宋_GBK" w:cs="方正仿宋_GBK"/>
          <w:sz w:val="32"/>
          <w:szCs w:val="32"/>
          <w:shd w:val="clear" w:fill="FFFFFF"/>
          <w:lang w:val="en-US" w:eastAsia="zh-CN"/>
        </w:rPr>
        <w:t>水电费、</w:t>
      </w:r>
      <w:r>
        <w:rPr>
          <w:rFonts w:hint="eastAsia" w:ascii="方正仿宋_GBK" w:hAnsi="方正仿宋_GBK" w:eastAsia="方正仿宋_GBK" w:cs="方正仿宋_GBK"/>
          <w:sz w:val="32"/>
          <w:szCs w:val="32"/>
          <w:shd w:val="clear" w:fill="FFFFFF"/>
          <w:lang w:eastAsia="zh-CN"/>
        </w:rPr>
        <w:t>其他交通费等。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较上年支出数增加0.42万元，增长0.8%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本年度公路建设项目增加，工作量增大，</w:t>
      </w:r>
      <w:r>
        <w:rPr>
          <w:rFonts w:hint="eastAsia" w:ascii="方正仿宋_GBK" w:hAnsi="方正仿宋_GBK" w:eastAsia="方正仿宋_GBK" w:cs="方正仿宋_GBK"/>
          <w:sz w:val="32"/>
          <w:szCs w:val="32"/>
          <w:shd w:val="clear" w:color="auto" w:fill="FFFFFF"/>
          <w:lang w:val="en-US" w:eastAsia="zh-CN"/>
        </w:rPr>
        <w:t>机关运行</w:t>
      </w:r>
      <w:r>
        <w:rPr>
          <w:rFonts w:hint="eastAsia" w:ascii="方正仿宋_GBK" w:hAnsi="方正仿宋_GBK" w:eastAsia="方正仿宋_GBK" w:cs="方正仿宋_GBK"/>
          <w:sz w:val="32"/>
          <w:szCs w:val="32"/>
          <w:shd w:val="clear" w:color="auto" w:fill="FFFFFF"/>
        </w:rPr>
        <w:t>经费增加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A4纸、电脑等办公用品</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预算绩效管理情况说明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110892.84</w:t>
      </w:r>
      <w:r>
        <w:rPr>
          <w:rFonts w:hint="default" w:ascii="Times New Roman" w:hAnsi="Times New Roman" w:eastAsia="方正仿宋_GBK" w:cs="Times New Roman"/>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lang w:val="en-US" w:eastAsia="zh-CN"/>
        </w:rPr>
        <w:t>二）</w:t>
      </w:r>
      <w:r>
        <w:rPr>
          <w:rFonts w:hint="eastAsia" w:ascii="方正楷体_GBK" w:hAnsi="方正楷体_GBK" w:eastAsia="方正楷体_GBK" w:cs="方正楷体_GBK"/>
          <w:b w:val="0"/>
          <w:bCs w:val="0"/>
          <w:sz w:val="32"/>
          <w:szCs w:val="32"/>
          <w:shd w:val="clear" w:color="auto" w:fill="FFFFFF"/>
        </w:rPr>
        <w:t>单位绩效评价情况</w:t>
      </w:r>
    </w:p>
    <w:tbl>
      <w:tblPr>
        <w:tblStyle w:val="6"/>
        <w:tblW w:w="8819" w:type="dxa"/>
        <w:tblInd w:w="0" w:type="dxa"/>
        <w:shd w:val="clear" w:color="auto" w:fill="auto"/>
        <w:tblLayout w:type="fixed"/>
        <w:tblCellMar>
          <w:top w:w="0" w:type="dxa"/>
          <w:left w:w="0" w:type="dxa"/>
          <w:bottom w:w="0" w:type="dxa"/>
          <w:right w:w="0" w:type="dxa"/>
        </w:tblCellMar>
      </w:tblPr>
      <w:tblGrid>
        <w:gridCol w:w="1242"/>
        <w:gridCol w:w="581"/>
        <w:gridCol w:w="423"/>
        <w:gridCol w:w="1127"/>
        <w:gridCol w:w="938"/>
        <w:gridCol w:w="1216"/>
        <w:gridCol w:w="504"/>
        <w:gridCol w:w="1127"/>
        <w:gridCol w:w="412"/>
        <w:gridCol w:w="487"/>
        <w:gridCol w:w="762"/>
      </w:tblGrid>
      <w:tr>
        <w:tblPrEx>
          <w:tblLayout w:type="fixed"/>
          <w:tblCellMar>
            <w:top w:w="0" w:type="dxa"/>
            <w:left w:w="0" w:type="dxa"/>
            <w:bottom w:w="0" w:type="dxa"/>
            <w:right w:w="0" w:type="dxa"/>
          </w:tblCellMar>
        </w:tblPrEx>
        <w:trPr>
          <w:trHeight w:val="8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Layout w:type="fixed"/>
          <w:tblCellMar>
            <w:top w:w="0" w:type="dxa"/>
            <w:left w:w="0" w:type="dxa"/>
            <w:bottom w:w="0" w:type="dxa"/>
            <w:right w:w="0" w:type="dxa"/>
          </w:tblCellMar>
        </w:tblPrEx>
        <w:trPr>
          <w:trHeight w:val="5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优惠人群补贴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50024022T000000130860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063-石柱土家族自治县交通运输委员会</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508-经济建设和产业发展科</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王文君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73326817</w:t>
            </w:r>
          </w:p>
        </w:tc>
      </w:tr>
      <w:tr>
        <w:tblPrEx>
          <w:shd w:val="clear" w:color="auto" w:fill="auto"/>
          <w:tblLayout w:type="fixed"/>
          <w:tblCellMar>
            <w:top w:w="0" w:type="dxa"/>
            <w:left w:w="0" w:type="dxa"/>
            <w:bottom w:w="0" w:type="dxa"/>
            <w:right w:w="0" w:type="dxa"/>
          </w:tblCellMar>
        </w:tblPrEx>
        <w:trPr>
          <w:trHeight w:val="6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资金情况</w:t>
            </w:r>
          </w:p>
        </w:tc>
      </w:tr>
      <w:tr>
        <w:tblPrEx>
          <w:shd w:val="clear" w:color="auto" w:fill="auto"/>
          <w:tblLayout w:type="fixed"/>
          <w:tblCellMar>
            <w:top w:w="0" w:type="dxa"/>
            <w:left w:w="0" w:type="dxa"/>
            <w:bottom w:w="0" w:type="dxa"/>
            <w:right w:w="0" w:type="dxa"/>
          </w:tblCellMar>
        </w:tblPrEx>
        <w:trPr>
          <w:trHeight w:val="500" w:hRule="atLeast"/>
        </w:trPr>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5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5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5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4,500,000.00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好贯彻落实城市公共交通优先发展理念，进一步发挥公共交通基础性出行保障作用，通过建立科学合理的公共交通票价优惠体系，规范公共交通票价优惠管理，促进公共交通可持续发展，保障市民特别是重点人群公共交通支出的可负担性。</w:t>
            </w:r>
          </w:p>
        </w:tc>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好贯彻落实城市公共交通优先发展理念，进一步发挥公共交通基础性出行保障作用，通过建立科学合理的公共交通票价优惠体系，规范公共交通票价优惠管理，促进公共交通可持续发展，保障市民特别是重点人群公共交通支出的可负担性。</w:t>
            </w:r>
          </w:p>
        </w:tc>
      </w:tr>
      <w:tr>
        <w:tblPrEx>
          <w:tblLayout w:type="fixed"/>
          <w:tblCellMar>
            <w:top w:w="0" w:type="dxa"/>
            <w:left w:w="0" w:type="dxa"/>
            <w:bottom w:w="0" w:type="dxa"/>
            <w:right w:w="0" w:type="dxa"/>
          </w:tblCellMar>
        </w:tblPrEx>
        <w:trPr>
          <w:trHeight w:val="6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补贴人次</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补贴准确性</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补贴工作及时性</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提高公交企业运营能力，减少亏损率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公交优先、绿色出行率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企业满意率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公交IC卡（老年卡）补助标准</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元/人·次</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8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Layout w:type="fixed"/>
          <w:tblCellMar>
            <w:top w:w="0" w:type="dxa"/>
            <w:left w:w="0" w:type="dxa"/>
            <w:bottom w:w="0" w:type="dxa"/>
            <w:right w:w="0" w:type="dxa"/>
          </w:tblCellMar>
        </w:tblPrEx>
        <w:trPr>
          <w:trHeight w:val="5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营运补贴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50024022T000000117625</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063-石柱土家族自治县交通运输委员会</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508-经济建设和产业发展科</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王文君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73326817</w:t>
            </w:r>
          </w:p>
        </w:tc>
      </w:tr>
      <w:tr>
        <w:tblPrEx>
          <w:tblLayout w:type="fixed"/>
          <w:tblCellMar>
            <w:top w:w="0" w:type="dxa"/>
            <w:left w:w="0" w:type="dxa"/>
            <w:bottom w:w="0" w:type="dxa"/>
            <w:right w:w="0" w:type="dxa"/>
          </w:tblCellMar>
        </w:tblPrEx>
        <w:trPr>
          <w:trHeight w:val="6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5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5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shd w:val="clear" w:color="auto" w:fill="auto"/>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50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7,800,000.00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第十九届县人民政府第30次常务会议纪要要求，为切实解决我县城区公家营运低票价成本高带来的亏损问题，确保公交企业健康稳定持续发展，将对我县公交车辆自2022年起采取定额包干补贴780万元，连续补贴4年。</w:t>
            </w:r>
          </w:p>
        </w:tc>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县城区公家营运低票价成本高带来的亏损问题，确保公交企业健康稳定持续发展，将对我县公交车辆自2022年起采取定额包干补贴780万元，连续补贴4年。</w:t>
            </w:r>
          </w:p>
        </w:tc>
      </w:tr>
      <w:tr>
        <w:tblPrEx>
          <w:shd w:val="clear" w:color="auto" w:fill="auto"/>
          <w:tblLayout w:type="fixed"/>
          <w:tblCellMar>
            <w:top w:w="0" w:type="dxa"/>
            <w:left w:w="0" w:type="dxa"/>
            <w:bottom w:w="0" w:type="dxa"/>
            <w:right w:w="0" w:type="dxa"/>
          </w:tblCellMar>
        </w:tblPrEx>
        <w:trPr>
          <w:trHeight w:val="600" w:hRule="atLeast"/>
        </w:trPr>
        <w:tc>
          <w:tcPr>
            <w:tcW w:w="881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补贴车辆台数</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满足群众出行需求</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项目实施期限</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降低企业亏损率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降低群众信访率</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8.89</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补贴金额</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9"/>
        <w:keepNext w:val="0"/>
        <w:keepLines w:val="0"/>
        <w:pageBreakBefore w:val="0"/>
        <w:kinsoku/>
        <w:wordWrap/>
        <w:overflowPunct/>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9"/>
        <w:keepNext w:val="0"/>
        <w:keepLines w:val="0"/>
        <w:pageBreakBefore w:val="0"/>
        <w:kinsoku/>
        <w:wordWrap/>
        <w:overflowPunct/>
        <w:autoSpaceDE w:val="0"/>
        <w:autoSpaceDN/>
        <w:bidi w:val="0"/>
        <w:adjustRightInd/>
        <w:spacing w:beforeAutospacing="0" w:afterAutospacing="0" w:line="560" w:lineRule="exact"/>
        <w:ind w:firstLine="643"/>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5"/>
        <w:keepNext w:val="0"/>
        <w:keepLines w:val="0"/>
        <w:pageBreakBefore w:val="0"/>
        <w:shd w:val="clear" w:color="auto" w:fill="FFFFFF"/>
        <w:kinsoku/>
        <w:wordWrap/>
        <w:overflowPunct/>
        <w:autoSpaceDN/>
        <w:bidi w:val="0"/>
        <w:adjustRightInd/>
        <w:spacing w:before="0" w:beforeAutospacing="0" w:after="0" w:afterAutospacing="0" w:line="560" w:lineRule="exact"/>
        <w:ind w:firstLine="640" w:firstLineChars="200"/>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六、专业名词解释</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（五）使用非财政拨款结余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 （九）基本支出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 （十六）对个人和家庭的补助（支出经济分类科目类级）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w:t>
      </w:r>
      <w:bookmarkStart w:id="0" w:name="_GoBack"/>
      <w:bookmarkEnd w:id="0"/>
      <w:r>
        <w:rPr>
          <w:rFonts w:ascii="方正仿宋_GBK" w:hAnsi="方正仿宋_GBK" w:eastAsia="方正仿宋_GBK" w:cs="方正仿宋_GBK"/>
          <w:sz w:val="32"/>
          <w:szCs w:val="32"/>
          <w:shd w:val="clear" w:color="auto" w:fill="FFFFFF"/>
        </w:rPr>
        <w:t>土地和无形资产，以及构建基础设施、大型修缮和财政支持企业更新改造所发生的支出。</w:t>
      </w:r>
    </w:p>
    <w:p>
      <w:pPr>
        <w:pStyle w:val="5"/>
        <w:keepNext w:val="0"/>
        <w:keepLines w:val="0"/>
        <w:pageBreakBefore w:val="0"/>
        <w:shd w:val="clear" w:color="auto" w:fill="FFFFFF"/>
        <w:kinsoku/>
        <w:wordWrap/>
        <w:overflowPunct/>
        <w:autoSpaceDN/>
        <w:bidi w:val="0"/>
        <w:adjustRightInd/>
        <w:spacing w:before="0" w:beforeAutospacing="0" w:after="0" w:afterAutospacing="0" w:line="560" w:lineRule="exact"/>
        <w:ind w:firstLine="640" w:firstLineChars="200"/>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七、决算公开联系方式及信息反馈渠道</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sz w:val="32"/>
          <w:szCs w:val="32"/>
          <w:shd w:val="clear" w:fill="FFFFFF"/>
          <w:lang w:val="en-US" w:eastAsia="zh-CN"/>
        </w:rPr>
      </w:pPr>
      <w:r>
        <w:rPr>
          <w:rFonts w:ascii="方正仿宋_GBK" w:hAnsi="方正仿宋_GBK" w:eastAsia="方正仿宋_GBK" w:cs="方正仿宋_GBK"/>
          <w:sz w:val="32"/>
          <w:szCs w:val="32"/>
          <w:shd w:val="clear" w:color="auto" w:fill="FFFFFF"/>
        </w:rPr>
        <w:t>本单位决算公开信息反馈和联系方</w:t>
      </w:r>
      <w:r>
        <w:rPr>
          <w:rFonts w:hint="default" w:ascii="Times New Roman" w:hAnsi="Times New Roman" w:eastAsia="方正仿宋_GBK" w:cs="Times New Roman"/>
          <w:sz w:val="32"/>
          <w:szCs w:val="32"/>
          <w:shd w:val="clear" w:color="auto" w:fill="FFFFFF"/>
        </w:rPr>
        <w:t>式：</w:t>
      </w:r>
      <w:r>
        <w:rPr>
          <w:rFonts w:hint="default" w:ascii="Times New Roman" w:hAnsi="Times New Roman" w:eastAsia="方正仿宋_GBK" w:cs="Times New Roman"/>
          <w:color w:val="000000"/>
          <w:sz w:val="32"/>
          <w:szCs w:val="32"/>
          <w:shd w:val="clear" w:fill="FFFFFF"/>
          <w:lang w:val="en-US"/>
        </w:rPr>
        <w:t>023-7332681</w:t>
      </w:r>
      <w:r>
        <w:rPr>
          <w:rFonts w:hint="default" w:ascii="Times New Roman" w:hAnsi="Times New Roman" w:eastAsia="方正仿宋_GBK" w:cs="Times New Roman"/>
          <w:color w:val="000000"/>
          <w:sz w:val="32"/>
          <w:szCs w:val="32"/>
          <w:shd w:val="clear" w:fill="FFFFFF"/>
          <w:lang w:val="en-US" w:eastAsia="zh-CN"/>
        </w:rPr>
        <w:t>7</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sz w:val="32"/>
          <w:szCs w:val="32"/>
          <w:shd w:val="clear" w:fill="FFFFFF"/>
          <w:lang w:val="en-US" w:eastAsia="zh-CN"/>
        </w:rPr>
      </w:pP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sz w:val="32"/>
          <w:szCs w:val="32"/>
          <w:shd w:val="clear" w:fill="FFFFFF"/>
          <w:lang w:val="en-US" w:eastAsia="zh-CN"/>
        </w:rPr>
      </w:pPr>
    </w:p>
    <w:p>
      <w:pPr>
        <w:pStyle w:val="5"/>
        <w:snapToGrid w:val="0"/>
        <w:spacing w:before="0" w:beforeAutospacing="0" w:after="0" w:afterAutospacing="0" w:line="596" w:lineRule="exact"/>
        <w:jc w:val="both"/>
        <w:rPr>
          <w:rFonts w:hint="default" w:ascii="方正仿宋_GBK" w:hAnsi="方正仿宋_GBK" w:eastAsia="方正仿宋_GBK" w:cs="方正仿宋_GBK"/>
          <w:color w:val="000000"/>
          <w:sz w:val="32"/>
          <w:szCs w:val="32"/>
          <w:shd w:val="clear" w:fill="FFFFFF"/>
          <w:lang w:val="en-US" w:eastAsia="zh-CN"/>
        </w:rPr>
        <w:sectPr>
          <w:headerReference r:id="rId3" w:type="default"/>
          <w:footerReference r:id="rId4" w:type="default"/>
          <w:pgSz w:w="11850" w:h="16783"/>
          <w:pgMar w:top="223" w:right="1474" w:bottom="0" w:left="1587" w:header="0" w:footer="283" w:gutter="0"/>
          <w:pgNumType w:fmt="numberInDash"/>
          <w:cols w:space="0" w:num="1"/>
          <w:rtlGutter w:val="0"/>
          <w:docGrid w:type="lines" w:linePitch="334" w:charSpace="0"/>
        </w:sectPr>
      </w:pPr>
    </w:p>
    <w:p>
      <w:pPr>
        <w:pStyle w:val="5"/>
        <w:snapToGrid w:val="0"/>
        <w:spacing w:before="0" w:beforeAutospacing="0" w:after="0" w:afterAutospacing="0" w:line="596" w:lineRule="exact"/>
        <w:jc w:val="both"/>
        <w:rPr>
          <w:rFonts w:hint="default" w:ascii="方正仿宋_GBK" w:hAnsi="方正仿宋_GBK" w:eastAsia="方正仿宋_GBK" w:cs="方正仿宋_GBK"/>
          <w:color w:val="000000"/>
          <w:sz w:val="32"/>
          <w:szCs w:val="32"/>
          <w:shd w:val="clear" w:fill="FFFFFF"/>
          <w:lang w:val="en-US" w:eastAsia="zh-CN"/>
        </w:rPr>
      </w:pPr>
    </w:p>
    <w:tbl>
      <w:tblPr>
        <w:tblStyle w:val="6"/>
        <w:tblW w:w="21781" w:type="dxa"/>
        <w:jc w:val="center"/>
        <w:tblInd w:w="1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6"/>
        <w:gridCol w:w="1327"/>
        <w:gridCol w:w="3209"/>
        <w:gridCol w:w="7117"/>
        <w:gridCol w:w="1327"/>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178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336"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石柱土家族自治县交通运输委员会本级</w:t>
            </w:r>
          </w:p>
        </w:tc>
        <w:tc>
          <w:tcPr>
            <w:tcW w:w="244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336"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44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0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88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527,548,588.69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293,476,100.00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209"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947,665.12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273,319.24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129,476,100.00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525,995,152.77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263,631.56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164,000,000.00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821,024,688.69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24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821,024,688.69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2445"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20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32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3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2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821,024,688.69 </w:t>
            </w:r>
          </w:p>
        </w:tc>
        <w:tc>
          <w:tcPr>
            <w:tcW w:w="71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2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821,024,688.69</w:t>
            </w:r>
          </w:p>
        </w:tc>
      </w:tr>
    </w:tbl>
    <w:p>
      <w:pPr>
        <w:pStyle w:val="9"/>
        <w:numPr>
          <w:ilvl w:val="0"/>
          <w:numId w:val="0"/>
        </w:numPr>
        <w:autoSpaceDE w:val="0"/>
        <w:rPr>
          <w:rFonts w:hint="eastAsia" w:ascii="宋体" w:hAnsi="宋体" w:eastAsia="宋体" w:cs="宋体"/>
          <w:sz w:val="21"/>
          <w:szCs w:val="21"/>
          <w:lang w:val="en-US" w:eastAsia="zh-CN"/>
        </w:rPr>
        <w:sectPr>
          <w:footerReference r:id="rId5" w:type="default"/>
          <w:pgSz w:w="23757" w:h="16783" w:orient="landscape"/>
          <w:pgMar w:top="1587" w:right="223" w:bottom="1474" w:left="0" w:header="0" w:footer="283" w:gutter="0"/>
          <w:pgNumType w:fmt="numberInDash"/>
          <w:cols w:space="0" w:num="1"/>
          <w:rtlGutter w:val="0"/>
          <w:docGrid w:type="lines" w:linePitch="334"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石柱土家族自治县交通运输委员会本级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821,024,688.69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821,024,688.69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452,045.00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452,045.00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307,977.08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307,977.08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161,195.04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161,195.04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191,419.24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191,419.24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129,476,100.00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129,476,100.00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123,763,800.00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123,763,800.00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5,777,700.00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5,777,700.00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国有土地收益基金安排的支出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5,712,300.00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5,712,300.00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525,995,152.77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525,995,152.77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525,753,550.77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525,753,550.77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2,751,456.77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2,751,456.77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509,700,094.00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509,700,094.00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公路运输管理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铁路运输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241,602.00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241,602.00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铁路路网建设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241,602.00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241,602.00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263,631.56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263,631.56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石柱土家族自治县交通运输委员会本级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821,024,688.69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4,236,072.69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816,788,616.00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947,665.12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452,045.00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452,045.00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307,977.08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307,977.08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161,195.04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161,195.04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273,319.24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191,419.24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191,419.24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129,476,100.00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129,476,100.00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123,763,800.00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123,763,800.00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5,777,700.00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5,777,700.00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国有土地收益基金安排的支出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5,712,300.00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5,712,300.00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525,995,152.77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2,751,456.77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523,243,696.00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525,753,550.77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2,751,456.77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523,002,094.00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2,751,456.77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2,751,456.77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509,700,094.00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509,700,094.00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公路运输管理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铁路运输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241,602.00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241,602.00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铁路路网建设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241,602.00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241,602.00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263,631.56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263,631.56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263,631.56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石柱土家族自治县交通运输委员会本级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527,548,588.69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68,820.00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68,820.00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293,476,100.00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947,665.12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947,665.12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273,319.24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273,319.24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129,476,100.00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129,476,100.00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525,995,152.77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525,995,152.77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263,631.56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263,631.56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164,000,000.00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821,024,688.69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821,024,688.69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527,548,588.69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293,476,100.00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821,024,688.69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821,024,688.69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527,548,588.69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293,476,100.00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石柱土家族自治县交通运输委员会本级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527,548,588.69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4,236,072.69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523,312,516.00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527,548,588.69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4,236,072.69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523,312,516.00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68,820.00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68,820.00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68,820.00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68,820.00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947,665.12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452,045.00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452,045.00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452,045.00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452,045.00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307,977.08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307,977.08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307,977.08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307,977.08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161,195.04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161,195.04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161,195.04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161,195.04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26,448.00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26,448.00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26,448.00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26,448.00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273,319.24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191,419.24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191,419.24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191,419.24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191,419.24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525,995,152.77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2,751,456.77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523,243,696.00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525,995,152.77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2,751,456.77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523,243,696.00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525,753,550.77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2,751,456.77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523,002,094.00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525,753,550.77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2,751,456.77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523,002,094.00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2,751,456.77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2,751,456.77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2,751,456.77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2,751,456.77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509,700,094.00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509,700,094.00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509,700,094.00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509,700,094.00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公路运输管理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铁路运输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241,602.00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241,602.00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241,602.00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241,602.00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铁路路网建设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241,602.00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241,602.00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241,602.00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241,602.00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263,631.56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263,631.56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263,631.56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263,631.56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263,631.56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石柱土家族自治县交通运输委员会本级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3,143,307.43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558,272.26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761,828.00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571,505.00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840,231.00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307,977.08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161,195.04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64,366.00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201,494.31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6,045.44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75,900.00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263,631.56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530,993.00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478,493.00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71,106.26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3,674,300.43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561,772.26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石柱土家族自治县交通运输委员会本级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293,476,100.00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293,476,100.00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293,476,100.00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293,476,100.00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129,476,100.00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129,476,100.00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129,476,100.00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129,476,100.00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123,763,800.00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123,763,800.00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123,763,800.00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123,763,800.00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征地和拆迁补偿支出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5,777,700.00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5,777,700.00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5,777,700.00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5,777,700.00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国有土地收益基金安排的支出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5,712,300.00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5,712,300.00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5,712,300.00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5,712,300.00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征地和拆迁补偿支出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164,000,000.00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164,000,000.00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164,000,000.00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164,000,000.00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164,000,000.00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石柱土家族自治县交通运输委员会本级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石柱土家族自治县交通运输委员会本级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561,772.26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73,100.00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561,772.26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10,000.00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98,740.00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keepLines w:val="0"/>
      <w:pageBreakBefore w:val="0"/>
      <w:widowControl/>
      <w:kinsoku/>
      <w:wordWrap/>
      <w:overflowPunct/>
      <w:topLinePunct w:val="0"/>
      <w:autoSpaceDE/>
      <w:autoSpaceDN/>
      <w:bidi w:val="0"/>
      <w:adjustRightInd/>
      <w:snapToGrid w:val="0"/>
      <w:jc w:val="both"/>
      <w:textAlignment w:val="auto"/>
      <w:rPr>
        <w:rFonts w:hint="default"/>
      </w:rPr>
    </w:pPr>
    <w: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ge">
                <wp:posOffset>14737080</wp:posOffset>
              </wp:positionV>
              <wp:extent cx="1828800" cy="2209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FrN8BxcCAAAUBAAADgAAAGRycy9lMm9Eb2MueG1srVPN&#10;jtMwEL4j8Q6W7zRpUVe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5fT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AWs3wH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0D2D739B"/>
    <w:multiLevelType w:val="singleLevel"/>
    <w:tmpl w:val="0D2D739B"/>
    <w:lvl w:ilvl="0" w:tentative="0">
      <w:start w:val="1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C01F27"/>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74727A"/>
    <w:rsid w:val="189B0D0B"/>
    <w:rsid w:val="194A1770"/>
    <w:rsid w:val="19917D9C"/>
    <w:rsid w:val="19B906A4"/>
    <w:rsid w:val="19BF50B6"/>
    <w:rsid w:val="1A1F744B"/>
    <w:rsid w:val="1A3F0BE5"/>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961550"/>
    <w:rsid w:val="27167136"/>
    <w:rsid w:val="275125A3"/>
    <w:rsid w:val="27B23302"/>
    <w:rsid w:val="29310A5F"/>
    <w:rsid w:val="293A22B8"/>
    <w:rsid w:val="29C37A35"/>
    <w:rsid w:val="29C95E09"/>
    <w:rsid w:val="2A076083"/>
    <w:rsid w:val="2A73162E"/>
    <w:rsid w:val="2B167953"/>
    <w:rsid w:val="2B200583"/>
    <w:rsid w:val="2B8209DE"/>
    <w:rsid w:val="2C161D32"/>
    <w:rsid w:val="2C2D3EC7"/>
    <w:rsid w:val="2C6762A3"/>
    <w:rsid w:val="2D8D2A49"/>
    <w:rsid w:val="2FE029D7"/>
    <w:rsid w:val="2FF06E00"/>
    <w:rsid w:val="309B0493"/>
    <w:rsid w:val="315D199F"/>
    <w:rsid w:val="315F0B22"/>
    <w:rsid w:val="31D84415"/>
    <w:rsid w:val="32285F6F"/>
    <w:rsid w:val="32770556"/>
    <w:rsid w:val="329C0913"/>
    <w:rsid w:val="3337290D"/>
    <w:rsid w:val="352930DB"/>
    <w:rsid w:val="35573069"/>
    <w:rsid w:val="3582594D"/>
    <w:rsid w:val="358C217E"/>
    <w:rsid w:val="359F188C"/>
    <w:rsid w:val="362D2433"/>
    <w:rsid w:val="36C9128A"/>
    <w:rsid w:val="37841E99"/>
    <w:rsid w:val="37BF1123"/>
    <w:rsid w:val="37F26E25"/>
    <w:rsid w:val="38BE4696"/>
    <w:rsid w:val="39166507"/>
    <w:rsid w:val="39B82A39"/>
    <w:rsid w:val="39F33306"/>
    <w:rsid w:val="3A6F72CC"/>
    <w:rsid w:val="3B1705E5"/>
    <w:rsid w:val="3B18334B"/>
    <w:rsid w:val="3B36794F"/>
    <w:rsid w:val="3B544954"/>
    <w:rsid w:val="3BF014AD"/>
    <w:rsid w:val="3C6A5B02"/>
    <w:rsid w:val="3D2757A1"/>
    <w:rsid w:val="3D3D4FC4"/>
    <w:rsid w:val="3DA92A5A"/>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A05683"/>
    <w:rsid w:val="554E5773"/>
    <w:rsid w:val="555A3CBC"/>
    <w:rsid w:val="56530F5D"/>
    <w:rsid w:val="5842572D"/>
    <w:rsid w:val="584432DE"/>
    <w:rsid w:val="5AE75037"/>
    <w:rsid w:val="5B58571C"/>
    <w:rsid w:val="5B683745"/>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2910E9"/>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5C6690"/>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8B1D7F"/>
    <w:rsid w:val="7BD06A28"/>
    <w:rsid w:val="7C1E4CD7"/>
    <w:rsid w:val="7C3A7C0B"/>
    <w:rsid w:val="7C5248E4"/>
    <w:rsid w:val="7C566698"/>
    <w:rsid w:val="7FA960B8"/>
    <w:rsid w:val="7FC4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索引 51"/>
    <w:basedOn w:val="1"/>
    <w:next w:val="1"/>
    <w:qFormat/>
    <w:uiPriority w:val="0"/>
    <w:pPr>
      <w:ind w:left="168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24</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JYCW</cp:lastModifiedBy>
  <dcterms:modified xsi:type="dcterms:W3CDTF">2025-10-13T01:56:38Z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