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autoSpaceDN/>
        <w:bidi w:val="0"/>
        <w:adjustRightInd/>
        <w:spacing w:before="0" w:beforeAutospacing="0" w:after="0" w:afterAutospacing="0" w:line="560" w:lineRule="exact"/>
        <w:jc w:val="center"/>
        <w:rPr>
          <w:rFonts w:hint="default" w:ascii="Times New Roman" w:hAnsi="Times New Roman" w:eastAsia="方正小标宋_GBK" w:cs="Times New Roman"/>
          <w:color w:val="auto"/>
          <w:sz w:val="36"/>
          <w:szCs w:val="36"/>
          <w:highlight w:val="none"/>
          <w:shd w:val="clear" w:color="auto" w:fill="FFFFFF"/>
        </w:rPr>
      </w:pPr>
      <w:r>
        <w:rPr>
          <w:rFonts w:hint="default" w:ascii="Times New Roman" w:hAnsi="Times New Roman" w:eastAsia="方正小标宋_GBK" w:cs="Times New Roman"/>
          <w:color w:val="auto"/>
          <w:sz w:val="36"/>
          <w:szCs w:val="36"/>
          <w:highlight w:val="none"/>
        </w:rPr>
        <w:t>重庆市石柱土家族自治县经济和信息化委员会</w:t>
      </w:r>
      <w:r>
        <w:rPr>
          <w:rFonts w:hint="default" w:ascii="Times New Roman" w:hAnsi="Times New Roman" w:eastAsia="方正小标宋_GBK" w:cs="Times New Roman"/>
          <w:color w:val="auto"/>
          <w:sz w:val="36"/>
          <w:szCs w:val="36"/>
          <w:highlight w:val="none"/>
          <w:shd w:val="clear" w:color="auto" w:fill="FFFFFF"/>
        </w:rPr>
        <w:t>2023年度决算公开说明</w:t>
      </w:r>
    </w:p>
    <w:p>
      <w:pPr>
        <w:pStyle w:val="6"/>
        <w:keepNext w:val="0"/>
        <w:keepLines w:val="0"/>
        <w:pageBreakBefore w:val="0"/>
        <w:widowControl/>
        <w:kinsoku/>
        <w:overflowPunct/>
        <w:autoSpaceDN/>
        <w:bidi w:val="0"/>
        <w:adjustRightInd/>
        <w:spacing w:before="0" w:beforeAutospacing="0" w:after="0" w:afterAutospacing="0" w:line="560" w:lineRule="exact"/>
        <w:jc w:val="center"/>
        <w:rPr>
          <w:rFonts w:hint="eastAsia" w:ascii="Times New Roman" w:hAnsi="Times New Roman" w:eastAsia="方正小标宋_GBK" w:cs="Times New Roman"/>
          <w:color w:val="auto"/>
          <w:sz w:val="36"/>
          <w:szCs w:val="36"/>
          <w:highlight w:val="none"/>
          <w:shd w:val="clear" w:color="auto" w:fill="FFFFFF"/>
          <w:lang w:val="en-US" w:eastAsia="zh-CN"/>
        </w:rPr>
      </w:pPr>
    </w:p>
    <w:p>
      <w:pPr>
        <w:pStyle w:val="6"/>
        <w:keepNext w:val="0"/>
        <w:keepLines w:val="0"/>
        <w:pageBreakBefore w:val="0"/>
        <w:widowControl/>
        <w:shd w:val="clear" w:color="auto" w:fill="FFFFFF"/>
        <w:kinsoku/>
        <w:overflowPunct/>
        <w:autoSpaceDN/>
        <w:bidi w:val="0"/>
        <w:adjustRightInd/>
        <w:spacing w:before="0" w:beforeAutospacing="0" w:after="0" w:afterAutospacing="0" w:line="560" w:lineRule="exact"/>
        <w:ind w:firstLine="640" w:firstLineChars="200"/>
        <w:rPr>
          <w:rFonts w:hint="default" w:ascii="Times New Roman" w:hAnsi="Times New Roman" w:eastAsia="方正黑体_GBK" w:cs="Times New Roman"/>
          <w:b w:val="0"/>
          <w:bCs/>
          <w:color w:val="auto"/>
          <w:sz w:val="32"/>
          <w:szCs w:val="32"/>
          <w:highlight w:val="none"/>
        </w:rPr>
      </w:pPr>
      <w:r>
        <w:rPr>
          <w:rStyle w:val="10"/>
          <w:rFonts w:hint="default" w:ascii="Times New Roman" w:hAnsi="Times New Roman" w:eastAsia="方正黑体_GBK" w:cs="Times New Roman"/>
          <w:b w:val="0"/>
          <w:bCs/>
          <w:color w:val="auto"/>
          <w:sz w:val="32"/>
          <w:szCs w:val="32"/>
          <w:highlight w:val="none"/>
          <w:shd w:val="clear" w:color="auto" w:fill="FFFFFF"/>
        </w:rPr>
        <w:t>一、部门基本情况</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（一）职能职责</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1.贯彻执行有关工业和信息化、中小企业发展、科技创新、利用内外资和投资促进、军民融合发展、大数据、国防科技工业的法律、法规和方针、政策，负责拟订相关领域规范性文件，并组织实施。</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2.负责拟订工业和信息化、中小企业发展、科技创新、军民融合、大数据、人工智能、国防科技工业等领域发展规划和年度计划，并组织实施；负责拟订工业调控目标，并贯彻落实。</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负责拟订全县创新驱动发展战略，拟订科技对外交流与创新能力开放合作的规划、政策和措施，并组织实施；负责拟订高新技术发展及产业化、科技促进农业农村和社会发展规划、政策和措施，并组织实施；组织拟订工业和信息化领域的人才建设、科技人才队伍建设规划和政策，建立健全科技人才评价和激励机制，并组织实施。</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4.负责拟订全县招商投资促进工作考核办法，并组织实施；负责组织拟订全县招商投资促进发展中长期规划和招商投资促进政策及措施，并组织实施；指导协调全县内外资招商投资促进工作。</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5.负责提出工业和信息化固定资产投资规模和投资方向；负责全县工业经济发展、工业经济结构调整和产业企业布局调整。</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6.负责推进小企业创业基地建设；负责指导中小企业、民营企业的维权投诉工作。</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负责信息基础设施建设的规划、协调和管理，统筹推进信息化工作；承担相关信息安全监管工作；会同有关部门加强对信息网络安全技术、设备和产品的监督管理工作；负责跨行业、跨部门面向社会服务网络的互联互通；负责推进电信、广播电视和计算机网络融合发展；负责协调电信市场涉及社会公共利益的重大事宜；依法负责无线电频率资源管理；依法监督、管理无线电台（站）。</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负责软件和信息服务业产业发展和行业管理；负责电力、天然气、压缩天然气、液化天然气、盐业、液化石油气、醇基燃料等行业的管理和行政执法工作，负责工业节能监察行政执法，具体执法工作交由综合执法机构承担，并以部门名义统一执法；负责电力、天然气、煤炭等重要能源的日常运行调度管理；负责协调电力、天然气、电信线缆设施保护工作。</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9.负责工业企业资源综合利用、能源节约和清洁生产工作。</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10.负责办理权限内工业投资项目审批、核准和备案工作；负责工业和信息产业投资有关工作。</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负责监测、分析工业和信息产业经济运行态势；承担工业企业、中小企业分析和预测、监测工作，并提出措施和建议；负责协调解决经济运行中的重大问题，并提出措施和建议；负责指导县内工业企业建立现代企业制度；负责工业企业培训体系的建设和管理；负责工业企业减负工作；负责指导全县微型企业创业扶持工作。</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12.统筹推进全县科技体制改革，会同有关部门健全科技创新激励机制；优化科研体系建设，指导科研诚信建设和科研机构改革发展，推动企业科技创新能力建设。</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13.统筹推进全县科技创新体系建设，指导全县创新发展、科技资源合理布局和协同创新能力建设，推动科技园区建设；承担引进科技创新资源、科技型企业培育、科技宣传等工作。</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14.统筹推进全县科技管理平台建设和科研项目计划并监督实施；会同有关部门提出优化配置科技资源的政策措施建议，推动多元化科技投入体系建设和科技金融结合，推动科技资源开放共享。</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15.贯彻执行科技成果转移转化和促进产学研结合的相关政策措施；负责外国专家的管理工作。</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16负责数据资源建设、管理，促进大数据政用、民用、商用；负责推进全县政府数据采集汇聚、登记管理、共享开放。</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17.负责全县大数据应用发展管理，统筹推进大数据、人工智能等新一代信息技术在国民经济各领域融合应用。</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18.贯彻落实中央有关军民融合发展、国防科技工业的方针政策、决策部署和市委有关工作要求及县委有关工作安排，承办市委军民融合发展委员会办公室交办工作，综合协调全县军民融合发展有关工作。</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19.负责电力、民爆、城市门站内城镇天然气、压缩天然气、液化天然气、液化石油气、二甲醚和醇基燃料、盐业、通信等行业的安全生产监督管理工作；负责农村水电站网内的安全生产监督管理工作；负责职责范围内核准的工业企业新建、技改、扩建项目的安全生产监督管理工作。</w:t>
      </w:r>
    </w:p>
    <w:p>
      <w:pPr>
        <w:keepNext w:val="0"/>
        <w:keepLines w:val="0"/>
        <w:pageBreakBefore w:val="0"/>
        <w:widowControl/>
        <w:shd w:val="clear" w:color="auto" w:fill="FFFFFF"/>
        <w:kinsoku/>
        <w:overflowPunct/>
        <w:topLinePunct/>
        <w:autoSpaceDN/>
        <w:bidi w:val="0"/>
        <w:adjustRightInd/>
        <w:spacing w:beforeAutospacing="0" w:afterAutospacing="0" w:line="560" w:lineRule="exact"/>
        <w:ind w:firstLine="640" w:firstLineChars="200"/>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20.负责招商引资，引进优质企业项目，为企业提供后续服务。</w:t>
      </w:r>
    </w:p>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bookmarkStart w:id="0" w:name="OLE_LINK4"/>
      <w:bookmarkStart w:id="1" w:name="OLE_LINK3"/>
      <w:r>
        <w:rPr>
          <w:rFonts w:hint="default" w:ascii="Times New Roman" w:hAnsi="Times New Roman" w:eastAsia="方正仿宋_GBK" w:cs="Times New Roman"/>
          <w:color w:val="auto"/>
          <w:sz w:val="32"/>
          <w:szCs w:val="32"/>
          <w:highlight w:val="none"/>
        </w:rPr>
        <w:t>21.关于工业企业的安全生产监督管理按照有关法律、法规及市委、市政府和县委、县政府有关规定执行。</w:t>
      </w:r>
    </w:p>
    <w:bookmarkEnd w:id="0"/>
    <w:bookmarkEnd w:id="1"/>
    <w:p>
      <w:pPr>
        <w:pStyle w:val="6"/>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bookmarkStart w:id="2" w:name="OLE_LINK1"/>
      <w:bookmarkStart w:id="3" w:name="OLE_LINK2"/>
      <w:r>
        <w:rPr>
          <w:rFonts w:hint="default" w:ascii="Times New Roman" w:hAnsi="Times New Roman" w:eastAsia="方正仿宋_GBK" w:cs="Times New Roman"/>
          <w:color w:val="auto"/>
          <w:sz w:val="32"/>
          <w:szCs w:val="32"/>
          <w:highlight w:val="none"/>
        </w:rPr>
        <w:t>22.负责机关及直属单位的党建工作，指导工业园区外工业企业党建工作。</w:t>
      </w:r>
    </w:p>
    <w:bookmarkEnd w:id="2"/>
    <w:bookmarkEnd w:id="3"/>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仿宋_GBK" w:cs="Times New Roman"/>
          <w:color w:val="auto"/>
          <w:sz w:val="32"/>
          <w:szCs w:val="24"/>
          <w:highlight w:val="none"/>
        </w:rPr>
      </w:pPr>
      <w:r>
        <w:rPr>
          <w:rFonts w:hint="default" w:ascii="Times New Roman" w:hAnsi="Times New Roman" w:eastAsia="方正仿宋_GBK" w:cs="Times New Roman"/>
          <w:color w:val="auto"/>
          <w:sz w:val="32"/>
          <w:szCs w:val="24"/>
          <w:highlight w:val="none"/>
        </w:rPr>
        <w:t>23.完成县委、县政府交办的其他任务。</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rPr>
        <w:t>（二）</w:t>
      </w:r>
      <w:r>
        <w:rPr>
          <w:rFonts w:hint="default" w:ascii="Times New Roman" w:hAnsi="Times New Roman" w:eastAsia="方正楷体_GBK" w:cs="Times New Roman"/>
          <w:color w:val="auto"/>
          <w:sz w:val="32"/>
          <w:szCs w:val="32"/>
          <w:highlight w:val="none"/>
          <w:lang w:val="en-US" w:eastAsia="zh-CN"/>
        </w:rPr>
        <w:t>机构设置</w:t>
      </w:r>
    </w:p>
    <w:p>
      <w:pPr>
        <w:keepNext w:val="0"/>
        <w:keepLines w:val="0"/>
        <w:pageBreakBefore w:val="0"/>
        <w:widowControl/>
        <w:kinsoku/>
        <w:overflowPunct/>
        <w:topLinePunct/>
        <w:autoSpaceDN/>
        <w:bidi w:val="0"/>
        <w:adjustRightInd/>
        <w:spacing w:beforeAutospacing="0" w:afterAutospacing="0" w:line="56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石柱土家族自治县经济和信息化委员会</w:t>
      </w:r>
      <w:r>
        <w:rPr>
          <w:rFonts w:hint="default" w:ascii="Times New Roman" w:hAnsi="Times New Roman" w:eastAsia="方正仿宋_GBK" w:cs="Times New Roman"/>
          <w:color w:val="auto"/>
          <w:sz w:val="32"/>
          <w:szCs w:val="32"/>
          <w:highlight w:val="none"/>
          <w:lang w:val="en-US" w:eastAsia="zh-CN"/>
        </w:rPr>
        <w:t>包括</w:t>
      </w:r>
      <w:r>
        <w:rPr>
          <w:rFonts w:hint="default" w:ascii="Times New Roman" w:hAnsi="Times New Roman" w:eastAsia="方正仿宋_GBK" w:cs="Times New Roman"/>
          <w:color w:val="auto"/>
          <w:sz w:val="32"/>
          <w:szCs w:val="32"/>
          <w:highlight w:val="none"/>
        </w:rPr>
        <w:t>综合科、财务科、经济运行科、投资规划科、行业管理科（行政许可服务科）、企业服务科、科技发展科、信息化科、招商促进科、数据资源管理科、大数据应用推广科（军民融合科）、安全科十二个内设科室；</w:t>
      </w:r>
      <w:r>
        <w:rPr>
          <w:rFonts w:hint="default" w:ascii="Times New Roman" w:hAnsi="Times New Roman" w:eastAsia="方正仿宋_GBK" w:cs="Times New Roman"/>
          <w:color w:val="auto"/>
          <w:sz w:val="32"/>
          <w:szCs w:val="32"/>
          <w:highlight w:val="none"/>
          <w:lang w:val="en-US" w:eastAsia="zh-CN"/>
        </w:rPr>
        <w:t>包括</w:t>
      </w:r>
      <w:r>
        <w:rPr>
          <w:rFonts w:hint="default" w:ascii="Times New Roman" w:hAnsi="Times New Roman" w:eastAsia="方正仿宋_GBK" w:cs="Times New Roman"/>
          <w:color w:val="auto"/>
          <w:sz w:val="32"/>
          <w:szCs w:val="32"/>
          <w:highlight w:val="none"/>
        </w:rPr>
        <w:t>县经济和信息化行政执法支队、县中小企业发展指导中心、县</w:t>
      </w:r>
      <w:r>
        <w:rPr>
          <w:rFonts w:hint="default" w:ascii="Times New Roman" w:hAnsi="Times New Roman" w:eastAsia="方正仿宋_GBK" w:cs="Times New Roman"/>
          <w:color w:val="auto"/>
          <w:sz w:val="32"/>
          <w:szCs w:val="32"/>
          <w:highlight w:val="none"/>
          <w:lang w:eastAsia="zh-CN"/>
        </w:rPr>
        <w:t>大数据</w:t>
      </w:r>
      <w:r>
        <w:rPr>
          <w:rFonts w:hint="default" w:ascii="Times New Roman" w:hAnsi="Times New Roman" w:eastAsia="方正仿宋_GBK" w:cs="Times New Roman"/>
          <w:color w:val="auto"/>
          <w:sz w:val="32"/>
          <w:szCs w:val="32"/>
          <w:highlight w:val="none"/>
        </w:rPr>
        <w:t>发展中心、县生产力促进中心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县</w:t>
      </w:r>
      <w:r>
        <w:rPr>
          <w:rFonts w:hint="default" w:ascii="Times New Roman" w:hAnsi="Times New Roman" w:eastAsia="方正仿宋_GBK" w:cs="Times New Roman"/>
          <w:color w:val="auto"/>
          <w:sz w:val="32"/>
          <w:szCs w:val="24"/>
          <w:highlight w:val="none"/>
          <w:shd w:val="clear" w:color="auto" w:fill="FFFFFF"/>
        </w:rPr>
        <w:t>投资促中心</w:t>
      </w:r>
      <w:r>
        <w:rPr>
          <w:rFonts w:hint="default" w:ascii="Times New Roman" w:hAnsi="Times New Roman" w:eastAsia="方正仿宋_GBK" w:cs="Times New Roman"/>
          <w:color w:val="auto"/>
          <w:sz w:val="32"/>
          <w:szCs w:val="24"/>
          <w:highlight w:val="none"/>
          <w:shd w:val="clear" w:color="auto" w:fill="FFFFFF"/>
          <w:lang w:eastAsia="zh-CN"/>
        </w:rPr>
        <w:t>、</w:t>
      </w:r>
      <w:r>
        <w:rPr>
          <w:rFonts w:hint="default" w:ascii="Times New Roman" w:hAnsi="Times New Roman" w:eastAsia="方正仿宋_GBK" w:cs="Times New Roman"/>
          <w:color w:val="auto"/>
          <w:sz w:val="32"/>
          <w:szCs w:val="24"/>
          <w:highlight w:val="none"/>
          <w:shd w:val="clear" w:color="auto" w:fill="FFFFFF"/>
          <w:lang w:val="en-US" w:eastAsia="zh-CN"/>
        </w:rPr>
        <w:t>县招商服务站</w:t>
      </w: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rPr>
        <w:t>个独立核算的直属事业单位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其中，</w:t>
      </w:r>
      <w:r>
        <w:rPr>
          <w:rFonts w:hint="default" w:ascii="Times New Roman" w:hAnsi="Times New Roman" w:eastAsia="方正仿宋_GBK" w:cs="Times New Roman"/>
          <w:color w:val="auto"/>
          <w:sz w:val="32"/>
          <w:szCs w:val="32"/>
          <w:highlight w:val="none"/>
          <w:lang w:eastAsia="zh-CN"/>
        </w:rPr>
        <w:t>县中小企业发展指导中心</w:t>
      </w:r>
      <w:r>
        <w:rPr>
          <w:rFonts w:hint="default" w:ascii="Times New Roman" w:hAnsi="Times New Roman" w:eastAsia="方正仿宋_GBK" w:cs="Times New Roman"/>
          <w:color w:val="auto"/>
          <w:sz w:val="32"/>
          <w:szCs w:val="32"/>
          <w:highlight w:val="none"/>
          <w:lang w:val="en-US" w:eastAsia="zh-CN"/>
        </w:rPr>
        <w:t>设有3</w:t>
      </w:r>
      <w:r>
        <w:rPr>
          <w:rFonts w:hint="default" w:ascii="Times New Roman" w:hAnsi="Times New Roman" w:eastAsia="方正仿宋_GBK" w:cs="Times New Roman"/>
          <w:color w:val="auto"/>
          <w:sz w:val="32"/>
          <w:szCs w:val="32"/>
          <w:highlight w:val="none"/>
        </w:rPr>
        <w:t>个内设科室</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县投资促中心有5个内设科室。</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lang w:val="en-US" w:eastAsia="zh-CN" w:bidi="ar"/>
        </w:rPr>
        <w:t>（三）单位构成。</w:t>
      </w:r>
      <w:r>
        <w:rPr>
          <w:rFonts w:hint="default" w:ascii="Times New Roman" w:hAnsi="Times New Roman" w:eastAsia="方正仿宋_GBK" w:cs="Times New Roman"/>
          <w:color w:val="auto"/>
          <w:sz w:val="32"/>
          <w:szCs w:val="32"/>
          <w:highlight w:val="none"/>
          <w:lang w:eastAsia="zh-CN"/>
        </w:rPr>
        <w:t>从预算单位构成看，纳入本部门202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年度决算编制的二级预算单位主要包括县</w:t>
      </w:r>
      <w:r>
        <w:rPr>
          <w:rFonts w:hint="default" w:ascii="Times New Roman" w:hAnsi="Times New Roman" w:eastAsia="方正仿宋_GBK" w:cs="Times New Roman"/>
          <w:color w:val="auto"/>
          <w:sz w:val="32"/>
          <w:szCs w:val="32"/>
          <w:highlight w:val="none"/>
          <w:lang w:val="en-US" w:eastAsia="zh-CN"/>
        </w:rPr>
        <w:t>经济信息委机关、</w:t>
      </w:r>
      <w:r>
        <w:rPr>
          <w:rFonts w:hint="default" w:ascii="Times New Roman" w:hAnsi="Times New Roman" w:eastAsia="方正仿宋_GBK" w:cs="Times New Roman"/>
          <w:color w:val="auto"/>
          <w:sz w:val="32"/>
          <w:szCs w:val="32"/>
          <w:highlight w:val="none"/>
          <w:lang w:eastAsia="zh-CN"/>
        </w:rPr>
        <w:t>县中小企业发展指导中心、县经济和信息化行政执法支队、县大数据发展中心、县生产力促进中心、县投资促中心、</w:t>
      </w:r>
      <w:r>
        <w:rPr>
          <w:rFonts w:hint="default" w:ascii="Times New Roman" w:hAnsi="Times New Roman" w:eastAsia="方正仿宋_GBK" w:cs="Times New Roman"/>
          <w:color w:val="auto"/>
          <w:sz w:val="32"/>
          <w:szCs w:val="32"/>
          <w:highlight w:val="none"/>
          <w:lang w:val="en-US" w:eastAsia="zh-CN"/>
        </w:rPr>
        <w:t>县招商服务站</w:t>
      </w:r>
      <w:r>
        <w:rPr>
          <w:rFonts w:hint="default" w:ascii="Times New Roman" w:hAnsi="Times New Roman" w:eastAsia="方正仿宋_GBK" w:cs="Times New Roman"/>
          <w:color w:val="auto"/>
          <w:sz w:val="32"/>
          <w:szCs w:val="32"/>
          <w:highlight w:val="none"/>
          <w:lang w:eastAsia="zh-CN"/>
        </w:rPr>
        <w:t>。</w:t>
      </w:r>
    </w:p>
    <w:p>
      <w:pPr>
        <w:pStyle w:val="6"/>
        <w:keepNext w:val="0"/>
        <w:keepLines w:val="0"/>
        <w:pageBreakBefore w:val="0"/>
        <w:widowControl/>
        <w:shd w:val="clear" w:color="auto" w:fill="FFFFFF"/>
        <w:kinsoku/>
        <w:overflowPunct/>
        <w:autoSpaceDN/>
        <w:bidi w:val="0"/>
        <w:adjustRightInd/>
        <w:spacing w:before="0" w:beforeAutospacing="0" w:after="0" w:afterAutospacing="0" w:line="560" w:lineRule="exact"/>
        <w:ind w:firstLine="640" w:firstLineChars="200"/>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二、部门决算情况说明</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（一）收入支出决算总体情况说明</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lang w:val="en-US" w:eastAsia="zh-CN"/>
        </w:rPr>
      </w:pPr>
      <w:r>
        <w:rPr>
          <w:rStyle w:val="10"/>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2023年度收入总计6069.59万元，支出总计</w:t>
      </w:r>
      <w:r>
        <w:rPr>
          <w:rFonts w:hint="default" w:ascii="Times New Roman" w:hAnsi="Times New Roman" w:eastAsia="方正仿宋_GBK" w:cs="Times New Roman"/>
          <w:color w:val="auto"/>
          <w:sz w:val="32"/>
          <w:szCs w:val="32"/>
          <w:highlight w:val="none"/>
        </w:rPr>
        <w:t>6069.59</w:t>
      </w:r>
      <w:r>
        <w:rPr>
          <w:rFonts w:hint="default" w:ascii="Times New Roman" w:hAnsi="Times New Roman" w:eastAsia="方正仿宋_GBK" w:cs="Times New Roman"/>
          <w:color w:val="auto"/>
          <w:sz w:val="32"/>
          <w:szCs w:val="32"/>
          <w:highlight w:val="none"/>
          <w:shd w:val="clear" w:color="auto" w:fill="FFFFFF"/>
        </w:rPr>
        <w:t>万元。收支较上年决算数减少4454.17万元，下降42.32%，下降95.08%，主要原因是</w:t>
      </w:r>
      <w:r>
        <w:rPr>
          <w:rFonts w:hint="default" w:ascii="Times New Roman" w:hAnsi="Times New Roman" w:eastAsia="方正仿宋_GBK" w:cs="Times New Roman"/>
          <w:color w:val="auto"/>
          <w:sz w:val="32"/>
          <w:szCs w:val="32"/>
          <w:highlight w:val="none"/>
          <w:shd w:val="clear" w:color="auto" w:fill="FFFFFF"/>
          <w:lang w:val="en-US" w:eastAsia="zh-CN"/>
        </w:rPr>
        <w:t>生产发展扶持资金由其他产业部门兑现。</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2023年度收入合计6069.59万元，较上年决算数减少4454.17万元，下降42.32%，主要原因是</w:t>
      </w:r>
      <w:r>
        <w:rPr>
          <w:rFonts w:hint="default" w:ascii="Times New Roman" w:hAnsi="Times New Roman" w:eastAsia="方正仿宋_GBK" w:cs="Times New Roman"/>
          <w:color w:val="auto"/>
          <w:sz w:val="32"/>
          <w:szCs w:val="32"/>
          <w:highlight w:val="none"/>
          <w:shd w:val="clear" w:color="auto" w:fill="FFFFFF"/>
          <w:lang w:val="en-US" w:eastAsia="zh-CN"/>
        </w:rPr>
        <w:t>生产发展扶持资金由其他产业部门兑现</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6069.59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万元，占0.00%；其他收入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万元，年初结转和结余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6069.59</w:t>
      </w:r>
      <w:r>
        <w:rPr>
          <w:rFonts w:hint="default" w:ascii="Times New Roman" w:hAnsi="Times New Roman" w:eastAsia="方正仿宋_GBK" w:cs="Times New Roman"/>
          <w:color w:val="auto"/>
          <w:sz w:val="32"/>
          <w:szCs w:val="32"/>
          <w:highlight w:val="none"/>
          <w:shd w:val="clear" w:color="auto" w:fill="FFFFFF"/>
        </w:rPr>
        <w:t>万元，较上年决算数减少4454.17万元，下降42.32%，主要原因是</w:t>
      </w:r>
      <w:r>
        <w:rPr>
          <w:rFonts w:hint="default" w:ascii="Times New Roman" w:hAnsi="Times New Roman" w:eastAsia="方正仿宋_GBK" w:cs="Times New Roman"/>
          <w:color w:val="auto"/>
          <w:sz w:val="32"/>
          <w:szCs w:val="32"/>
          <w:highlight w:val="none"/>
          <w:shd w:val="clear" w:color="auto" w:fill="FFFFFF"/>
          <w:lang w:val="en-US" w:eastAsia="zh-CN"/>
        </w:rPr>
        <w:t>生产发展扶持资金由其他产业部门兑现。</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1709.76</w:t>
      </w:r>
      <w:r>
        <w:rPr>
          <w:rFonts w:hint="default" w:ascii="Times New Roman" w:hAnsi="Times New Roman" w:eastAsia="方正仿宋_GBK" w:cs="Times New Roman"/>
          <w:color w:val="auto"/>
          <w:sz w:val="32"/>
          <w:szCs w:val="32"/>
          <w:highlight w:val="none"/>
          <w:shd w:val="clear" w:color="auto" w:fill="FFFFFF"/>
        </w:rPr>
        <w:t>万元，占28.17%；项目支出</w:t>
      </w:r>
      <w:r>
        <w:rPr>
          <w:rFonts w:hint="default" w:ascii="Times New Roman" w:hAnsi="Times New Roman" w:eastAsia="方正仿宋_GBK" w:cs="Times New Roman"/>
          <w:color w:val="auto"/>
          <w:sz w:val="32"/>
          <w:szCs w:val="32"/>
          <w:highlight w:val="none"/>
        </w:rPr>
        <w:t>4359.83</w:t>
      </w:r>
      <w:r>
        <w:rPr>
          <w:rFonts w:hint="default" w:ascii="Times New Roman" w:hAnsi="Times New Roman" w:eastAsia="方正仿宋_GBK" w:cs="Times New Roman"/>
          <w:color w:val="auto"/>
          <w:sz w:val="32"/>
          <w:szCs w:val="32"/>
          <w:highlight w:val="none"/>
          <w:shd w:val="clear" w:color="auto" w:fill="FFFFFF"/>
        </w:rPr>
        <w:t>万元，占71.83%；经营支出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12"/>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万元，0，主要原因是本单位预算类经费实行零结转。</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（二）财政拨款收入支出决算总体情况说明</w:t>
      </w:r>
    </w:p>
    <w:p>
      <w:pPr>
        <w:pStyle w:val="12"/>
        <w:keepNext w:val="0"/>
        <w:keepLines w:val="0"/>
        <w:pageBreakBefore w:val="0"/>
        <w:widowControl/>
        <w:shd w:val="clear" w:color="auto" w:fill="FFFFFF"/>
        <w:kinsoku/>
        <w:overflowPunct/>
        <w:topLinePunct/>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2023年度财政拨款收、支总计6069.59万元。与2022年相比，财政拨款收、支总计各减少4454.17万元，下降42.32%。主要原因是</w:t>
      </w:r>
      <w:r>
        <w:rPr>
          <w:rFonts w:hint="default" w:ascii="Times New Roman" w:hAnsi="Times New Roman" w:eastAsia="方正仿宋_GBK" w:cs="Times New Roman"/>
          <w:color w:val="auto"/>
          <w:sz w:val="32"/>
          <w:szCs w:val="32"/>
          <w:highlight w:val="none"/>
          <w:shd w:val="clear" w:color="auto" w:fill="FFFFFF"/>
          <w:lang w:val="en-US" w:eastAsia="zh-CN"/>
        </w:rPr>
        <w:t>生产发展扶持资金由其他产业部门兑现。</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（三）一般公共预算财政拨款收入支出决算情况说明</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6049.59</w:t>
      </w:r>
      <w:r>
        <w:rPr>
          <w:rFonts w:hint="default" w:ascii="Times New Roman" w:hAnsi="Times New Roman" w:eastAsia="方正仿宋_GBK" w:cs="Times New Roman"/>
          <w:color w:val="auto"/>
          <w:sz w:val="32"/>
          <w:szCs w:val="32"/>
          <w:highlight w:val="none"/>
          <w:shd w:val="clear" w:color="auto" w:fill="FFFFFF"/>
        </w:rPr>
        <w:t>万元，较上年决算数减少4474.17万元，下降42.51%。主要原因是</w:t>
      </w:r>
      <w:r>
        <w:rPr>
          <w:rFonts w:hint="default" w:ascii="Times New Roman" w:hAnsi="Times New Roman" w:eastAsia="方正仿宋_GBK" w:cs="Times New Roman"/>
          <w:color w:val="auto"/>
          <w:sz w:val="32"/>
          <w:szCs w:val="32"/>
          <w:highlight w:val="none"/>
          <w:shd w:val="clear" w:color="auto" w:fill="FFFFFF"/>
          <w:lang w:val="en-US" w:eastAsia="zh-CN"/>
        </w:rPr>
        <w:t>生产发展扶持资金由其他产业部门兑现。</w:t>
      </w:r>
      <w:r>
        <w:rPr>
          <w:rFonts w:hint="default" w:ascii="Times New Roman" w:hAnsi="Times New Roman" w:eastAsia="方正仿宋_GBK" w:cs="Times New Roman"/>
          <w:color w:val="auto"/>
          <w:sz w:val="32"/>
          <w:szCs w:val="32"/>
          <w:highlight w:val="none"/>
          <w:shd w:val="clear" w:color="auto" w:fill="FFFFFF"/>
        </w:rPr>
        <w:t>较年初预算数减少735.56万元，下降10.84%。主要原因是</w:t>
      </w:r>
      <w:r>
        <w:rPr>
          <w:rFonts w:hint="default" w:ascii="Times New Roman" w:hAnsi="Times New Roman" w:eastAsia="方正仿宋_GBK" w:cs="Times New Roman"/>
          <w:color w:val="auto"/>
          <w:sz w:val="32"/>
          <w:szCs w:val="32"/>
          <w:highlight w:val="none"/>
          <w:shd w:val="clear" w:color="auto" w:fill="FFFFFF"/>
          <w:lang w:val="en-US" w:eastAsia="zh-CN"/>
        </w:rPr>
        <w:t>生产发展扶持资金由其他产业部门兑现</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lang w:val="en-US" w:eastAsia="zh-CN"/>
        </w:rPr>
      </w:pPr>
      <w:r>
        <w:rPr>
          <w:rStyle w:val="10"/>
          <w:rFonts w:hint="default" w:ascii="Times New Roman" w:hAnsi="Times New Roman" w:eastAsia="方正仿宋_GBK" w:cs="Times New Roman"/>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6049.59</w:t>
      </w:r>
      <w:r>
        <w:rPr>
          <w:rFonts w:hint="default" w:ascii="Times New Roman" w:hAnsi="Times New Roman" w:eastAsia="方正仿宋_GBK" w:cs="Times New Roman"/>
          <w:color w:val="auto"/>
          <w:sz w:val="32"/>
          <w:szCs w:val="32"/>
          <w:highlight w:val="none"/>
          <w:shd w:val="clear" w:color="auto" w:fill="FFFFFF"/>
        </w:rPr>
        <w:t>万元，较上年决算数减少4474.17万元，下降42.51%。主要原因是</w:t>
      </w:r>
      <w:r>
        <w:rPr>
          <w:rFonts w:hint="default" w:ascii="Times New Roman" w:hAnsi="Times New Roman" w:eastAsia="方正仿宋_GBK" w:cs="Times New Roman"/>
          <w:color w:val="auto"/>
          <w:sz w:val="32"/>
          <w:szCs w:val="32"/>
          <w:highlight w:val="none"/>
          <w:shd w:val="clear" w:color="auto" w:fill="FFFFFF"/>
          <w:lang w:val="en-US" w:eastAsia="zh-CN"/>
        </w:rPr>
        <w:t>生产发展扶持资金由其他产业部门兑现。</w:t>
      </w:r>
      <w:r>
        <w:rPr>
          <w:rFonts w:hint="default" w:ascii="Times New Roman" w:hAnsi="Times New Roman" w:eastAsia="方正仿宋_GBK" w:cs="Times New Roman"/>
          <w:color w:val="auto"/>
          <w:sz w:val="32"/>
          <w:szCs w:val="32"/>
          <w:highlight w:val="none"/>
          <w:shd w:val="clear" w:color="auto" w:fill="FFFFFF"/>
        </w:rPr>
        <w:t>较年初预算数减少735.56万元，下降10.84%。主要原因是</w:t>
      </w:r>
      <w:r>
        <w:rPr>
          <w:rFonts w:hint="default" w:ascii="Times New Roman" w:hAnsi="Times New Roman" w:eastAsia="方正仿宋_GBK" w:cs="Times New Roman"/>
          <w:color w:val="auto"/>
          <w:sz w:val="32"/>
          <w:szCs w:val="32"/>
          <w:highlight w:val="none"/>
          <w:shd w:val="clear" w:color="auto" w:fill="FFFFFF"/>
          <w:lang w:val="en-US" w:eastAsia="zh-CN"/>
        </w:rPr>
        <w:t>生产发展扶持资金由其他产业部门兑现。</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lang w:eastAsia="zh-CN"/>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主要原因是本单位预算类</w:t>
      </w:r>
      <w:r>
        <w:rPr>
          <w:rFonts w:hint="default" w:ascii="Times New Roman" w:hAnsi="Times New Roman" w:eastAsia="方正仿宋_GBK" w:cs="Times New Roman"/>
          <w:color w:val="auto"/>
          <w:sz w:val="32"/>
          <w:szCs w:val="32"/>
          <w:highlight w:val="none"/>
          <w:shd w:val="clear" w:color="auto" w:fill="FFFFFF"/>
          <w:lang w:val="en-US" w:eastAsia="zh-CN"/>
        </w:rPr>
        <w:t>资金</w:t>
      </w:r>
      <w:r>
        <w:rPr>
          <w:rFonts w:hint="default" w:ascii="Times New Roman" w:hAnsi="Times New Roman" w:eastAsia="方正仿宋_GBK" w:cs="Times New Roman"/>
          <w:color w:val="auto"/>
          <w:sz w:val="32"/>
          <w:szCs w:val="32"/>
          <w:highlight w:val="none"/>
          <w:shd w:val="clear" w:color="auto" w:fill="FFFFFF"/>
        </w:rPr>
        <w:t>实行零结转。</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4.比较情况。</w:t>
      </w:r>
      <w:r>
        <w:rPr>
          <w:rFonts w:hint="default" w:ascii="Times New Roman" w:hAnsi="Times New Roman" w:eastAsia="方正仿宋_GBK" w:cs="Times New Roman"/>
          <w:color w:val="auto"/>
          <w:sz w:val="32"/>
          <w:szCs w:val="32"/>
          <w:highlight w:val="none"/>
          <w:shd w:val="clear" w:color="auto" w:fill="FFFFFF"/>
        </w:rPr>
        <w:t>本部门2023年度一般公共预算财政拨款支出主要用于以下几个方面：</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（1）一般公共服务支出</w:t>
      </w:r>
      <w:r>
        <w:rPr>
          <w:rFonts w:hint="default" w:ascii="Times New Roman" w:hAnsi="Times New Roman" w:eastAsia="方正仿宋_GBK" w:cs="Times New Roman"/>
          <w:color w:val="auto"/>
          <w:sz w:val="32"/>
          <w:szCs w:val="32"/>
          <w:highlight w:val="none"/>
        </w:rPr>
        <w:t>1216.35</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20.11</w:t>
      </w:r>
      <w:r>
        <w:rPr>
          <w:rFonts w:hint="default" w:ascii="Times New Roman" w:hAnsi="Times New Roman" w:eastAsia="方正仿宋_GBK" w:cs="Times New Roman"/>
          <w:color w:val="auto"/>
          <w:sz w:val="32"/>
          <w:szCs w:val="32"/>
          <w:highlight w:val="none"/>
          <w:shd w:val="clear" w:color="auto" w:fill="FFFFFF"/>
        </w:rPr>
        <w:t>%，较年初预算数减少3848.32万元，下降75.98%，主要原因是</w:t>
      </w:r>
      <w:r>
        <w:rPr>
          <w:rFonts w:hint="default" w:ascii="Times New Roman" w:hAnsi="Times New Roman" w:eastAsia="方正仿宋_GBK" w:cs="Times New Roman"/>
          <w:color w:val="auto"/>
          <w:sz w:val="32"/>
          <w:szCs w:val="32"/>
          <w:highlight w:val="none"/>
          <w:shd w:val="clear" w:color="auto" w:fill="FFFFFF"/>
          <w:lang w:val="en-US" w:eastAsia="zh-CN"/>
        </w:rPr>
        <w:t>生产发展扶持资金由其他产业部门兑现。</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color w:val="auto"/>
          <w:sz w:val="32"/>
          <w:szCs w:val="32"/>
          <w:highlight w:val="none"/>
          <w:shd w:val="clear" w:color="auto" w:fill="FFFFFF"/>
        </w:rPr>
        <w:t>（2）科学技术支出</w:t>
      </w:r>
      <w:r>
        <w:rPr>
          <w:rFonts w:hint="default" w:ascii="Times New Roman" w:hAnsi="Times New Roman" w:eastAsia="方正仿宋_GBK" w:cs="Times New Roman"/>
          <w:color w:val="auto"/>
          <w:sz w:val="32"/>
          <w:szCs w:val="32"/>
          <w:highlight w:val="none"/>
        </w:rPr>
        <w:t>627.96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10.38</w:t>
      </w:r>
      <w:r>
        <w:rPr>
          <w:rFonts w:hint="default" w:ascii="Times New Roman" w:hAnsi="Times New Roman" w:eastAsia="方正仿宋_GBK" w:cs="Times New Roman"/>
          <w:color w:val="auto"/>
          <w:sz w:val="32"/>
          <w:szCs w:val="32"/>
          <w:highlight w:val="none"/>
          <w:shd w:val="clear" w:color="auto" w:fill="FFFFFF"/>
        </w:rPr>
        <w:t>%，较年初预算数增加144.96万元，增长30.01%，</w:t>
      </w:r>
      <w:r>
        <w:rPr>
          <w:rFonts w:hint="default" w:ascii="Times New Roman" w:hAnsi="Times New Roman" w:eastAsia="方正仿宋_GBK" w:cs="Times New Roman"/>
          <w:b w:val="0"/>
          <w:bCs w:val="0"/>
          <w:color w:val="auto"/>
          <w:kern w:val="0"/>
          <w:sz w:val="32"/>
          <w:szCs w:val="32"/>
          <w:highlight w:val="none"/>
          <w:shd w:val="clear" w:fill="FFFFFF"/>
        </w:rPr>
        <w:t>主要原因是202</w:t>
      </w:r>
      <w:r>
        <w:rPr>
          <w:rFonts w:hint="default" w:ascii="Times New Roman" w:hAnsi="Times New Roman" w:eastAsia="方正仿宋_GBK" w:cs="Times New Roman"/>
          <w:b w:val="0"/>
          <w:bCs w:val="0"/>
          <w:color w:val="auto"/>
          <w:kern w:val="0"/>
          <w:sz w:val="32"/>
          <w:szCs w:val="32"/>
          <w:highlight w:val="none"/>
          <w:shd w:val="clear" w:fill="FFFFFF"/>
          <w:lang w:val="en-US" w:eastAsia="zh-CN"/>
        </w:rPr>
        <w:t>3</w:t>
      </w:r>
      <w:r>
        <w:rPr>
          <w:rFonts w:hint="default" w:ascii="Times New Roman" w:hAnsi="Times New Roman" w:eastAsia="方正仿宋_GBK" w:cs="Times New Roman"/>
          <w:b w:val="0"/>
          <w:bCs w:val="0"/>
          <w:color w:val="auto"/>
          <w:kern w:val="0"/>
          <w:sz w:val="32"/>
          <w:szCs w:val="32"/>
          <w:highlight w:val="none"/>
          <w:shd w:val="clear" w:fill="FFFFFF"/>
        </w:rPr>
        <w:t>年增加了科技创新奖补资金等</w:t>
      </w:r>
      <w:r>
        <w:rPr>
          <w:rFonts w:hint="default" w:ascii="Times New Roman" w:hAnsi="Times New Roman" w:eastAsia="方正仿宋_GBK" w:cs="Times New Roman"/>
          <w:b w:val="0"/>
          <w:bCs w:val="0"/>
          <w:color w:val="auto"/>
          <w:kern w:val="0"/>
          <w:sz w:val="32"/>
          <w:szCs w:val="32"/>
          <w:highlight w:val="none"/>
          <w:shd w:val="clear" w:fill="FFFFFF"/>
          <w:lang w:val="en-US" w:eastAsia="zh-CN"/>
        </w:rPr>
        <w:t>科学技术类</w:t>
      </w:r>
      <w:r>
        <w:rPr>
          <w:rFonts w:hint="default" w:ascii="Times New Roman" w:hAnsi="Times New Roman" w:eastAsia="方正仿宋_GBK" w:cs="Times New Roman"/>
          <w:b w:val="0"/>
          <w:bCs w:val="0"/>
          <w:color w:val="auto"/>
          <w:kern w:val="0"/>
          <w:sz w:val="32"/>
          <w:szCs w:val="32"/>
          <w:highlight w:val="none"/>
          <w:shd w:val="clear" w:fill="FFFFFF"/>
        </w:rPr>
        <w:t>资金</w:t>
      </w:r>
      <w:r>
        <w:rPr>
          <w:rFonts w:hint="default" w:ascii="Times New Roman" w:hAnsi="Times New Roman" w:eastAsia="方正仿宋_GBK" w:cs="Times New Roman"/>
          <w:b w:val="0"/>
          <w:bCs w:val="0"/>
          <w:color w:val="auto"/>
          <w:kern w:val="0"/>
          <w:sz w:val="32"/>
          <w:szCs w:val="32"/>
          <w:highlight w:val="none"/>
          <w:shd w:val="clear" w:fill="FFFFFF"/>
          <w:lang w:val="en-US" w:eastAsia="zh-CN"/>
        </w:rPr>
        <w:t>支出</w:t>
      </w:r>
      <w:r>
        <w:rPr>
          <w:rFonts w:hint="default" w:ascii="Times New Roman" w:hAnsi="Times New Roman" w:eastAsia="方正仿宋_GBK" w:cs="Times New Roman"/>
          <w:b w:val="0"/>
          <w:bCs w:val="0"/>
          <w:color w:val="auto"/>
          <w:kern w:val="0"/>
          <w:sz w:val="32"/>
          <w:szCs w:val="32"/>
          <w:highlight w:val="none"/>
          <w:shd w:val="clear" w:fill="FFFFFF"/>
        </w:rPr>
        <w:t>。</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483.34</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7.99</w:t>
      </w:r>
      <w:r>
        <w:rPr>
          <w:rFonts w:hint="default" w:ascii="Times New Roman" w:hAnsi="Times New Roman" w:eastAsia="方正仿宋_GBK" w:cs="Times New Roman"/>
          <w:color w:val="auto"/>
          <w:sz w:val="32"/>
          <w:szCs w:val="32"/>
          <w:highlight w:val="none"/>
          <w:shd w:val="clear" w:color="auto" w:fill="FFFFFF"/>
        </w:rPr>
        <w:t>%，较年初预算数增加188.96万元，增长64.19%，</w:t>
      </w:r>
      <w:r>
        <w:rPr>
          <w:rFonts w:hint="default" w:ascii="Times New Roman" w:hAnsi="Times New Roman" w:eastAsia="方正仿宋_GBK" w:cs="Times New Roman"/>
          <w:b w:val="0"/>
          <w:bCs w:val="0"/>
          <w:color w:val="auto"/>
          <w:kern w:val="0"/>
          <w:sz w:val="32"/>
          <w:szCs w:val="32"/>
          <w:highlight w:val="none"/>
          <w:shd w:val="clear" w:fill="FFFFFF"/>
        </w:rPr>
        <w:t>主要原因是</w:t>
      </w:r>
      <w:r>
        <w:rPr>
          <w:rFonts w:hint="default" w:ascii="Times New Roman" w:hAnsi="Times New Roman" w:eastAsia="方正仿宋_GBK" w:cs="Times New Roman"/>
          <w:b w:val="0"/>
          <w:bCs w:val="0"/>
          <w:color w:val="auto"/>
          <w:kern w:val="0"/>
          <w:sz w:val="32"/>
          <w:szCs w:val="32"/>
          <w:highlight w:val="none"/>
          <w:shd w:val="clear" w:fill="FFFFFF"/>
          <w:lang w:val="en-US" w:eastAsia="zh-CN"/>
        </w:rPr>
        <w:t>新增兑现死亡退休人员抚恤金，</w:t>
      </w:r>
      <w:r>
        <w:rPr>
          <w:rFonts w:hint="default" w:ascii="Times New Roman" w:hAnsi="Times New Roman" w:eastAsia="方正仿宋_GBK" w:cs="Times New Roman"/>
          <w:b w:val="0"/>
          <w:bCs w:val="0"/>
          <w:color w:val="auto"/>
          <w:kern w:val="0"/>
          <w:sz w:val="32"/>
          <w:szCs w:val="32"/>
          <w:highlight w:val="none"/>
          <w:shd w:val="clear" w:fill="FFFFFF"/>
        </w:rPr>
        <w:t>人员调整、社保缴费基数变动等导致费用增加。</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75.76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1.25</w:t>
      </w:r>
      <w:r>
        <w:rPr>
          <w:rFonts w:hint="default" w:ascii="Times New Roman" w:hAnsi="Times New Roman" w:eastAsia="方正仿宋_GBK" w:cs="Times New Roman"/>
          <w:color w:val="auto"/>
          <w:sz w:val="32"/>
          <w:szCs w:val="32"/>
          <w:highlight w:val="none"/>
          <w:shd w:val="clear" w:color="auto" w:fill="FFFFFF"/>
        </w:rPr>
        <w:t>%，较年初预算数增加4.16万元，增长5.81%，主要原因是</w:t>
      </w:r>
      <w:r>
        <w:rPr>
          <w:rFonts w:hint="default" w:ascii="Times New Roman" w:hAnsi="Times New Roman" w:eastAsia="方正仿宋_GBK" w:cs="Times New Roman"/>
          <w:color w:val="auto"/>
          <w:sz w:val="32"/>
          <w:szCs w:val="32"/>
          <w:highlight w:val="none"/>
          <w:lang w:eastAsia="zh-CN"/>
        </w:rPr>
        <w:t>医疗</w:t>
      </w:r>
      <w:r>
        <w:rPr>
          <w:rFonts w:hint="default" w:ascii="Times New Roman" w:hAnsi="Times New Roman" w:eastAsia="方正仿宋_GBK" w:cs="Times New Roman"/>
          <w:color w:val="auto"/>
          <w:sz w:val="32"/>
          <w:szCs w:val="32"/>
          <w:highlight w:val="none"/>
        </w:rPr>
        <w:t>保险</w:t>
      </w:r>
      <w:r>
        <w:rPr>
          <w:rFonts w:hint="default" w:ascii="Times New Roman" w:hAnsi="Times New Roman" w:eastAsia="方正仿宋_GBK" w:cs="Times New Roman"/>
          <w:color w:val="auto"/>
          <w:sz w:val="32"/>
          <w:szCs w:val="32"/>
          <w:highlight w:val="none"/>
          <w:lang w:eastAsia="zh-CN"/>
        </w:rPr>
        <w:t>等</w:t>
      </w:r>
      <w:r>
        <w:rPr>
          <w:rFonts w:hint="default" w:ascii="Times New Roman" w:hAnsi="Times New Roman" w:eastAsia="方正仿宋_GBK" w:cs="Times New Roman"/>
          <w:color w:val="auto"/>
          <w:sz w:val="32"/>
          <w:szCs w:val="32"/>
          <w:highlight w:val="none"/>
        </w:rPr>
        <w:t>缴费基数调整，费用增加。</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）城乡社区支出</w:t>
      </w:r>
      <w:r>
        <w:rPr>
          <w:rFonts w:hint="default" w:ascii="Times New Roman" w:hAnsi="Times New Roman" w:eastAsia="方正仿宋_GBK" w:cs="Times New Roman"/>
          <w:color w:val="auto"/>
          <w:sz w:val="32"/>
          <w:szCs w:val="32"/>
          <w:highlight w:val="none"/>
        </w:rPr>
        <w:t>1688.22</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27.91</w:t>
      </w:r>
      <w:r>
        <w:rPr>
          <w:rFonts w:hint="default" w:ascii="Times New Roman" w:hAnsi="Times New Roman" w:eastAsia="方正仿宋_GBK" w:cs="Times New Roman"/>
          <w:color w:val="auto"/>
          <w:sz w:val="32"/>
          <w:szCs w:val="32"/>
          <w:highlight w:val="none"/>
          <w:shd w:val="clear" w:color="auto" w:fill="FFFFFF"/>
        </w:rPr>
        <w:t>%，较年初预算数增加1688.22万元，增长100.00%，主要原因是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年中增加城市老旧小区、棚户区</w:t>
      </w:r>
      <w:r>
        <w:rPr>
          <w:rFonts w:hint="default" w:ascii="Times New Roman" w:hAnsi="Times New Roman" w:eastAsia="方正仿宋_GBK" w:cs="Times New Roman"/>
          <w:color w:val="auto"/>
          <w:sz w:val="32"/>
          <w:szCs w:val="32"/>
          <w:highlight w:val="none"/>
          <w:shd w:val="clear" w:color="auto" w:fill="FFFFFF"/>
          <w:lang w:eastAsia="zh-CN"/>
        </w:rPr>
        <w:t>燃气管道更新改造</w:t>
      </w:r>
      <w:r>
        <w:rPr>
          <w:rFonts w:hint="default" w:ascii="Times New Roman" w:hAnsi="Times New Roman" w:eastAsia="方正仿宋_GBK" w:cs="Times New Roman"/>
          <w:color w:val="auto"/>
          <w:sz w:val="32"/>
          <w:szCs w:val="32"/>
          <w:highlight w:val="none"/>
          <w:shd w:val="clear" w:color="auto" w:fill="FFFFFF"/>
          <w:lang w:val="en-US" w:eastAsia="zh-CN"/>
        </w:rPr>
        <w:t>项目预算</w:t>
      </w:r>
      <w:r>
        <w:rPr>
          <w:rFonts w:hint="default" w:ascii="Times New Roman" w:hAnsi="Times New Roman" w:eastAsia="方正仿宋_GBK" w:cs="Times New Roman"/>
          <w:color w:val="auto"/>
          <w:sz w:val="32"/>
          <w:szCs w:val="32"/>
          <w:highlight w:val="none"/>
          <w:shd w:val="clear" w:color="auto" w:fill="FFFFFF"/>
        </w:rPr>
        <w:t>。</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6</w:t>
      </w:r>
      <w:r>
        <w:rPr>
          <w:rFonts w:hint="default" w:ascii="Times New Roman" w:hAnsi="Times New Roman" w:eastAsia="方正仿宋_GBK" w:cs="Times New Roman"/>
          <w:color w:val="auto"/>
          <w:sz w:val="32"/>
          <w:szCs w:val="32"/>
          <w:highlight w:val="none"/>
          <w:shd w:val="clear" w:color="auto" w:fill="FFFFFF"/>
        </w:rPr>
        <w:t>）农林水支出</w:t>
      </w:r>
      <w:r>
        <w:rPr>
          <w:rFonts w:hint="default" w:ascii="Times New Roman" w:hAnsi="Times New Roman" w:eastAsia="方正仿宋_GBK" w:cs="Times New Roman"/>
          <w:color w:val="auto"/>
          <w:sz w:val="32"/>
          <w:szCs w:val="32"/>
          <w:highlight w:val="none"/>
        </w:rPr>
        <w:t>8.88</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0.15</w:t>
      </w:r>
      <w:r>
        <w:rPr>
          <w:rFonts w:hint="default" w:ascii="Times New Roman" w:hAnsi="Times New Roman" w:eastAsia="方正仿宋_GBK" w:cs="Times New Roman"/>
          <w:color w:val="auto"/>
          <w:sz w:val="32"/>
          <w:szCs w:val="32"/>
          <w:highlight w:val="none"/>
          <w:shd w:val="clear" w:color="auto" w:fill="FFFFFF"/>
        </w:rPr>
        <w:t>%，较年初预算数增加8.88万元，增长100.00%，主要原因是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年中追加驻乡驻村干部乡镇补贴</w:t>
      </w:r>
      <w:r>
        <w:rPr>
          <w:rFonts w:hint="default" w:ascii="Times New Roman" w:hAnsi="Times New Roman" w:eastAsia="方正仿宋_GBK" w:cs="Times New Roman"/>
          <w:color w:val="auto"/>
          <w:sz w:val="32"/>
          <w:szCs w:val="32"/>
          <w:highlight w:val="none"/>
          <w:shd w:val="clear" w:color="auto" w:fill="FFFFFF"/>
        </w:rPr>
        <w:t>。</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7</w:t>
      </w:r>
      <w:r>
        <w:rPr>
          <w:rFonts w:hint="default" w:ascii="Times New Roman" w:hAnsi="Times New Roman" w:eastAsia="方正仿宋_GBK" w:cs="Times New Roman"/>
          <w:color w:val="auto"/>
          <w:sz w:val="32"/>
          <w:szCs w:val="32"/>
          <w:highlight w:val="none"/>
          <w:shd w:val="clear" w:color="auto" w:fill="FFFFFF"/>
        </w:rPr>
        <w:t>）资源勘探信息等支出</w:t>
      </w:r>
      <w:r>
        <w:rPr>
          <w:rFonts w:hint="default" w:ascii="Times New Roman" w:hAnsi="Times New Roman" w:eastAsia="方正仿宋_GBK" w:cs="Times New Roman"/>
          <w:color w:val="auto"/>
          <w:sz w:val="32"/>
          <w:szCs w:val="32"/>
          <w:highlight w:val="none"/>
        </w:rPr>
        <w:t>495.90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8.20</w:t>
      </w:r>
      <w:r>
        <w:rPr>
          <w:rFonts w:hint="default" w:ascii="Times New Roman" w:hAnsi="Times New Roman" w:eastAsia="方正仿宋_GBK" w:cs="Times New Roman"/>
          <w:color w:val="auto"/>
          <w:sz w:val="32"/>
          <w:szCs w:val="32"/>
          <w:highlight w:val="none"/>
          <w:shd w:val="clear" w:color="auto" w:fill="FFFFFF"/>
        </w:rPr>
        <w:t>%，较年初预算数减少299.00万元，下降37.61%，</w:t>
      </w:r>
      <w:r>
        <w:rPr>
          <w:rFonts w:hint="default" w:ascii="Times New Roman" w:hAnsi="Times New Roman" w:eastAsia="方正仿宋_GBK" w:cs="Times New Roman"/>
          <w:b w:val="0"/>
          <w:bCs w:val="0"/>
          <w:color w:val="auto"/>
          <w:kern w:val="0"/>
          <w:sz w:val="32"/>
          <w:szCs w:val="32"/>
          <w:highlight w:val="none"/>
          <w:shd w:val="clear" w:fill="FFFFFF"/>
        </w:rPr>
        <w:t>主要原因是年中工作任务调整，减少资源勘探信息类资金支出。</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8</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住房保障支出1453.19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24.02</w:t>
      </w:r>
      <w:r>
        <w:rPr>
          <w:rFonts w:hint="default" w:ascii="Times New Roman" w:hAnsi="Times New Roman" w:eastAsia="方正仿宋_GBK" w:cs="Times New Roman"/>
          <w:color w:val="auto"/>
          <w:sz w:val="32"/>
          <w:szCs w:val="32"/>
          <w:highlight w:val="none"/>
          <w:shd w:val="clear" w:color="auto" w:fill="FFFFFF"/>
        </w:rPr>
        <w:t>%，较年初预算数增加1376.60万元，增长1797.36%，主要原因是</w:t>
      </w:r>
      <w:r>
        <w:rPr>
          <w:rFonts w:hint="default" w:ascii="Times New Roman" w:hAnsi="Times New Roman" w:eastAsia="方正仿宋_GBK" w:cs="Times New Roman"/>
          <w:color w:val="auto"/>
          <w:sz w:val="32"/>
          <w:szCs w:val="32"/>
          <w:highlight w:val="none"/>
          <w:shd w:val="clear" w:color="auto" w:fill="FFFFFF"/>
          <w:lang w:val="en-US" w:eastAsia="zh-CN"/>
        </w:rPr>
        <w:t>年中追加老旧小区、棚户区</w:t>
      </w:r>
      <w:r>
        <w:rPr>
          <w:rFonts w:hint="default" w:ascii="Times New Roman" w:hAnsi="Times New Roman" w:eastAsia="方正仿宋_GBK" w:cs="Times New Roman"/>
          <w:color w:val="auto"/>
          <w:sz w:val="32"/>
          <w:szCs w:val="32"/>
          <w:highlight w:val="none"/>
          <w:shd w:val="clear" w:color="auto" w:fill="FFFFFF"/>
          <w:lang w:eastAsia="zh-CN"/>
        </w:rPr>
        <w:t>燃气管道更新改造</w:t>
      </w:r>
      <w:r>
        <w:rPr>
          <w:rFonts w:hint="default" w:ascii="Times New Roman" w:hAnsi="Times New Roman" w:eastAsia="方正仿宋_GBK" w:cs="Times New Roman"/>
          <w:color w:val="auto"/>
          <w:sz w:val="32"/>
          <w:szCs w:val="32"/>
          <w:highlight w:val="none"/>
          <w:shd w:val="clear" w:color="auto" w:fill="FFFFFF"/>
          <w:lang w:val="en-US" w:eastAsia="zh-CN"/>
        </w:rPr>
        <w:t>项目资金</w:t>
      </w:r>
      <w:r>
        <w:rPr>
          <w:rFonts w:hint="default" w:ascii="Times New Roman" w:hAnsi="Times New Roman" w:eastAsia="方正仿宋_GBK" w:cs="Times New Roman"/>
          <w:color w:val="auto"/>
          <w:sz w:val="32"/>
          <w:szCs w:val="32"/>
          <w:highlight w:val="none"/>
          <w:shd w:val="clear" w:color="auto" w:fill="FFFFFF"/>
          <w:lang w:eastAsia="zh-CN"/>
        </w:rPr>
        <w:t>。</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320" w:firstLineChars="10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（四）一般公共预算财政拨款基本支出决算情况说明</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firstLine="960" w:firstLineChars="300"/>
        <w:jc w:val="left"/>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1709.76</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1441.04</w:t>
      </w:r>
      <w:r>
        <w:rPr>
          <w:rFonts w:hint="default" w:ascii="Times New Roman" w:hAnsi="Times New Roman" w:eastAsia="方正仿宋_GBK" w:cs="Times New Roman"/>
          <w:color w:val="auto"/>
          <w:sz w:val="32"/>
          <w:szCs w:val="32"/>
          <w:highlight w:val="none"/>
          <w:shd w:val="clear" w:color="auto" w:fill="FFFFFF"/>
        </w:rPr>
        <w:t>万元，较上年决算数增加149.48万元，增长11.57%，</w:t>
      </w:r>
      <w:r>
        <w:rPr>
          <w:rFonts w:hint="default" w:ascii="Times New Roman" w:hAnsi="Times New Roman" w:eastAsia="方正仿宋_GBK" w:cs="Times New Roman"/>
          <w:color w:val="auto"/>
          <w:sz w:val="32"/>
          <w:szCs w:val="32"/>
          <w:highlight w:val="none"/>
          <w:shd w:val="clear" w:fill="FFFFFF"/>
          <w:lang w:eastAsia="zh-CN"/>
        </w:rPr>
        <w:t>主要原因是人员调整、退休、工资福利变动等，导致相应支出变动</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b w:val="0"/>
          <w:bCs w:val="0"/>
          <w:color w:val="auto"/>
          <w:kern w:val="0"/>
          <w:sz w:val="32"/>
          <w:szCs w:val="32"/>
          <w:highlight w:val="none"/>
          <w:shd w:val="clear" w:fill="FFFFFF"/>
        </w:rPr>
        <w:t>人员经费用途主要包括在职人员基本工资、津贴补贴、基础绩效、社会保障缴费等相关开支。</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268.72</w:t>
      </w:r>
      <w:r>
        <w:rPr>
          <w:rFonts w:hint="default" w:ascii="Times New Roman" w:hAnsi="Times New Roman" w:eastAsia="方正仿宋_GBK" w:cs="Times New Roman"/>
          <w:color w:val="auto"/>
          <w:sz w:val="32"/>
          <w:szCs w:val="32"/>
          <w:highlight w:val="none"/>
          <w:shd w:val="clear" w:color="auto" w:fill="FFFFFF"/>
        </w:rPr>
        <w:t>万元，较上年决算数增加12.38万元，增长4.83%，</w:t>
      </w:r>
      <w:r>
        <w:rPr>
          <w:rFonts w:hint="default" w:ascii="Times New Roman" w:hAnsi="Times New Roman" w:eastAsia="方正仿宋_GBK" w:cs="Times New Roman"/>
          <w:color w:val="auto"/>
          <w:sz w:val="32"/>
          <w:szCs w:val="32"/>
          <w:highlight w:val="none"/>
          <w:shd w:val="clear" w:fill="FFFFFF"/>
          <w:lang w:eastAsia="zh-CN"/>
        </w:rPr>
        <w:t>主要原因是</w:t>
      </w:r>
      <w:r>
        <w:rPr>
          <w:rFonts w:hint="default" w:ascii="Times New Roman" w:hAnsi="Times New Roman" w:eastAsia="方正仿宋_GBK" w:cs="Times New Roman"/>
          <w:color w:val="auto"/>
          <w:sz w:val="32"/>
          <w:szCs w:val="32"/>
          <w:highlight w:val="none"/>
          <w:shd w:val="clear" w:color="auto" w:fill="FFFFFF"/>
          <w:lang w:val="en-US" w:eastAsia="zh-CN"/>
        </w:rPr>
        <w:t>科协与本级机关合署办公、机关办公楼搬迁、人员增加等因素，</w:t>
      </w:r>
      <w:r>
        <w:rPr>
          <w:rFonts w:hint="default" w:ascii="Times New Roman" w:hAnsi="Times New Roman" w:eastAsia="方正仿宋_GBK" w:cs="Times New Roman"/>
          <w:color w:val="auto"/>
          <w:sz w:val="32"/>
          <w:szCs w:val="32"/>
          <w:highlight w:val="none"/>
          <w:shd w:val="clear" w:fill="FFFFFF"/>
          <w:lang w:eastAsia="zh-CN"/>
        </w:rPr>
        <w:t>增加</w:t>
      </w:r>
      <w:r>
        <w:rPr>
          <w:rFonts w:hint="default" w:ascii="Times New Roman" w:hAnsi="Times New Roman" w:eastAsia="方正仿宋_GBK" w:cs="Times New Roman"/>
          <w:color w:val="auto"/>
          <w:sz w:val="32"/>
          <w:szCs w:val="32"/>
          <w:highlight w:val="none"/>
          <w:shd w:val="clear" w:fill="FFFFFF"/>
          <w:lang w:val="en-US" w:eastAsia="zh-CN"/>
        </w:rPr>
        <w:t>公用经费</w:t>
      </w:r>
      <w:r>
        <w:rPr>
          <w:rFonts w:hint="default" w:ascii="Times New Roman" w:hAnsi="Times New Roman" w:eastAsia="方正仿宋_GBK" w:cs="Times New Roman"/>
          <w:color w:val="auto"/>
          <w:sz w:val="32"/>
          <w:szCs w:val="32"/>
          <w:highlight w:val="none"/>
          <w:shd w:val="clear" w:fill="FFFFFF"/>
          <w:lang w:eastAsia="zh-CN"/>
        </w:rPr>
        <w:t>支出。</w:t>
      </w:r>
      <w:r>
        <w:rPr>
          <w:rFonts w:hint="default" w:ascii="Times New Roman" w:hAnsi="Times New Roman" w:eastAsia="方正仿宋_GBK" w:cs="Times New Roman"/>
          <w:b w:val="0"/>
          <w:bCs w:val="0"/>
          <w:color w:val="auto"/>
          <w:kern w:val="0"/>
          <w:sz w:val="32"/>
          <w:szCs w:val="32"/>
          <w:highlight w:val="none"/>
          <w:shd w:val="clear" w:fill="FFFFFF"/>
        </w:rPr>
        <w:t>公用经费用途主要包括办公费、邮电费、差旅费、公车运行维护费等相关开支。</w:t>
      </w:r>
    </w:p>
    <w:p>
      <w:pPr>
        <w:pStyle w:val="16"/>
        <w:keepNext w:val="0"/>
        <w:keepLines w:val="0"/>
        <w:pageBreakBefore w:val="0"/>
        <w:widowControl/>
        <w:numPr>
          <w:ilvl w:val="0"/>
          <w:numId w:val="1"/>
        </w:numPr>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政府性基金预算收支决算情况说明</w:t>
      </w:r>
    </w:p>
    <w:p>
      <w:pPr>
        <w:pStyle w:val="16"/>
        <w:keepNext w:val="0"/>
        <w:keepLines w:val="0"/>
        <w:pageBreakBefore w:val="0"/>
        <w:widowControl/>
        <w:numPr>
          <w:ilvl w:val="0"/>
          <w:numId w:val="0"/>
        </w:numPr>
        <w:tabs>
          <w:tab w:val="center" w:pos="4153"/>
          <w:tab w:val="left" w:pos="7275"/>
        </w:tabs>
        <w:kinsoku/>
        <w:overflowPunct/>
        <w:topLinePunct/>
        <w:autoSpaceDN/>
        <w:bidi w:val="0"/>
        <w:adjustRightInd/>
        <w:spacing w:beforeAutospacing="0" w:afterAutospacing="0" w:line="560" w:lineRule="exact"/>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2023年度政府性基金预算财政拨款年初结转结余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万元，年末结转结余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万元。本年收入</w:t>
      </w:r>
      <w:r>
        <w:rPr>
          <w:rFonts w:hint="default" w:ascii="Times New Roman" w:hAnsi="Times New Roman" w:eastAsia="方正仿宋_GBK" w:cs="Times New Roman"/>
          <w:color w:val="auto"/>
          <w:sz w:val="32"/>
          <w:szCs w:val="32"/>
          <w:highlight w:val="none"/>
        </w:rPr>
        <w:t>20.00</w:t>
      </w:r>
      <w:r>
        <w:rPr>
          <w:rFonts w:hint="default" w:ascii="Times New Roman" w:hAnsi="Times New Roman" w:eastAsia="方正仿宋_GBK" w:cs="Times New Roman"/>
          <w:color w:val="auto"/>
          <w:sz w:val="32"/>
          <w:szCs w:val="32"/>
          <w:highlight w:val="none"/>
          <w:shd w:val="clear" w:color="auto" w:fill="FFFFFF"/>
        </w:rPr>
        <w:t>万元，较上年决算数增加20.00万元，增长100.00%，主要原因是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本年度增加重点项目工作经费</w:t>
      </w:r>
      <w:r>
        <w:rPr>
          <w:rFonts w:hint="default" w:ascii="Times New Roman" w:hAnsi="Times New Roman" w:eastAsia="方正仿宋_GBK" w:cs="Times New Roman"/>
          <w:color w:val="auto"/>
          <w:sz w:val="32"/>
          <w:szCs w:val="32"/>
          <w:highlight w:val="none"/>
          <w:shd w:val="clear" w:color="auto" w:fill="FFFFFF"/>
        </w:rPr>
        <w:t>。本年支出</w:t>
      </w:r>
      <w:r>
        <w:rPr>
          <w:rFonts w:hint="default" w:ascii="Times New Roman" w:hAnsi="Times New Roman" w:eastAsia="方正仿宋_GBK" w:cs="Times New Roman"/>
          <w:color w:val="auto"/>
          <w:sz w:val="32"/>
          <w:szCs w:val="32"/>
          <w:highlight w:val="none"/>
        </w:rPr>
        <w:t>20.00</w:t>
      </w:r>
      <w:r>
        <w:rPr>
          <w:rFonts w:hint="default" w:ascii="Times New Roman" w:hAnsi="Times New Roman" w:eastAsia="方正仿宋_GBK" w:cs="Times New Roman"/>
          <w:color w:val="auto"/>
          <w:sz w:val="32"/>
          <w:szCs w:val="32"/>
          <w:highlight w:val="none"/>
          <w:shd w:val="clear" w:color="auto" w:fill="FFFFFF"/>
        </w:rPr>
        <w:t>万元，较上年决算数增加20.00万元，增长100.00%，主要原因是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增加重点项目工作经费</w:t>
      </w:r>
      <w:r>
        <w:rPr>
          <w:rFonts w:hint="default" w:ascii="Times New Roman" w:hAnsi="Times New Roman" w:eastAsia="方正仿宋_GBK" w:cs="Times New Roman"/>
          <w:color w:val="auto"/>
          <w:sz w:val="32"/>
          <w:szCs w:val="32"/>
          <w:highlight w:val="none"/>
          <w:shd w:val="clear" w:color="auto" w:fill="FFFFFF"/>
        </w:rPr>
        <w:t>。</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（六）国有资本经营预算财政拨款支出决算情况说明</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本单位2023年度无国有资本经营预算财政拨款支出。</w:t>
      </w:r>
    </w:p>
    <w:p>
      <w:pPr>
        <w:pStyle w:val="6"/>
        <w:keepNext w:val="0"/>
        <w:keepLines w:val="0"/>
        <w:pageBreakBefore w:val="0"/>
        <w:widowControl/>
        <w:shd w:val="clear" w:color="auto" w:fill="FFFFFF"/>
        <w:kinsoku/>
        <w:overflowPunct/>
        <w:autoSpaceDN/>
        <w:bidi w:val="0"/>
        <w:adjustRightInd/>
        <w:spacing w:before="0" w:beforeAutospacing="0" w:after="0" w:afterAutospacing="0" w:line="560" w:lineRule="exact"/>
        <w:ind w:firstLine="640" w:firstLineChars="200"/>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三、“三公”经费情况说明</w:t>
      </w:r>
    </w:p>
    <w:p>
      <w:pPr>
        <w:pStyle w:val="11"/>
        <w:keepNext w:val="0"/>
        <w:keepLines w:val="0"/>
        <w:pageBreakBefore w:val="0"/>
        <w:widowControl/>
        <w:kinsoku/>
        <w:overflowPunct/>
        <w:autoSpaceDE w:val="0"/>
        <w:autoSpaceDN/>
        <w:bidi w:val="0"/>
        <w:adjustRightInd/>
        <w:spacing w:beforeAutospacing="0" w:afterAutospacing="0" w:line="560" w:lineRule="exact"/>
        <w:ind w:firstLine="643"/>
        <w:rPr>
          <w:rFonts w:hint="default" w:ascii="Times New Roman" w:hAnsi="Times New Roman" w:eastAsia="楷体" w:cs="Times New Roman"/>
          <w:b/>
          <w:bCs/>
          <w:color w:val="auto"/>
          <w:sz w:val="32"/>
          <w:szCs w:val="32"/>
          <w:highlight w:val="none"/>
          <w:shd w:val="clear" w:color="auto" w:fill="FFFFFF"/>
        </w:rPr>
      </w:pPr>
      <w:r>
        <w:rPr>
          <w:rFonts w:hint="default" w:ascii="Times New Roman" w:hAnsi="Times New Roman" w:eastAsia="楷体" w:cs="Times New Roman"/>
          <w:b/>
          <w:bCs/>
          <w:color w:val="auto"/>
          <w:sz w:val="32"/>
          <w:szCs w:val="32"/>
          <w:highlight w:val="none"/>
          <w:shd w:val="clear" w:color="auto" w:fill="FFFFFF"/>
        </w:rPr>
        <w:t xml:space="preserve"> </w:t>
      </w:r>
      <w:r>
        <w:rPr>
          <w:rFonts w:hint="default" w:ascii="Times New Roman" w:hAnsi="Times New Roman" w:eastAsia="方正楷体_GBK" w:cs="Times New Roman"/>
          <w:color w:val="auto"/>
          <w:sz w:val="32"/>
          <w:szCs w:val="32"/>
          <w:highlight w:val="none"/>
          <w:lang w:val="en-US" w:eastAsia="zh-CN" w:bidi="ar-SA"/>
        </w:rPr>
        <w:t>（一）“三公”经费支出总体情况说明</w:t>
      </w:r>
    </w:p>
    <w:p>
      <w:pPr>
        <w:pStyle w:val="11"/>
        <w:keepNext w:val="0"/>
        <w:keepLines w:val="0"/>
        <w:pageBreakBefore w:val="0"/>
        <w:widowControl/>
        <w:kinsoku/>
        <w:overflowPunct/>
        <w:autoSpaceDE w:val="0"/>
        <w:autoSpaceDN/>
        <w:bidi w:val="0"/>
        <w:adjustRightInd/>
        <w:spacing w:beforeAutospacing="0" w:afterAutospacing="0" w:line="560" w:lineRule="exact"/>
        <w:ind w:firstLine="643"/>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2023年度“三公”经费支出共计</w:t>
      </w:r>
      <w:r>
        <w:rPr>
          <w:rFonts w:hint="default" w:ascii="Times New Roman" w:hAnsi="Times New Roman" w:eastAsia="方正仿宋_GBK" w:cs="Times New Roman"/>
          <w:color w:val="auto"/>
          <w:sz w:val="32"/>
          <w:szCs w:val="32"/>
          <w:highlight w:val="none"/>
        </w:rPr>
        <w:t>31.29</w:t>
      </w:r>
      <w:r>
        <w:rPr>
          <w:rFonts w:hint="default" w:ascii="Times New Roman" w:hAnsi="Times New Roman" w:eastAsia="方正仿宋_GBK" w:cs="Times New Roman"/>
          <w:color w:val="auto"/>
          <w:sz w:val="32"/>
          <w:szCs w:val="32"/>
          <w:highlight w:val="none"/>
          <w:shd w:val="clear" w:color="auto" w:fill="FFFFFF"/>
        </w:rPr>
        <w:t>万元，较年初预算数减少37.53万元，下降54.53%，</w:t>
      </w:r>
      <w:r>
        <w:rPr>
          <w:rFonts w:hint="default" w:ascii="Times New Roman" w:hAnsi="Times New Roman" w:eastAsia="方正仿宋_GBK" w:cs="Times New Roman"/>
          <w:b w:val="0"/>
          <w:bCs w:val="0"/>
          <w:color w:val="auto"/>
          <w:kern w:val="0"/>
          <w:sz w:val="32"/>
          <w:szCs w:val="32"/>
          <w:highlight w:val="none"/>
          <w:shd w:val="clear" w:fill="FFFFFF"/>
        </w:rPr>
        <w:t>主要原因是严格执行预算收支政策，确保不超预算开支</w:t>
      </w:r>
      <w:r>
        <w:rPr>
          <w:rFonts w:hint="default" w:ascii="Times New Roman" w:hAnsi="Times New Roman" w:eastAsia="方正仿宋_GBK" w:cs="Times New Roman"/>
          <w:color w:val="auto"/>
          <w:sz w:val="32"/>
          <w:szCs w:val="32"/>
          <w:highlight w:val="none"/>
          <w:shd w:val="clear" w:color="auto" w:fill="FFFFFF"/>
        </w:rPr>
        <w:t>。较上年支出数减少0.41万元，下降1.29%，</w:t>
      </w:r>
      <w:r>
        <w:rPr>
          <w:rFonts w:hint="default" w:ascii="Times New Roman" w:hAnsi="Times New Roman" w:eastAsia="方正仿宋_GBK" w:cs="Times New Roman"/>
          <w:b w:val="0"/>
          <w:bCs w:val="0"/>
          <w:color w:val="auto"/>
          <w:kern w:val="0"/>
          <w:sz w:val="32"/>
          <w:szCs w:val="32"/>
          <w:highlight w:val="none"/>
          <w:shd w:val="clear" w:fill="FFFFFF"/>
        </w:rPr>
        <w:t>主要原因</w:t>
      </w:r>
      <w:r>
        <w:rPr>
          <w:rFonts w:hint="default" w:ascii="Times New Roman" w:hAnsi="Times New Roman" w:eastAsia="方正仿宋_GBK" w:cs="Times New Roman"/>
          <w:b w:val="0"/>
          <w:bCs w:val="0"/>
          <w:color w:val="auto"/>
          <w:kern w:val="0"/>
          <w:sz w:val="32"/>
          <w:szCs w:val="32"/>
          <w:highlight w:val="none"/>
          <w:shd w:val="clear" w:fill="FFFFFF"/>
          <w:lang w:val="en-US" w:eastAsia="zh-CN"/>
        </w:rPr>
        <w:t>是落实财政过紧日子举措，缩减公车运行维护及公务接待等支出</w:t>
      </w:r>
      <w:r>
        <w:rPr>
          <w:rFonts w:hint="default" w:ascii="Times New Roman" w:hAnsi="Times New Roman" w:eastAsia="方正仿宋_GBK" w:cs="Times New Roman"/>
          <w:color w:val="auto"/>
          <w:sz w:val="32"/>
          <w:szCs w:val="32"/>
          <w:highlight w:val="none"/>
          <w:shd w:val="clear" w:color="auto" w:fill="FFFFFF"/>
        </w:rPr>
        <w:t>。</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（二）“三公”经费分项支出情况</w:t>
      </w:r>
    </w:p>
    <w:p>
      <w:pPr>
        <w:pStyle w:val="12"/>
        <w:keepNext w:val="0"/>
        <w:keepLines w:val="0"/>
        <w:pageBreakBefore w:val="0"/>
        <w:widowControl/>
        <w:suppressLineNumbers w:val="0"/>
        <w:kinsoku/>
        <w:wordWrap w:val="0"/>
        <w:overflowPunct/>
        <w:topLinePunct/>
        <w:autoSpaceDE w:val="0"/>
        <w:autoSpaceDN/>
        <w:bidi w:val="0"/>
        <w:adjustRightInd/>
        <w:spacing w:before="0" w:beforeAutospacing="0" w:after="0" w:afterAutospacing="0" w:line="560" w:lineRule="exact"/>
        <w:ind w:left="0" w:firstLine="960" w:firstLineChars="300"/>
        <w:jc w:val="left"/>
        <w:textAlignment w:val="auto"/>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color w:val="auto"/>
          <w:sz w:val="32"/>
          <w:szCs w:val="32"/>
          <w:highlight w:val="none"/>
          <w:shd w:val="clear" w:color="auto" w:fill="FFFFFF"/>
        </w:rPr>
        <w:t>2023年度本单位</w:t>
      </w:r>
      <w:r>
        <w:rPr>
          <w:rFonts w:hint="default" w:ascii="Times New Roman" w:hAnsi="Times New Roman" w:eastAsia="方正仿宋_GBK" w:cs="Times New Roman"/>
          <w:b w:val="0"/>
          <w:bCs w:val="0"/>
          <w:color w:val="auto"/>
          <w:kern w:val="0"/>
          <w:sz w:val="32"/>
          <w:szCs w:val="32"/>
          <w:highlight w:val="none"/>
          <w:shd w:val="clear" w:fill="FFFFFF"/>
        </w:rPr>
        <w:t>年度未发生因公出国（境）及公务车购置费用支出。</w:t>
      </w:r>
    </w:p>
    <w:p>
      <w:pPr>
        <w:pStyle w:val="12"/>
        <w:keepNext w:val="0"/>
        <w:keepLines w:val="0"/>
        <w:pageBreakBefore w:val="0"/>
        <w:widowControl/>
        <w:suppressLineNumbers w:val="0"/>
        <w:kinsoku/>
        <w:wordWrap w:val="0"/>
        <w:overflowPunct/>
        <w:topLinePunct/>
        <w:autoSpaceDE w:val="0"/>
        <w:autoSpaceDN/>
        <w:bidi w:val="0"/>
        <w:adjustRightInd/>
        <w:spacing w:before="0" w:beforeAutospacing="0" w:after="0" w:afterAutospacing="0" w:line="560" w:lineRule="exact"/>
        <w:ind w:left="0" w:firstLine="960" w:firstLineChars="300"/>
        <w:jc w:val="left"/>
        <w:textAlignment w:val="auto"/>
        <w:rPr>
          <w:rFonts w:hint="default" w:ascii="Times New Roman" w:hAnsi="Times New Roman" w:eastAsia="方正仿宋_GBK" w:cs="Times New Roman"/>
          <w:b w:val="0"/>
          <w:bCs w:val="0"/>
          <w:color w:val="auto"/>
          <w:kern w:val="0"/>
          <w:sz w:val="32"/>
          <w:szCs w:val="32"/>
          <w:highlight w:val="none"/>
          <w:shd w:val="clear" w:fill="FFFFFF"/>
          <w:lang w:val="en-US" w:eastAsia="zh-CN"/>
        </w:rPr>
      </w:pP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rPr>
        <w:t>15.52</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b w:val="0"/>
          <w:bCs w:val="0"/>
          <w:color w:val="auto"/>
          <w:kern w:val="0"/>
          <w:sz w:val="32"/>
          <w:szCs w:val="32"/>
          <w:highlight w:val="none"/>
          <w:shd w:val="clear" w:fill="FFFFFF"/>
        </w:rPr>
        <w:t>主要用于市内因公出行所需车辆的燃料费、维修费、过桥过路费、保险费等</w:t>
      </w:r>
      <w:r>
        <w:rPr>
          <w:rFonts w:hint="default" w:ascii="Times New Roman" w:hAnsi="Times New Roman" w:eastAsia="方正仿宋_GBK" w:cs="Times New Roman"/>
          <w:color w:val="auto"/>
          <w:sz w:val="32"/>
          <w:szCs w:val="32"/>
          <w:highlight w:val="none"/>
          <w:shd w:val="clear" w:color="auto" w:fill="FFFFFF"/>
        </w:rPr>
        <w:t>。费用支出较年初预算数减少17.06万元，下降52.36%，主要原因是</w:t>
      </w:r>
      <w:r>
        <w:rPr>
          <w:rFonts w:hint="default" w:ascii="Times New Roman" w:hAnsi="Times New Roman" w:eastAsia="方正仿宋_GBK" w:cs="Times New Roman"/>
          <w:color w:val="auto"/>
          <w:sz w:val="32"/>
          <w:szCs w:val="32"/>
          <w:highlight w:val="none"/>
          <w:shd w:val="clear" w:color="auto" w:fill="FFFFFF"/>
          <w:lang w:val="en-US" w:eastAsia="zh-CN"/>
        </w:rPr>
        <w:t>二级单位严格</w:t>
      </w:r>
      <w:r>
        <w:rPr>
          <w:rFonts w:hint="default" w:ascii="Times New Roman" w:hAnsi="Times New Roman" w:eastAsia="方正仿宋_GBK" w:cs="Times New Roman"/>
          <w:color w:val="auto"/>
          <w:sz w:val="32"/>
          <w:szCs w:val="32"/>
          <w:highlight w:val="none"/>
          <w:shd w:val="clear" w:color="auto" w:fill="FFFFFF"/>
        </w:rPr>
        <w:t>执行预算收支政策，确保不超预算开支</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shd w:val="clear" w:color="auto" w:fill="FFFFFF"/>
        </w:rPr>
        <w:t>较上年支出数减少5.14万元，下降24.88%，主要原因是</w:t>
      </w:r>
      <w:r>
        <w:rPr>
          <w:rFonts w:hint="default" w:ascii="Times New Roman" w:hAnsi="Times New Roman" w:eastAsia="方正仿宋_GBK" w:cs="Times New Roman"/>
          <w:b w:val="0"/>
          <w:bCs w:val="0"/>
          <w:color w:val="auto"/>
          <w:kern w:val="0"/>
          <w:sz w:val="32"/>
          <w:szCs w:val="32"/>
          <w:highlight w:val="none"/>
          <w:shd w:val="clear" w:fill="FFFFFF"/>
        </w:rPr>
        <w:t>主要原因</w:t>
      </w:r>
      <w:r>
        <w:rPr>
          <w:rFonts w:hint="default" w:ascii="Times New Roman" w:hAnsi="Times New Roman" w:eastAsia="方正仿宋_GBK" w:cs="Times New Roman"/>
          <w:b w:val="0"/>
          <w:bCs w:val="0"/>
          <w:color w:val="auto"/>
          <w:kern w:val="0"/>
          <w:sz w:val="32"/>
          <w:szCs w:val="32"/>
          <w:highlight w:val="none"/>
          <w:shd w:val="clear" w:fill="FFFFFF"/>
          <w:lang w:val="en-US" w:eastAsia="zh-CN"/>
        </w:rPr>
        <w:t>是落实财政过紧日子举措，缩减公车运行维护等支出。</w:t>
      </w:r>
    </w:p>
    <w:p>
      <w:pPr>
        <w:pStyle w:val="12"/>
        <w:keepNext w:val="0"/>
        <w:keepLines w:val="0"/>
        <w:pageBreakBefore w:val="0"/>
        <w:widowControl/>
        <w:suppressLineNumbers w:val="0"/>
        <w:kinsoku/>
        <w:wordWrap w:val="0"/>
        <w:overflowPunct/>
        <w:topLinePunct/>
        <w:autoSpaceDE w:val="0"/>
        <w:autoSpaceDN/>
        <w:bidi w:val="0"/>
        <w:adjustRightInd/>
        <w:spacing w:before="0" w:beforeAutospacing="0" w:after="0" w:afterAutospacing="0" w:line="560" w:lineRule="exact"/>
        <w:ind w:left="0" w:firstLine="960" w:firstLineChars="300"/>
        <w:jc w:val="left"/>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公务接待费</w:t>
      </w:r>
      <w:r>
        <w:rPr>
          <w:rFonts w:hint="default" w:ascii="Times New Roman" w:hAnsi="Times New Roman" w:eastAsia="方正仿宋_GBK" w:cs="Times New Roman"/>
          <w:color w:val="auto"/>
          <w:sz w:val="32"/>
          <w:szCs w:val="32"/>
          <w:highlight w:val="none"/>
        </w:rPr>
        <w:t>15.76</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b w:val="0"/>
          <w:bCs w:val="0"/>
          <w:color w:val="auto"/>
          <w:kern w:val="0"/>
          <w:sz w:val="32"/>
          <w:szCs w:val="32"/>
          <w:highlight w:val="none"/>
          <w:shd w:val="clear" w:fill="FFFFFF"/>
        </w:rPr>
        <w:t>主要用于招商引资等接待开支</w:t>
      </w:r>
      <w:r>
        <w:rPr>
          <w:rFonts w:hint="default" w:ascii="Times New Roman" w:hAnsi="Times New Roman" w:eastAsia="方正仿宋_GBK" w:cs="Times New Roman"/>
          <w:color w:val="auto"/>
          <w:sz w:val="32"/>
          <w:szCs w:val="32"/>
          <w:highlight w:val="none"/>
          <w:shd w:val="clear" w:color="auto" w:fill="FFFFFF"/>
        </w:rPr>
        <w:t>。费用支出较年初预算数减少20.48万元，下降56.51%，</w:t>
      </w:r>
      <w:r>
        <w:rPr>
          <w:rFonts w:hint="default" w:ascii="Times New Roman" w:hAnsi="Times New Roman" w:eastAsia="方正仿宋_GBK" w:cs="Times New Roman"/>
          <w:b w:val="0"/>
          <w:bCs w:val="0"/>
          <w:color w:val="auto"/>
          <w:kern w:val="0"/>
          <w:sz w:val="32"/>
          <w:szCs w:val="32"/>
          <w:highlight w:val="none"/>
          <w:shd w:val="clear" w:fill="FFFFFF"/>
        </w:rPr>
        <w:t>主要原因是严格执行预算收支政策，确保不超预算开支</w:t>
      </w:r>
      <w:r>
        <w:rPr>
          <w:rFonts w:hint="default" w:ascii="Times New Roman" w:hAnsi="Times New Roman" w:eastAsia="方正仿宋_GBK" w:cs="Times New Roman"/>
          <w:color w:val="auto"/>
          <w:sz w:val="32"/>
          <w:szCs w:val="32"/>
          <w:highlight w:val="none"/>
          <w:shd w:val="clear" w:color="auto" w:fill="FFFFFF"/>
        </w:rPr>
        <w:t>。较上年支出数增加4.72万元，增长42.75%，主要原因是</w:t>
      </w:r>
      <w:r>
        <w:rPr>
          <w:rFonts w:hint="default" w:ascii="Times New Roman" w:hAnsi="Times New Roman" w:eastAsia="方正仿宋_GBK" w:cs="Times New Roman"/>
          <w:color w:val="auto"/>
          <w:sz w:val="32"/>
          <w:szCs w:val="32"/>
          <w:highlight w:val="none"/>
          <w:shd w:val="clear" w:color="auto" w:fill="FFFFFF"/>
          <w:lang w:eastAsia="zh-CN"/>
        </w:rPr>
        <w:t>来石考察</w:t>
      </w:r>
      <w:r>
        <w:rPr>
          <w:rFonts w:hint="default" w:ascii="Times New Roman" w:hAnsi="Times New Roman" w:eastAsia="方正仿宋_GBK" w:cs="Times New Roman"/>
          <w:color w:val="auto"/>
          <w:sz w:val="32"/>
          <w:szCs w:val="32"/>
          <w:highlight w:val="none"/>
          <w:shd w:val="clear" w:color="auto" w:fill="FFFFFF"/>
          <w:lang w:val="en-US" w:eastAsia="zh-CN"/>
        </w:rPr>
        <w:t>检查等相关接待有所</w:t>
      </w:r>
      <w:r>
        <w:rPr>
          <w:rFonts w:hint="default"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rPr>
        <w:t>。</w:t>
      </w:r>
    </w:p>
    <w:p>
      <w:pPr>
        <w:pStyle w:val="12"/>
        <w:keepNext w:val="0"/>
        <w:keepLines w:val="0"/>
        <w:pageBreakBefore w:val="0"/>
        <w:widowControl/>
        <w:suppressLineNumbers w:val="0"/>
        <w:kinsoku/>
        <w:wordWrap w:val="0"/>
        <w:overflowPunct/>
        <w:topLinePunct/>
        <w:autoSpaceDE w:val="0"/>
        <w:autoSpaceDN/>
        <w:bidi w:val="0"/>
        <w:adjustRightInd/>
        <w:spacing w:before="0" w:beforeAutospacing="0" w:after="0" w:afterAutospacing="0" w:line="560" w:lineRule="exact"/>
        <w:ind w:left="0" w:firstLine="960" w:firstLineChars="300"/>
        <w:jc w:val="left"/>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（三）“三公”经费实物量情况</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2023年度本部门因公出国（境）共计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304</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1631</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人。2023年本部门人均接待费</w:t>
      </w:r>
      <w:r>
        <w:rPr>
          <w:rFonts w:hint="default" w:ascii="Times New Roman" w:hAnsi="Times New Roman" w:eastAsia="方正仿宋_GBK" w:cs="Times New Roman"/>
          <w:color w:val="auto"/>
          <w:sz w:val="32"/>
          <w:szCs w:val="32"/>
          <w:highlight w:val="none"/>
        </w:rPr>
        <w:t>96.65</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3.88</w:t>
      </w:r>
      <w:r>
        <w:rPr>
          <w:rFonts w:hint="default" w:ascii="Times New Roman" w:hAnsi="Times New Roman" w:eastAsia="方正仿宋_GBK" w:cs="Times New Roman"/>
          <w:color w:val="auto"/>
          <w:sz w:val="32"/>
          <w:szCs w:val="32"/>
          <w:highlight w:val="none"/>
          <w:shd w:val="clear" w:color="auto" w:fill="FFFFFF"/>
        </w:rPr>
        <w:t>万元。</w:t>
      </w:r>
    </w:p>
    <w:p>
      <w:pPr>
        <w:pStyle w:val="6"/>
        <w:keepNext w:val="0"/>
        <w:keepLines w:val="0"/>
        <w:pageBreakBefore w:val="0"/>
        <w:widowControl/>
        <w:shd w:val="clear" w:color="auto" w:fill="FFFFFF"/>
        <w:kinsoku/>
        <w:overflowPunct/>
        <w:autoSpaceDN/>
        <w:bidi w:val="0"/>
        <w:adjustRightInd/>
        <w:spacing w:before="0" w:beforeAutospacing="0" w:after="0" w:afterAutospacing="0" w:line="560" w:lineRule="exact"/>
        <w:ind w:firstLine="640" w:firstLineChars="200"/>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四、其他需要说明的事项</w:t>
      </w:r>
    </w:p>
    <w:p>
      <w:pPr>
        <w:pStyle w:val="11"/>
        <w:keepNext w:val="0"/>
        <w:keepLines w:val="0"/>
        <w:pageBreakBefore w:val="0"/>
        <w:widowControl/>
        <w:kinsoku/>
        <w:overflowPunct/>
        <w:autoSpaceDE w:val="0"/>
        <w:autoSpaceDN/>
        <w:bidi w:val="0"/>
        <w:adjustRightInd/>
        <w:spacing w:beforeAutospacing="0" w:afterAutospacing="0" w:line="560" w:lineRule="exact"/>
        <w:ind w:firstLine="643"/>
        <w:rPr>
          <w:rFonts w:hint="default" w:ascii="Times New Roman" w:hAnsi="Times New Roman" w:eastAsia="楷体" w:cs="Times New Roman"/>
          <w:b/>
          <w:bCs/>
          <w:color w:val="auto"/>
          <w:sz w:val="32"/>
          <w:szCs w:val="32"/>
          <w:highlight w:val="none"/>
          <w:shd w:val="clear" w:color="auto" w:fill="FFFFFF"/>
        </w:rPr>
      </w:pPr>
      <w:r>
        <w:rPr>
          <w:rFonts w:hint="default" w:ascii="Times New Roman" w:hAnsi="Times New Roman" w:eastAsia="楷体" w:cs="Times New Roman"/>
          <w:b/>
          <w:bCs/>
          <w:color w:val="auto"/>
          <w:sz w:val="32"/>
          <w:szCs w:val="32"/>
          <w:highlight w:val="none"/>
          <w:shd w:val="clear" w:color="auto" w:fill="FFFFFF"/>
        </w:rPr>
        <w:t xml:space="preserve">  </w:t>
      </w:r>
      <w:r>
        <w:rPr>
          <w:rFonts w:hint="default" w:ascii="Times New Roman" w:hAnsi="Times New Roman" w:eastAsia="方正楷体_GBK" w:cs="Times New Roman"/>
          <w:color w:val="auto"/>
          <w:sz w:val="32"/>
          <w:szCs w:val="32"/>
          <w:highlight w:val="none"/>
          <w:lang w:val="en-US" w:eastAsia="zh-CN" w:bidi="ar-SA"/>
        </w:rPr>
        <w:t>（一）财政拨款会议费和培训费情况说明</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  本年度会议费支出</w:t>
      </w:r>
      <w:r>
        <w:rPr>
          <w:rFonts w:hint="default" w:ascii="Times New Roman" w:hAnsi="Times New Roman" w:eastAsia="方正仿宋_GBK" w:cs="Times New Roman"/>
          <w:color w:val="auto"/>
          <w:sz w:val="32"/>
          <w:szCs w:val="32"/>
          <w:highlight w:val="none"/>
        </w:rPr>
        <w:t>28.46</w:t>
      </w:r>
      <w:r>
        <w:rPr>
          <w:rFonts w:hint="default" w:ascii="Times New Roman" w:hAnsi="Times New Roman" w:eastAsia="方正仿宋_GBK" w:cs="Times New Roman"/>
          <w:color w:val="auto"/>
          <w:sz w:val="32"/>
          <w:szCs w:val="32"/>
          <w:highlight w:val="none"/>
          <w:shd w:val="clear" w:color="auto" w:fill="FFFFFF"/>
        </w:rPr>
        <w:t>万元，较上年决算数增加0.75万元，增长2.71%，主要原因是</w:t>
      </w:r>
      <w:r>
        <w:rPr>
          <w:rFonts w:hint="default" w:ascii="Times New Roman" w:hAnsi="Times New Roman" w:eastAsia="方正仿宋_GBK" w:cs="Times New Roman"/>
          <w:color w:val="auto"/>
          <w:sz w:val="32"/>
          <w:szCs w:val="32"/>
          <w:highlight w:val="none"/>
          <w:shd w:val="clear" w:color="auto" w:fill="FFFFFF"/>
          <w:lang w:eastAsia="zh-CN"/>
        </w:rPr>
        <w:t>来石</w:t>
      </w:r>
      <w:r>
        <w:rPr>
          <w:rFonts w:hint="default" w:ascii="Times New Roman" w:hAnsi="Times New Roman" w:eastAsia="方正仿宋_GBK" w:cs="Times New Roman"/>
          <w:color w:val="auto"/>
          <w:sz w:val="32"/>
          <w:szCs w:val="32"/>
          <w:highlight w:val="none"/>
          <w:shd w:val="clear" w:color="auto" w:fill="FFFFFF"/>
          <w:lang w:val="en-US" w:eastAsia="zh-CN"/>
        </w:rPr>
        <w:t>考察</w:t>
      </w:r>
      <w:r>
        <w:rPr>
          <w:rFonts w:hint="default" w:ascii="Times New Roman" w:hAnsi="Times New Roman" w:eastAsia="方正仿宋_GBK" w:cs="Times New Roman"/>
          <w:color w:val="auto"/>
          <w:sz w:val="32"/>
          <w:szCs w:val="32"/>
          <w:highlight w:val="none"/>
          <w:shd w:val="clear" w:color="auto" w:fill="FFFFFF"/>
          <w:lang w:eastAsia="zh-CN"/>
        </w:rPr>
        <w:t>企业较上年增多，开展会议活动增加</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6.37</w:t>
      </w:r>
      <w:r>
        <w:rPr>
          <w:rFonts w:hint="default" w:ascii="Times New Roman" w:hAnsi="Times New Roman" w:eastAsia="方正仿宋_GBK" w:cs="Times New Roman"/>
          <w:color w:val="auto"/>
          <w:sz w:val="32"/>
          <w:szCs w:val="32"/>
          <w:highlight w:val="none"/>
          <w:shd w:val="clear" w:color="auto" w:fill="FFFFFF"/>
        </w:rPr>
        <w:t>万元，较上年决算数增加0.45万元，增长7.60%，</w:t>
      </w:r>
      <w:r>
        <w:rPr>
          <w:rFonts w:hint="default" w:ascii="Times New Roman" w:hAnsi="Times New Roman" w:eastAsia="方正仿宋_GBK" w:cs="Times New Roman"/>
          <w:color w:val="auto"/>
          <w:sz w:val="32"/>
          <w:szCs w:val="32"/>
          <w:highlight w:val="none"/>
          <w:shd w:val="clear" w:color="auto" w:fill="FFFFFF"/>
          <w:lang w:val="en-US" w:eastAsia="zh-CN"/>
        </w:rPr>
        <w:t>二级预算单位拉通使用经费导致决算数增加。</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（二）机关运行经费情况说明</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960" w:firstLineChars="300"/>
        <w:jc w:val="both"/>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highlight w:val="none"/>
          <w:shd w:val="clear" w:color="auto" w:fill="FFFFFF"/>
        </w:rPr>
        <w:t>2023年度本部门机关运行经费支出</w:t>
      </w:r>
      <w:r>
        <w:rPr>
          <w:rFonts w:hint="default" w:ascii="Times New Roman" w:hAnsi="Times New Roman" w:eastAsia="方正仿宋_GBK" w:cs="Times New Roman"/>
          <w:color w:val="auto"/>
          <w:sz w:val="32"/>
          <w:szCs w:val="32"/>
          <w:highlight w:val="none"/>
        </w:rPr>
        <w:t>184.06</w:t>
      </w:r>
      <w:r>
        <w:rPr>
          <w:rFonts w:hint="default" w:ascii="Times New Roman" w:hAnsi="Times New Roman" w:eastAsia="方正仿宋_GBK" w:cs="Times New Roman"/>
          <w:color w:val="auto"/>
          <w:sz w:val="32"/>
          <w:szCs w:val="32"/>
          <w:highlight w:val="none"/>
          <w:shd w:val="clear" w:color="auto" w:fill="FFFFFF"/>
        </w:rPr>
        <w:t>万元，机关运行经费</w:t>
      </w:r>
      <w:r>
        <w:rPr>
          <w:rFonts w:hint="default" w:ascii="Times New Roman" w:hAnsi="Times New Roman" w:eastAsia="方正仿宋_GBK" w:cs="Times New Roman"/>
          <w:color w:val="auto"/>
          <w:sz w:val="32"/>
          <w:szCs w:val="32"/>
          <w:highlight w:val="none"/>
          <w:shd w:val="clear" w:fill="FFFFFF"/>
          <w:lang w:eastAsia="zh-CN"/>
        </w:rPr>
        <w:t>主要用于开支办公费、公务车运行维护费、差旅费、邮电费、驻村人员补贴等</w:t>
      </w:r>
      <w:r>
        <w:rPr>
          <w:rFonts w:hint="default" w:ascii="Times New Roman" w:hAnsi="Times New Roman" w:eastAsia="方正仿宋_GBK" w:cs="Times New Roman"/>
          <w:color w:val="auto"/>
          <w:sz w:val="32"/>
          <w:szCs w:val="32"/>
          <w:highlight w:val="none"/>
          <w:shd w:val="clear" w:color="auto" w:fill="FFFFFF"/>
        </w:rPr>
        <w:t>。机关运行经费较上年支出数增加12.01万元，增长6.98%，主要原因是</w:t>
      </w:r>
      <w:r>
        <w:rPr>
          <w:rFonts w:hint="default" w:ascii="Times New Roman" w:hAnsi="Times New Roman" w:eastAsia="方正仿宋_GBK" w:cs="Times New Roman"/>
          <w:color w:val="auto"/>
          <w:sz w:val="32"/>
          <w:szCs w:val="32"/>
          <w:highlight w:val="none"/>
          <w:shd w:val="clear" w:color="auto" w:fill="FFFFFF"/>
          <w:lang w:val="en-US" w:eastAsia="zh-CN"/>
        </w:rPr>
        <w:t>科协与本单位合署办公、单位人员增加、机关办公楼搬迁等因素导致办公、劳务等机关运行费增加</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 xml:space="preserve"> </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（三）国有资产占用情况说明</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截至2023年12月31日，本部门共有车辆</w:t>
      </w: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shd w:val="clear" w:color="auto" w:fill="FFFFFF"/>
        </w:rPr>
        <w:t>辆，其中，副部（省）级及以上领导用车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辆、主要负责人用车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辆、机要通信用车</w:t>
      </w: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shd w:val="clear" w:color="auto" w:fill="FFFFFF"/>
        </w:rPr>
        <w:t>辆、应急保障用车</w:t>
      </w: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shd w:val="clear" w:color="auto" w:fill="FFFFFF"/>
        </w:rPr>
        <w:t>辆、执法执勤用车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辆，特种专业技术用车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辆，离退休干部用车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辆。单价100万元（含）以上专用设备</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台（套）。</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（四）政府采购支出情况说明</w:t>
      </w:r>
    </w:p>
    <w:p>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2023年度我单位未发生政府采购事项，无相关经费支出。</w:t>
      </w:r>
    </w:p>
    <w:p>
      <w:pPr>
        <w:pStyle w:val="6"/>
        <w:keepNext w:val="0"/>
        <w:keepLines w:val="0"/>
        <w:pageBreakBefore w:val="0"/>
        <w:widowControl/>
        <w:shd w:val="clear" w:color="auto" w:fill="FFFFFF"/>
        <w:kinsoku/>
        <w:overflowPunct/>
        <w:autoSpaceDN/>
        <w:bidi w:val="0"/>
        <w:adjustRightInd/>
        <w:spacing w:before="0" w:beforeAutospacing="0" w:after="0" w:afterAutospacing="0" w:line="560" w:lineRule="exact"/>
        <w:ind w:firstLine="640" w:firstLineChars="200"/>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lang w:val="en-US" w:eastAsia="zh-CN"/>
        </w:rPr>
        <w:t>五、</w:t>
      </w:r>
      <w:r>
        <w:rPr>
          <w:rStyle w:val="10"/>
          <w:rFonts w:hint="default" w:ascii="Times New Roman" w:hAnsi="Times New Roman" w:eastAsia="方正黑体_GBK" w:cs="Times New Roman"/>
          <w:b w:val="0"/>
          <w:bCs/>
          <w:color w:val="auto"/>
          <w:sz w:val="32"/>
          <w:szCs w:val="32"/>
          <w:highlight w:val="none"/>
          <w:shd w:val="clear" w:color="auto" w:fill="FFFFFF"/>
        </w:rPr>
        <w:t>预算绩效管理情况说明</w:t>
      </w:r>
    </w:p>
    <w:p>
      <w:pPr>
        <w:pStyle w:val="6"/>
        <w:keepNext w:val="0"/>
        <w:keepLines w:val="0"/>
        <w:pageBreakBefore w:val="0"/>
        <w:widowControl/>
        <w:shd w:val="clear" w:fill="FFFFFF"/>
        <w:kinsoku/>
        <w:overflowPunct/>
        <w:autoSpaceDN/>
        <w:bidi w:val="0"/>
        <w:adjustRightInd/>
        <w:spacing w:before="0" w:beforeAutospacing="0" w:after="0" w:afterAutospacing="0" w:line="560" w:lineRule="exact"/>
        <w:ind w:left="0" w:right="0" w:firstLine="640" w:firstLineChars="200"/>
        <w:textAlignment w:val="auto"/>
        <w:rPr>
          <w:rFonts w:hint="default" w:ascii="Times New Roman" w:hAnsi="Times New Roman" w:eastAsia="方正楷体_GBK" w:cs="Times New Roman"/>
          <w:color w:val="auto"/>
          <w:sz w:val="32"/>
          <w:szCs w:val="32"/>
          <w:highlight w:val="none"/>
          <w:lang w:val="en-US" w:eastAsia="zh-CN" w:bidi="ar-SA"/>
        </w:rPr>
      </w:pPr>
      <w:r>
        <w:rPr>
          <w:rFonts w:hint="default" w:ascii="Times New Roman" w:hAnsi="Times New Roman" w:eastAsia="方正楷体_GBK" w:cs="Times New Roman"/>
          <w:color w:val="auto"/>
          <w:sz w:val="32"/>
          <w:szCs w:val="32"/>
          <w:highlight w:val="none"/>
          <w:lang w:val="en-US" w:eastAsia="zh-CN" w:bidi="ar-SA"/>
        </w:rPr>
        <w:t>（一）部门自评情况。</w:t>
      </w:r>
    </w:p>
    <w:p>
      <w:pPr>
        <w:pStyle w:val="6"/>
        <w:keepNext w:val="0"/>
        <w:keepLines w:val="0"/>
        <w:pageBreakBefore w:val="0"/>
        <w:widowControl/>
        <w:shd w:val="clear" w:fill="FFFFFF"/>
        <w:kinsoku/>
        <w:overflowPunct/>
        <w:autoSpaceDN/>
        <w:bidi w:val="0"/>
        <w:adjustRightIn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auto"/>
          <w:sz w:val="32"/>
          <w:szCs w:val="32"/>
          <w:highlight w:val="none"/>
          <w:shd w:val="clear" w:fill="FFFFFF"/>
          <w:lang w:val="en-US"/>
        </w:rPr>
      </w:pPr>
      <w:r>
        <w:rPr>
          <w:rFonts w:hint="default" w:ascii="Times New Roman" w:hAnsi="Times New Roman" w:eastAsia="方正仿宋_GBK" w:cs="Times New Roman"/>
          <w:color w:val="auto"/>
          <w:sz w:val="32"/>
          <w:szCs w:val="32"/>
          <w:highlight w:val="none"/>
          <w:shd w:val="clear" w:fill="FFFFFF"/>
          <w:lang w:eastAsia="zh-CN"/>
        </w:rPr>
        <w:t>根据预算绩效管理要求，本部门对</w:t>
      </w:r>
      <w:r>
        <w:rPr>
          <w:rFonts w:hint="eastAsia" w:ascii="Times New Roman" w:hAnsi="Times New Roman" w:eastAsia="方正仿宋_GBK" w:cs="Times New Roman"/>
          <w:color w:val="auto"/>
          <w:sz w:val="32"/>
          <w:szCs w:val="32"/>
          <w:highlight w:val="none"/>
          <w:shd w:val="clear" w:fill="FFFFFF"/>
          <w:lang w:val="en-US" w:eastAsia="zh-CN"/>
        </w:rPr>
        <w:t>38</w:t>
      </w:r>
      <w:r>
        <w:rPr>
          <w:rFonts w:hint="default" w:ascii="Times New Roman" w:hAnsi="Times New Roman" w:eastAsia="方正仿宋_GBK" w:cs="Times New Roman"/>
          <w:color w:val="auto"/>
          <w:sz w:val="32"/>
          <w:szCs w:val="32"/>
          <w:highlight w:val="none"/>
          <w:shd w:val="clear" w:fill="FFFFFF"/>
          <w:lang w:eastAsia="zh-CN"/>
        </w:rPr>
        <w:t>个项目开展了绩效自评，其中，以填报目标自评表形式开展自评</w:t>
      </w:r>
      <w:r>
        <w:rPr>
          <w:rFonts w:hint="default" w:ascii="Times New Roman" w:hAnsi="Times New Roman" w:eastAsia="方正仿宋_GBK" w:cs="Times New Roman"/>
          <w:color w:val="auto"/>
          <w:sz w:val="32"/>
          <w:szCs w:val="32"/>
          <w:highlight w:val="none"/>
          <w:shd w:val="clear" w:fill="FFFFFF"/>
          <w:lang w:val="en-US" w:eastAsia="zh-CN"/>
        </w:rPr>
        <w:t>1</w:t>
      </w:r>
      <w:r>
        <w:rPr>
          <w:rFonts w:hint="eastAsia" w:ascii="Times New Roman" w:hAnsi="Times New Roman" w:eastAsia="方正仿宋_GBK" w:cs="Times New Roman"/>
          <w:color w:val="auto"/>
          <w:sz w:val="32"/>
          <w:szCs w:val="32"/>
          <w:highlight w:val="none"/>
          <w:shd w:val="clear" w:fill="FFFFFF"/>
          <w:lang w:val="en-US" w:eastAsia="zh-CN"/>
        </w:rPr>
        <w:t>2</w:t>
      </w:r>
      <w:r>
        <w:rPr>
          <w:rFonts w:hint="default" w:ascii="Times New Roman" w:hAnsi="Times New Roman" w:eastAsia="方正仿宋_GBK" w:cs="Times New Roman"/>
          <w:color w:val="auto"/>
          <w:sz w:val="32"/>
          <w:szCs w:val="32"/>
          <w:highlight w:val="none"/>
          <w:shd w:val="clear" w:fill="FFFFFF"/>
          <w:lang w:eastAsia="zh-CN"/>
        </w:rPr>
        <w:t>项，涉及资金</w:t>
      </w:r>
      <w:r>
        <w:rPr>
          <w:rFonts w:hint="eastAsia" w:ascii="Times New Roman" w:hAnsi="Times New Roman" w:eastAsia="方正仿宋_GBK" w:cs="Times New Roman"/>
          <w:color w:val="auto"/>
          <w:sz w:val="32"/>
          <w:szCs w:val="32"/>
          <w:highlight w:val="none"/>
          <w:shd w:val="clear" w:fill="FFFFFF"/>
          <w:lang w:val="en-US" w:eastAsia="zh-CN"/>
        </w:rPr>
        <w:t>2505</w:t>
      </w:r>
      <w:r>
        <w:rPr>
          <w:rFonts w:hint="default" w:ascii="Times New Roman" w:hAnsi="Times New Roman" w:eastAsia="方正仿宋_GBK" w:cs="Times New Roman"/>
          <w:color w:val="auto"/>
          <w:sz w:val="32"/>
          <w:szCs w:val="32"/>
          <w:highlight w:val="none"/>
          <w:shd w:val="clear" w:fill="FFFFFF"/>
          <w:lang w:eastAsia="zh-CN"/>
        </w:rPr>
        <w:t>万元，对从评价情况来看，项目的实施具有一定的经济效益及社会效益，有效扶持企业发展，基本完成预期的绩效目标。</w:t>
      </w:r>
    </w:p>
    <w:p>
      <w:pPr>
        <w:pStyle w:val="16"/>
        <w:keepNext w:val="0"/>
        <w:keepLines w:val="0"/>
        <w:pageBreakBefore w:val="0"/>
        <w:widowControl/>
        <w:tabs>
          <w:tab w:val="center" w:pos="4153"/>
          <w:tab w:val="left" w:pos="7275"/>
        </w:tabs>
        <w:kinsoku/>
        <w:overflowPunct/>
        <w:topLinePunct/>
        <w:autoSpaceDN/>
        <w:bidi w:val="0"/>
        <w:adjustRightInd/>
        <w:spacing w:beforeAutospacing="0" w:afterAutospacing="0" w:line="560" w:lineRule="exact"/>
        <w:ind w:left="640" w:firstLine="0" w:firstLineChars="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（二）绩效自评结果。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textAlignment w:val="baseline"/>
        <w:rPr>
          <w:rFonts w:hint="default" w:ascii="Times New Roman" w:hAnsi="Times New Roman" w:eastAsia="仿宋" w:cs="Times New Roman"/>
          <w:i w:val="0"/>
          <w:iCs w:val="0"/>
          <w:caps w:val="0"/>
          <w:color w:val="auto"/>
          <w:spacing w:val="0"/>
          <w:sz w:val="31"/>
          <w:szCs w:val="31"/>
          <w:highlight w:val="none"/>
          <w:vertAlign w:val="baseline"/>
        </w:rPr>
      </w:pPr>
      <w:r>
        <w:rPr>
          <w:rFonts w:hint="default" w:ascii="Times New Roman" w:hAnsi="Times New Roman" w:eastAsia="仿宋" w:cs="Times New Roman"/>
          <w:i w:val="0"/>
          <w:iCs w:val="0"/>
          <w:caps w:val="0"/>
          <w:color w:val="auto"/>
          <w:spacing w:val="0"/>
          <w:sz w:val="31"/>
          <w:szCs w:val="31"/>
          <w:highlight w:val="none"/>
          <w:vertAlign w:val="baseline"/>
        </w:rPr>
        <w:t>1.绩效目标自评表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680" w:firstLineChars="6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r>
        <w:rPr>
          <w:rFonts w:hint="default" w:ascii="Times New Roman" w:hAnsi="Times New Roman" w:eastAsia="仿宋" w:cs="Times New Roman"/>
          <w:i w:val="0"/>
          <w:iCs w:val="0"/>
          <w:caps w:val="0"/>
          <w:color w:val="auto"/>
          <w:spacing w:val="0"/>
          <w:sz w:val="28"/>
          <w:szCs w:val="28"/>
          <w:highlight w:val="none"/>
          <w:vertAlign w:val="baseline"/>
          <w:lang w:val="en-US" w:eastAsia="zh-CN"/>
        </w:rPr>
        <w:t>2023年度二级项目绩效自评表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1"/>
        <w:gridCol w:w="624"/>
        <w:gridCol w:w="624"/>
        <w:gridCol w:w="932"/>
        <w:gridCol w:w="737"/>
        <w:gridCol w:w="1020"/>
        <w:gridCol w:w="652"/>
        <w:gridCol w:w="626"/>
        <w:gridCol w:w="624"/>
        <w:gridCol w:w="830"/>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项目名称：</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嘉酿啤酒待岗内退职工基本生活费及“五险一金”</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项目编码：</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50024022T000000095793</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自评总分：</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auto"/>
                <w:sz w:val="13"/>
                <w:szCs w:val="13"/>
                <w:highlight w:val="none"/>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040-石柱土家族自治县经济和信息化委员会</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508-经济建设和产业发展科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7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彭波</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联系电话：</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lang w:val="en-US"/>
              </w:rPr>
            </w:pPr>
            <w:r>
              <w:rPr>
                <w:rFonts w:hint="default" w:ascii="Times New Roman" w:hAnsi="Times New Roman" w:cs="Times New Roman"/>
                <w:i w:val="0"/>
                <w:iCs w:val="0"/>
                <w:color w:val="auto"/>
                <w:kern w:val="0"/>
                <w:sz w:val="13"/>
                <w:szCs w:val="13"/>
                <w:highlight w:val="none"/>
                <w:u w:val="none"/>
                <w:lang w:val="en-US" w:eastAsia="zh-CN" w:bidi="ar"/>
              </w:rPr>
              <w:t>02373332025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年度总金额</w:t>
            </w:r>
          </w:p>
        </w:tc>
        <w:tc>
          <w:tcPr>
            <w:tcW w:w="366"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1,200,000.00 </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1,200,000.00 </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1,200,000.00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其中：财政拨款</w:t>
            </w:r>
          </w:p>
        </w:tc>
        <w:tc>
          <w:tcPr>
            <w:tcW w:w="366"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1,200,000.00 </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1,200,000.00 </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1,200,000.00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一般公共预算</w:t>
            </w:r>
          </w:p>
        </w:tc>
        <w:tc>
          <w:tcPr>
            <w:tcW w:w="366"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1,200,000.00 </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1,200,000.00 </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1,200,000.00 </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17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9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按企业投资协议，解决原重啤公司待岗内退职工的五险一金及基本生活费,为企业发展提供支持。</w:t>
            </w:r>
          </w:p>
        </w:tc>
        <w:tc>
          <w:tcPr>
            <w:tcW w:w="177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auto"/>
                <w:sz w:val="13"/>
                <w:szCs w:val="13"/>
                <w:highlight w:val="none"/>
                <w:u w:val="none"/>
              </w:rPr>
            </w:pPr>
          </w:p>
        </w:tc>
        <w:tc>
          <w:tcPr>
            <w:tcW w:w="127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按企业投资协议，解决原重啤公司待岗内退职工的五险一金及基本生活费,为企业发展提供支持。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指标名称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计量单位</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指标性质</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指标值</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偏离度（%）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得分系数（%）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指标权重</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指标得分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拨付企业数量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家</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资金拨付率</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资金拨付到位时间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天</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拨付企业资金</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120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120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资金拨付到位知晓率</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服务对象满意度</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680" w:firstLineChars="6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680" w:firstLineChars="6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r>
        <w:rPr>
          <w:rFonts w:hint="default" w:ascii="Times New Roman" w:hAnsi="Times New Roman" w:eastAsia="仿宋" w:cs="Times New Roman"/>
          <w:i w:val="0"/>
          <w:iCs w:val="0"/>
          <w:caps w:val="0"/>
          <w:color w:val="auto"/>
          <w:spacing w:val="0"/>
          <w:sz w:val="28"/>
          <w:szCs w:val="28"/>
          <w:highlight w:val="none"/>
          <w:vertAlign w:val="baseline"/>
          <w:lang w:val="en-US" w:eastAsia="zh-CN"/>
        </w:rPr>
        <w:t>2023年度二级项目绩效自评表</w:t>
      </w:r>
    </w:p>
    <w:tbl>
      <w:tblPr>
        <w:tblStyle w:val="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624"/>
        <w:gridCol w:w="624"/>
        <w:gridCol w:w="929"/>
        <w:gridCol w:w="726"/>
        <w:gridCol w:w="827"/>
        <w:gridCol w:w="929"/>
        <w:gridCol w:w="624"/>
        <w:gridCol w:w="624"/>
        <w:gridCol w:w="829"/>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数据治理项目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50024022T000000095878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040-石柱土家族自治县经济和信息化委员会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508-经济建设和产业发展科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lang w:val="en-US"/>
              </w:rPr>
            </w:pPr>
            <w:r>
              <w:rPr>
                <w:rFonts w:hint="default" w:ascii="Times New Roman" w:hAnsi="Times New Roman" w:cs="Times New Roman"/>
                <w:i w:val="0"/>
                <w:iCs w:val="0"/>
                <w:color w:val="auto"/>
                <w:kern w:val="0"/>
                <w:sz w:val="13"/>
                <w:szCs w:val="13"/>
                <w:highlight w:val="none"/>
                <w:u w:val="none"/>
                <w:lang w:val="en-US" w:eastAsia="zh-CN" w:bidi="ar"/>
              </w:rPr>
              <w:t>马志宏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023</w:t>
            </w:r>
            <w:r>
              <w:rPr>
                <w:rFonts w:hint="default" w:ascii="Times New Roman" w:hAnsi="Times New Roman" w:eastAsia="宋体" w:cs="Times New Roman"/>
                <w:i w:val="0"/>
                <w:iCs w:val="0"/>
                <w:color w:val="auto"/>
                <w:kern w:val="0"/>
                <w:sz w:val="13"/>
                <w:szCs w:val="13"/>
                <w:highlight w:val="none"/>
                <w:u w:val="none"/>
                <w:lang w:val="en-US" w:eastAsia="zh-CN" w:bidi="ar"/>
              </w:rPr>
              <w:t>73332025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一是完成数据治理标准5个。二是保障石柱县政务数据共享交换平台正常运行，及优化升级。三是完成石柱县政务数据共享交换平台三级等保测评。</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auto"/>
                <w:sz w:val="13"/>
                <w:szCs w:val="13"/>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一是完成数据治理标准5个。二是保障石柱县政务数据共享交换平台正常运行，及优化升级。三是完成石柱县政务数据共享交换平台三级等保测评。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共享交换平台数量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数据治理标准规范编制数量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平台正常运行率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数据治理标准规范验收合格率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平台运维成本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数据治理标准规范编制成本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平台数据汇聚率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提高行政质量和效率情况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680" w:firstLineChars="6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240" w:firstLineChars="8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r>
        <w:rPr>
          <w:rFonts w:hint="default" w:ascii="Times New Roman" w:hAnsi="Times New Roman" w:eastAsia="仿宋" w:cs="Times New Roman"/>
          <w:i w:val="0"/>
          <w:iCs w:val="0"/>
          <w:caps w:val="0"/>
          <w:color w:val="auto"/>
          <w:spacing w:val="0"/>
          <w:sz w:val="28"/>
          <w:szCs w:val="28"/>
          <w:highlight w:val="none"/>
          <w:vertAlign w:val="baseline"/>
          <w:lang w:val="en-US" w:eastAsia="zh-CN"/>
        </w:rPr>
        <w:t>2023年度二级项目绩效自评表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0"/>
        <w:gridCol w:w="400"/>
        <w:gridCol w:w="671"/>
        <w:gridCol w:w="725"/>
        <w:gridCol w:w="765"/>
        <w:gridCol w:w="854"/>
        <w:gridCol w:w="608"/>
        <w:gridCol w:w="397"/>
        <w:gridCol w:w="655"/>
        <w:gridCol w:w="87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项目名称：</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政务云租赁服务费</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项目编码：</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50024022T000000095911</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自评总分：</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auto"/>
                <w:sz w:val="13"/>
                <w:szCs w:val="13"/>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040-石柱土家族自治县经济和信息化委员会</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508-经济建设和产业发展科</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6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谭地彬</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联系电话：</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023</w:t>
            </w:r>
            <w:r>
              <w:rPr>
                <w:rFonts w:hint="default" w:ascii="Times New Roman" w:hAnsi="Times New Roman" w:eastAsia="宋体" w:cs="Times New Roman"/>
                <w:i w:val="0"/>
                <w:iCs w:val="0"/>
                <w:color w:val="auto"/>
                <w:kern w:val="0"/>
                <w:sz w:val="13"/>
                <w:szCs w:val="13"/>
                <w:highlight w:val="none"/>
                <w:u w:val="none"/>
                <w:lang w:val="en-US" w:eastAsia="zh-CN" w:bidi="ar"/>
              </w:rPr>
              <w:t>73332025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年度总金额</w:t>
            </w:r>
          </w:p>
        </w:tc>
        <w:tc>
          <w:tcPr>
            <w:tcW w:w="235" w:type="pct"/>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13"/>
                <w:szCs w:val="13"/>
                <w:highlight w:val="none"/>
                <w:u w:val="none"/>
              </w:rPr>
            </w:pP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224,000.00 </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224,000.00 </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224,000.00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其中：财政拨款</w:t>
            </w:r>
          </w:p>
        </w:tc>
        <w:tc>
          <w:tcPr>
            <w:tcW w:w="235" w:type="pct"/>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13"/>
                <w:szCs w:val="13"/>
                <w:highlight w:val="none"/>
                <w:u w:val="none"/>
              </w:rPr>
            </w:pP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224,000.00 </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224,000.00 </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224,000.00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一般公共预算</w:t>
            </w:r>
          </w:p>
        </w:tc>
        <w:tc>
          <w:tcPr>
            <w:tcW w:w="235" w:type="pct"/>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13"/>
                <w:szCs w:val="13"/>
                <w:highlight w:val="none"/>
                <w:u w:val="none"/>
              </w:rPr>
            </w:pP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224,000.00 </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224,000.00 </w:t>
            </w:r>
          </w:p>
        </w:tc>
        <w:tc>
          <w:tcPr>
            <w:tcW w:w="5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224,000.00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153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17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7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是保障我县政务云上各信息系统安全正常运行。二是按照关于印发&lt;石柱县全面推行“云长制”工作方案&gt;的通知》（石柱委办〔2019〕86号）要求，对我县新建非涉密信息系统上云租用云资源，保证系统安全正常运行。</w:t>
            </w:r>
          </w:p>
        </w:tc>
        <w:tc>
          <w:tcPr>
            <w:tcW w:w="153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auto"/>
                <w:sz w:val="13"/>
                <w:szCs w:val="13"/>
                <w:highlight w:val="none"/>
                <w:u w:val="none"/>
              </w:rPr>
            </w:pPr>
          </w:p>
        </w:tc>
        <w:tc>
          <w:tcPr>
            <w:tcW w:w="173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是保障我县政务云上各信息系统安全正常运行。二是按照关于印发&lt;石柱县全面推行“云长制”工作方案&gt;的通知》（石柱委办〔2019〕86号）要求，对我县新建非涉密信息系统上云租用云资源，保证系统安全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指标名称</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计量单位</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指标性质</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指标值</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偏离度（%）</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得分系数（%）</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指标权重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指标得分</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租赁数字云平台数量</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个</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云平台使用率</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上云期限</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云平台租赁成本</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万元/年</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56</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实际支付当年成本费用22万元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提高政务云平台服务水平情况</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定性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有所改善</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云平台系统功能保障</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服务对象满意度</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textAlignment w:val="baseline"/>
        <w:rPr>
          <w:rFonts w:hint="default" w:ascii="Times New Roman" w:hAnsi="Times New Roman" w:eastAsia="仿宋" w:cs="Times New Roman"/>
          <w:i w:val="0"/>
          <w:iCs w:val="0"/>
          <w:caps w:val="0"/>
          <w:color w:val="auto"/>
          <w:spacing w:val="0"/>
          <w:sz w:val="31"/>
          <w:szCs w:val="31"/>
          <w:highlight w:val="none"/>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960" w:firstLineChars="7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r>
        <w:rPr>
          <w:rFonts w:hint="default" w:ascii="Times New Roman" w:hAnsi="Times New Roman" w:eastAsia="仿宋" w:cs="Times New Roman"/>
          <w:i w:val="0"/>
          <w:iCs w:val="0"/>
          <w:caps w:val="0"/>
          <w:color w:val="auto"/>
          <w:spacing w:val="0"/>
          <w:sz w:val="28"/>
          <w:szCs w:val="28"/>
          <w:highlight w:val="none"/>
          <w:vertAlign w:val="baseline"/>
          <w:lang w:val="en-US" w:eastAsia="zh-CN"/>
        </w:rPr>
        <w:t>2023年度二级项目绩效自评表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0"/>
        <w:gridCol w:w="630"/>
        <w:gridCol w:w="630"/>
        <w:gridCol w:w="940"/>
        <w:gridCol w:w="733"/>
        <w:gridCol w:w="836"/>
        <w:gridCol w:w="940"/>
        <w:gridCol w:w="630"/>
        <w:gridCol w:w="631"/>
        <w:gridCol w:w="838"/>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项目名称：</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科技创新专项</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项目编码：</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50024022T000000095932</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自评总分：</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auto"/>
                <w:sz w:val="13"/>
                <w:szCs w:val="13"/>
                <w:highlight w:val="none"/>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040-石柱土家族自治县经济和信息化委员会</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508-经济建设和产业发展科</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谭卫国</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联系电话：</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023</w:t>
            </w:r>
            <w:r>
              <w:rPr>
                <w:rFonts w:hint="default" w:ascii="Times New Roman" w:hAnsi="Times New Roman" w:eastAsia="宋体" w:cs="Times New Roman"/>
                <w:i w:val="0"/>
                <w:iCs w:val="0"/>
                <w:color w:val="auto"/>
                <w:kern w:val="0"/>
                <w:sz w:val="13"/>
                <w:szCs w:val="13"/>
                <w:highlight w:val="none"/>
                <w:u w:val="none"/>
                <w:lang w:val="en-US" w:eastAsia="zh-CN" w:bidi="ar"/>
              </w:rPr>
              <w:t>73332025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年度总金额</w:t>
            </w:r>
          </w:p>
        </w:tc>
        <w:tc>
          <w:tcPr>
            <w:tcW w:w="374"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931"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4,000,000.00 </w:t>
            </w:r>
          </w:p>
        </w:tc>
        <w:tc>
          <w:tcPr>
            <w:tcW w:w="90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3,999,100.00 </w:t>
            </w:r>
          </w:p>
        </w:tc>
        <w:tc>
          <w:tcPr>
            <w:tcW w:w="901"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3,999,100.00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其中：财政拨款</w:t>
            </w:r>
          </w:p>
        </w:tc>
        <w:tc>
          <w:tcPr>
            <w:tcW w:w="374"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931"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4,000,000.00 </w:t>
            </w:r>
          </w:p>
        </w:tc>
        <w:tc>
          <w:tcPr>
            <w:tcW w:w="90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3,999,100.00 </w:t>
            </w:r>
          </w:p>
        </w:tc>
        <w:tc>
          <w:tcPr>
            <w:tcW w:w="901"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3,999,100.00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一般公共预算</w:t>
            </w:r>
          </w:p>
        </w:tc>
        <w:tc>
          <w:tcPr>
            <w:tcW w:w="374"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931"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4,000,000.00 </w:t>
            </w:r>
          </w:p>
        </w:tc>
        <w:tc>
          <w:tcPr>
            <w:tcW w:w="900"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3,999,100.00 </w:t>
            </w:r>
          </w:p>
        </w:tc>
        <w:tc>
          <w:tcPr>
            <w:tcW w:w="901"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3,999,100.00 </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13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8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通过政策引导和激励，力争到2025年，全社会研发投入年增长率达到15%。每万人有效专利拥有量（件）达到4.5件。规模以上工业企业研发经费支出与营业收入之比达到1.6。高新技术企业达到15家，科技型企业达到255家。市级以上科技研发平台数量（个）达到10个。届时初步形成区域协同创新格局、产业链上中下游和大中小企业融通创新格局。</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auto"/>
                <w:sz w:val="13"/>
                <w:szCs w:val="13"/>
                <w:highlight w:val="none"/>
                <w:u w:val="none"/>
              </w:rPr>
            </w:pPr>
          </w:p>
        </w:tc>
        <w:tc>
          <w:tcPr>
            <w:tcW w:w="133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通过政策引导和激励，2023年，全社会研发投入年增长率达到12.65%。每万人有效专利拥有量（件）达到3.64件。规模以上工业企业研发经费支出与营业收入之比达到1.3。高新技术企业达到19家，科技型企业达到340家。市级以上科技研发平台数量（个）达到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指标名称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计量单位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指标性质</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偏离度（%）</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得分系数（%）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指标权重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指标得分</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研发平台奖励数量</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研发项目类补助数量</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市级科研项目配套资金2个、县级技改项目9个。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研发平台奖励标准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122</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44</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63.93</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补贴2个新认定、4个复审市级研发平台，2个新认定县级研发机构。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补助拨付到位时间</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天</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研发投入补助成本</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研发项目类补助成本</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278</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239.71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13.77</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研发投入补助9个、市级科研项目配套资金2个、县级技改项目9个。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研发投入增长率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12.65</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26.5</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2023年实际增长率。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科技创新发展提高率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定性</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较高</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服务对象满意度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96</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6.67</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textAlignment w:val="baseline"/>
        <w:rPr>
          <w:rFonts w:hint="default" w:ascii="Times New Roman" w:hAnsi="Times New Roman" w:eastAsia="仿宋" w:cs="Times New Roman"/>
          <w:i w:val="0"/>
          <w:iCs w:val="0"/>
          <w:caps w:val="0"/>
          <w:color w:val="auto"/>
          <w:spacing w:val="0"/>
          <w:sz w:val="31"/>
          <w:szCs w:val="31"/>
          <w:highlight w:val="none"/>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960" w:firstLineChars="7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r>
        <w:rPr>
          <w:rFonts w:hint="default" w:ascii="Times New Roman" w:hAnsi="Times New Roman" w:eastAsia="仿宋" w:cs="Times New Roman"/>
          <w:i w:val="0"/>
          <w:iCs w:val="0"/>
          <w:caps w:val="0"/>
          <w:color w:val="auto"/>
          <w:spacing w:val="0"/>
          <w:sz w:val="28"/>
          <w:szCs w:val="28"/>
          <w:highlight w:val="none"/>
          <w:vertAlign w:val="baseline"/>
          <w:lang w:val="en-US" w:eastAsia="zh-CN"/>
        </w:rPr>
        <w:t>2023年度二级项目绩效自评表</w:t>
      </w:r>
    </w:p>
    <w:tbl>
      <w:tblPr>
        <w:tblStyle w:val="7"/>
        <w:tblW w:w="50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9"/>
        <w:gridCol w:w="346"/>
        <w:gridCol w:w="848"/>
        <w:gridCol w:w="609"/>
        <w:gridCol w:w="1005"/>
        <w:gridCol w:w="595"/>
        <w:gridCol w:w="1060"/>
        <w:gridCol w:w="192"/>
        <w:gridCol w:w="44"/>
        <w:gridCol w:w="889"/>
        <w:gridCol w:w="44"/>
        <w:gridCol w:w="966"/>
        <w:gridCol w:w="44"/>
        <w:gridCol w:w="947"/>
        <w:gridCol w:w="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 w:type="pct"/>
          <w:trHeight w:val="6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项目名称：</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市级工业和信息化专项资金</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项目编码：</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50024022T000000157102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自评总分：</w:t>
            </w:r>
          </w:p>
        </w:tc>
        <w:tc>
          <w:tcPr>
            <w:tcW w:w="6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100.00</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3"/>
                <w:szCs w:val="13"/>
                <w:highlight w:val="none"/>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74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040-石柱土家族自治县经济和信息化委员会</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508-经济建设和产业发展科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6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万海峰</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联系电话：</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023</w:t>
            </w:r>
            <w:r>
              <w:rPr>
                <w:rFonts w:hint="default" w:ascii="Times New Roman" w:hAnsi="Times New Roman" w:eastAsia="宋体" w:cs="Times New Roman"/>
                <w:i w:val="0"/>
                <w:iCs w:val="0"/>
                <w:color w:val="auto"/>
                <w:kern w:val="0"/>
                <w:sz w:val="13"/>
                <w:szCs w:val="13"/>
                <w:highlight w:val="none"/>
                <w:u w:val="none"/>
                <w:lang w:val="en-US" w:eastAsia="zh-CN" w:bidi="ar"/>
              </w:rPr>
              <w:t>73332027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600" w:hRule="atLeast"/>
        </w:trPr>
        <w:tc>
          <w:tcPr>
            <w:tcW w:w="497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500" w:hRule="atLeast"/>
        </w:trPr>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500" w:hRule="atLeast"/>
        </w:trPr>
        <w:tc>
          <w:tcPr>
            <w:tcW w:w="5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年度总金额</w:t>
            </w:r>
          </w:p>
        </w:tc>
        <w:tc>
          <w:tcPr>
            <w:tcW w:w="201"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84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5,000,000.00 </w:t>
            </w:r>
          </w:p>
        </w:tc>
        <w:tc>
          <w:tcPr>
            <w:tcW w:w="93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100,000.00 </w:t>
            </w:r>
          </w:p>
        </w:tc>
        <w:tc>
          <w:tcPr>
            <w:tcW w:w="73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100,000.00 </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500" w:hRule="atLeast"/>
        </w:trPr>
        <w:tc>
          <w:tcPr>
            <w:tcW w:w="5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其中：财政拨款</w:t>
            </w:r>
          </w:p>
        </w:tc>
        <w:tc>
          <w:tcPr>
            <w:tcW w:w="201"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84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5,000,000.00 </w:t>
            </w:r>
          </w:p>
        </w:tc>
        <w:tc>
          <w:tcPr>
            <w:tcW w:w="93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100,000.00 </w:t>
            </w:r>
          </w:p>
        </w:tc>
        <w:tc>
          <w:tcPr>
            <w:tcW w:w="73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100,000.00 </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500" w:hRule="atLeast"/>
        </w:trPr>
        <w:tc>
          <w:tcPr>
            <w:tcW w:w="5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一般公共预算</w:t>
            </w:r>
          </w:p>
        </w:tc>
        <w:tc>
          <w:tcPr>
            <w:tcW w:w="201"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849"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5,000,000.00 </w:t>
            </w:r>
          </w:p>
        </w:tc>
        <w:tc>
          <w:tcPr>
            <w:tcW w:w="933"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100,000.00 </w:t>
            </w:r>
          </w:p>
        </w:tc>
        <w:tc>
          <w:tcPr>
            <w:tcW w:w="73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100,000.00 </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600" w:hRule="atLeast"/>
        </w:trPr>
        <w:tc>
          <w:tcPr>
            <w:tcW w:w="497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500" w:hRule="atLeast"/>
        </w:trPr>
        <w:tc>
          <w:tcPr>
            <w:tcW w:w="159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16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171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1020" w:hRule="atLeast"/>
        </w:trPr>
        <w:tc>
          <w:tcPr>
            <w:tcW w:w="15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围绕工业和信息化发展目标任务，市工业和信息化专项资金重点支持智能产业及新兴产业、智能制造、企业技术创新、兑现重点政策等领域重点产业、重点企业、重点环节的项目。</w:t>
            </w:r>
          </w:p>
        </w:tc>
        <w:tc>
          <w:tcPr>
            <w:tcW w:w="16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auto"/>
                <w:sz w:val="13"/>
                <w:szCs w:val="13"/>
                <w:highlight w:val="none"/>
                <w:u w:val="none"/>
              </w:rPr>
            </w:pPr>
          </w:p>
        </w:tc>
        <w:tc>
          <w:tcPr>
            <w:tcW w:w="1711"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围绕工业和信息化发展目标任务，市工业和信息化专项资金重点支持智能产业及新兴产业、智能制造、企业技术创新、兑现重点政策等领域重点产业、重点企业、重点环节的项目。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5" w:type="pct"/>
          <w:trHeight w:val="600" w:hRule="atLeast"/>
        </w:trPr>
        <w:tc>
          <w:tcPr>
            <w:tcW w:w="497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指标名称</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计量单位</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指标性质</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指标值</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偏离度（%）</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得分系数（%）</w:t>
            </w:r>
          </w:p>
        </w:tc>
        <w:tc>
          <w:tcPr>
            <w:tcW w:w="1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指标权重</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指标得分</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规上工业企业产值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74</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74</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1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提高生产运营效率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1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资金使用规范率</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1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完成时间</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1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促进企业就业情况</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定性</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有所增加</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1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企业满意度</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93</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1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textAlignment w:val="baseline"/>
        <w:rPr>
          <w:rFonts w:hint="default" w:ascii="Times New Roman" w:hAnsi="Times New Roman" w:eastAsia="仿宋" w:cs="Times New Roman"/>
          <w:i w:val="0"/>
          <w:iCs w:val="0"/>
          <w:caps w:val="0"/>
          <w:color w:val="auto"/>
          <w:spacing w:val="0"/>
          <w:sz w:val="31"/>
          <w:szCs w:val="31"/>
          <w:highlight w:val="none"/>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960" w:firstLineChars="7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r>
        <w:rPr>
          <w:rFonts w:hint="default" w:ascii="Times New Roman" w:hAnsi="Times New Roman" w:eastAsia="仿宋" w:cs="Times New Roman"/>
          <w:i w:val="0"/>
          <w:iCs w:val="0"/>
          <w:caps w:val="0"/>
          <w:color w:val="auto"/>
          <w:spacing w:val="0"/>
          <w:sz w:val="28"/>
          <w:szCs w:val="28"/>
          <w:highlight w:val="none"/>
          <w:vertAlign w:val="baseline"/>
          <w:lang w:val="en-US" w:eastAsia="zh-CN"/>
        </w:rPr>
        <w:t>2023年度二级项目绩效自评表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624"/>
        <w:gridCol w:w="624"/>
        <w:gridCol w:w="929"/>
        <w:gridCol w:w="726"/>
        <w:gridCol w:w="827"/>
        <w:gridCol w:w="929"/>
        <w:gridCol w:w="624"/>
        <w:gridCol w:w="624"/>
        <w:gridCol w:w="828"/>
        <w:gridCol w:w="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企业研发准备金补助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50024022T000002099799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040-石柱土家族自治县经济和信息化委员会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508-经济建设和产业发展科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谭卫国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023</w:t>
            </w:r>
            <w:r>
              <w:rPr>
                <w:rFonts w:hint="default" w:ascii="Times New Roman" w:hAnsi="Times New Roman" w:eastAsia="宋体" w:cs="Times New Roman"/>
                <w:i w:val="0"/>
                <w:iCs w:val="0"/>
                <w:color w:val="auto"/>
                <w:kern w:val="0"/>
                <w:sz w:val="13"/>
                <w:szCs w:val="13"/>
                <w:highlight w:val="none"/>
                <w:u w:val="none"/>
                <w:lang w:val="en-US" w:eastAsia="zh-CN" w:bidi="ar"/>
              </w:rPr>
              <w:t>73332025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500,000.00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为推动企业普遍建立研发准备金制度，引导企业有计划持续的增加研发投入，2022年新增重大新产品4-5个，实现新增新产品产值5000万元，实现新增新产品净利润600万元，新产品研发投入增加10%以上。</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为推动企业普遍建立研发准备金制度，引导企业有计划持续的增加研发投入，2022年新增重大新产品4-5个，实现新增新产品产值5000万元，实现新增新产品净利润600万元，新产品研发投入增加10%以上。</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2022年新增重大新产品4个，实现新增新产品产值5000万元，实现新增新产品净利润600万元，新产品研发投入增加10%以上。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新增项目研发数量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个（台、套、件、辆）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2022年实际新增重大新产品4个。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生产合格率提高比例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新增新产品产值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研发投入增加比例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新增利润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带动上游客户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客户满意度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13"/>
                <w:szCs w:val="13"/>
                <w:highlight w:val="none"/>
                <w:u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960" w:firstLineChars="7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960" w:firstLineChars="7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r>
        <w:rPr>
          <w:rFonts w:hint="default" w:ascii="Times New Roman" w:hAnsi="Times New Roman" w:eastAsia="仿宋" w:cs="Times New Roman"/>
          <w:i w:val="0"/>
          <w:iCs w:val="0"/>
          <w:caps w:val="0"/>
          <w:color w:val="auto"/>
          <w:spacing w:val="0"/>
          <w:sz w:val="28"/>
          <w:szCs w:val="28"/>
          <w:highlight w:val="none"/>
          <w:vertAlign w:val="baseline"/>
          <w:lang w:val="en-US" w:eastAsia="zh-CN"/>
        </w:rPr>
        <w:t>2023年度二级项目绩效自评表</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0"/>
        <w:gridCol w:w="630"/>
        <w:gridCol w:w="630"/>
        <w:gridCol w:w="940"/>
        <w:gridCol w:w="733"/>
        <w:gridCol w:w="836"/>
        <w:gridCol w:w="940"/>
        <w:gridCol w:w="630"/>
        <w:gridCol w:w="631"/>
        <w:gridCol w:w="838"/>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企业自发电保生产补贴资金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50024024T000004065291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040-石柱土家族自治县经济和信息化委员会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508-经济建设和产业发展科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刘森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023</w:t>
            </w:r>
            <w:r>
              <w:rPr>
                <w:rFonts w:hint="default" w:ascii="Times New Roman" w:hAnsi="Times New Roman" w:eastAsia="宋体" w:cs="Times New Roman"/>
                <w:i w:val="0"/>
                <w:iCs w:val="0"/>
                <w:color w:val="auto"/>
                <w:kern w:val="0"/>
                <w:sz w:val="13"/>
                <w:szCs w:val="13"/>
                <w:highlight w:val="none"/>
                <w:u w:val="none"/>
                <w:lang w:val="en-US" w:eastAsia="zh-CN" w:bidi="ar"/>
              </w:rPr>
              <w:t>73332025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118,410.00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118,410.00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118,410.00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118,410.00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118,410.00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118,410.00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为切实保障迎峰度夏用电高峰期工业企业及时、稳定、安全自发电保生产，减少和降低对工业企业生产经营的影响，全力助推全县经济社会高质量发展，经县政府同意，我县印发了《关于鼓励工业企业采用柴油发电机组在迎峰度夏用电高峰期间自发电保生产的通知》,为切实兑现我县迎峰度夏自发电保生产补贴。1.补贴对象：2023年7月1日至2023年8月31日期间租赁柴油发电机组的工业用户，以及 2023年1月1日至2023年7月31日期间，购置柴油发电机组的工业用户。2.补贴标准。对租赁单机容量100千瓦及以上的柴油发电机组，按照实际租金的30%且不超30元/千瓦/月的标准给予一次性租赁费补贴。对购置单机容量100千瓦及以上的柴油发电机组，按照60元/千瓦的标准给予一次性购置费用补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为切实保障迎峰度夏用电高峰期工业企业及时、稳定、安全自发电保生产，减少和降低对工业企业生产经营的影响，全力助推全县经济社会高质量发展，经县政府同意，我县印发了《关于鼓励工业企业采用柴油发电机组在迎峰度夏用电高峰期间自发电保生产的通知》,为切实兑现我县迎峰度夏自发电保生产补贴。1.补贴对象：2023年7月1日至2023年8月31日期间租赁柴油发电机组的工业用户，以及 2023年1月1日至2023年7月31日期间，购置柴油发电机组的工业用户。2.补贴标准。对租赁单机容量100千瓦及以上的柴油发电机组，按照实际租金的30%且不超30元/千瓦/月的标准给予一次性租赁费补贴。对购置单机容量100千瓦及以上的柴油发电机组，按照60元/千瓦的标准给予一次性购置费用补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为切实保障迎峰度夏用电高峰期工业企业及时、稳定、安全自发电保生产，减少和降低对工业企业生产经营的影响，全力助推全县经济社会高质量发展，经县政府同意，我县印发了《关于鼓励工业企业采用柴油发电机组在迎峰度夏用电高峰期间自发电保生产的通知》,为切实兑现我县迎峰度夏自发电保生产补贴。1.补贴对象：2023年7月1日至2023年8月31日期间租赁柴油发电机组的工业用户，以及 2023年1月1日至2023年7月31日期间，购置柴油发电机组的工业用户。2.补贴标准。对租赁单机容量100千瓦及以上的柴油发电机组，按照实际租金的30%且不超30元/千瓦/月的标准给予一次性租赁费补贴。对购置单机容量100千瓦及以上的柴油发电机组，按照60元/千瓦的标准给予一次性购置费用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补贴企业家数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保障工业企业用电需求情况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资金兑现时间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补助资金总额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保障工业企业正常生产情况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正常生产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3"/>
                <w:szCs w:val="13"/>
                <w:highlight w:val="none"/>
                <w:u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680" w:firstLineChars="6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680" w:firstLineChars="6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r>
        <w:rPr>
          <w:rFonts w:hint="default" w:ascii="Times New Roman" w:hAnsi="Times New Roman" w:eastAsia="仿宋" w:cs="Times New Roman"/>
          <w:i w:val="0"/>
          <w:iCs w:val="0"/>
          <w:caps w:val="0"/>
          <w:color w:val="auto"/>
          <w:spacing w:val="0"/>
          <w:sz w:val="28"/>
          <w:szCs w:val="28"/>
          <w:highlight w:val="none"/>
          <w:vertAlign w:val="baseline"/>
          <w:lang w:val="en-US" w:eastAsia="zh-CN"/>
        </w:rPr>
        <w:t>2023年度二级项目绩效自评表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347"/>
        <w:gridCol w:w="505"/>
        <w:gridCol w:w="606"/>
        <w:gridCol w:w="902"/>
        <w:gridCol w:w="694"/>
        <w:gridCol w:w="750"/>
        <w:gridCol w:w="748"/>
        <w:gridCol w:w="1045"/>
        <w:gridCol w:w="1045"/>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项目名称：</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遗属补助</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项目编码：</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50024022T000000130384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自评总分：</w:t>
            </w:r>
          </w:p>
        </w:tc>
        <w:tc>
          <w:tcPr>
            <w:tcW w:w="1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3"/>
                <w:szCs w:val="13"/>
                <w:highlight w:val="none"/>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040-石柱土家族自治县经济和信息化委员会</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508-经济建设和产业发展科</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11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刘毅</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联系电话：</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023</w:t>
            </w:r>
            <w:r>
              <w:rPr>
                <w:rFonts w:hint="default" w:ascii="Times New Roman" w:hAnsi="Times New Roman" w:eastAsia="宋体" w:cs="Times New Roman"/>
                <w:i w:val="0"/>
                <w:iCs w:val="0"/>
                <w:color w:val="auto"/>
                <w:kern w:val="0"/>
                <w:sz w:val="13"/>
                <w:szCs w:val="13"/>
                <w:highlight w:val="none"/>
                <w:u w:val="none"/>
                <w:lang w:val="en-US" w:eastAsia="zh-CN" w:bidi="ar"/>
              </w:rPr>
              <w:t>73332025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6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6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年度总金额</w:t>
            </w:r>
          </w:p>
        </w:tc>
        <w:tc>
          <w:tcPr>
            <w:tcW w:w="23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60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128,016.00 </w:t>
            </w:r>
          </w:p>
        </w:tc>
        <w:tc>
          <w:tcPr>
            <w:tcW w:w="67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125,800.00 </w:t>
            </w:r>
          </w:p>
        </w:tc>
        <w:tc>
          <w:tcPr>
            <w:tcW w:w="97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125,800.00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其中：财政拨款</w:t>
            </w:r>
          </w:p>
        </w:tc>
        <w:tc>
          <w:tcPr>
            <w:tcW w:w="23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60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128,016.00 </w:t>
            </w:r>
          </w:p>
        </w:tc>
        <w:tc>
          <w:tcPr>
            <w:tcW w:w="67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125,800.00 </w:t>
            </w:r>
          </w:p>
        </w:tc>
        <w:tc>
          <w:tcPr>
            <w:tcW w:w="97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125,800.00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一般公共预算</w:t>
            </w:r>
          </w:p>
        </w:tc>
        <w:tc>
          <w:tcPr>
            <w:tcW w:w="23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60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128,016.00 </w:t>
            </w:r>
          </w:p>
        </w:tc>
        <w:tc>
          <w:tcPr>
            <w:tcW w:w="674"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125,800.00 </w:t>
            </w:r>
          </w:p>
        </w:tc>
        <w:tc>
          <w:tcPr>
            <w:tcW w:w="97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125,800.00 </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16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19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落实民发〔1980〕5号、渝人发〔1997〕64号、渝人社发〔2018〕238号文件要求，按时兑现11名遗属的生活困难补助。</w:t>
            </w:r>
          </w:p>
        </w:tc>
        <w:tc>
          <w:tcPr>
            <w:tcW w:w="16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宋体" w:cs="Times New Roman"/>
                <w:i w:val="0"/>
                <w:iCs w:val="0"/>
                <w:color w:val="auto"/>
                <w:sz w:val="13"/>
                <w:szCs w:val="13"/>
                <w:highlight w:val="none"/>
                <w:u w:val="none"/>
              </w:rPr>
            </w:pPr>
          </w:p>
        </w:tc>
        <w:tc>
          <w:tcPr>
            <w:tcW w:w="198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按时兑现11名遗属人员的生活困难补助。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指标名称</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计量单位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指标性质</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偏离度（%）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得分系数（%）</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指标权重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指标得分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遗属人数</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人</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补助拨付率</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补助拨付时间</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天</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7</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补助资金成本</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128016</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125800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1.73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年度调整减少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资金拨付到位率</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98</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服务对象满意度</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否</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textAlignment w:val="baseline"/>
        <w:rPr>
          <w:rFonts w:hint="default" w:ascii="Times New Roman" w:hAnsi="Times New Roman" w:eastAsia="仿宋" w:cs="Times New Roman"/>
          <w:i w:val="0"/>
          <w:iCs w:val="0"/>
          <w:caps w:val="0"/>
          <w:color w:val="auto"/>
          <w:spacing w:val="0"/>
          <w:sz w:val="31"/>
          <w:szCs w:val="31"/>
          <w:highlight w:val="none"/>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960" w:firstLineChars="7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r>
        <w:rPr>
          <w:rFonts w:hint="default" w:ascii="Times New Roman" w:hAnsi="Times New Roman" w:eastAsia="仿宋" w:cs="Times New Roman"/>
          <w:i w:val="0"/>
          <w:iCs w:val="0"/>
          <w:caps w:val="0"/>
          <w:color w:val="auto"/>
          <w:spacing w:val="0"/>
          <w:sz w:val="28"/>
          <w:szCs w:val="28"/>
          <w:highlight w:val="none"/>
          <w:vertAlign w:val="baseline"/>
          <w:lang w:val="en-US" w:eastAsia="zh-CN"/>
        </w:rPr>
        <w:t>2023年度二级项目绩效自评表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2"/>
        <w:gridCol w:w="443"/>
        <w:gridCol w:w="653"/>
        <w:gridCol w:w="541"/>
        <w:gridCol w:w="1237"/>
        <w:gridCol w:w="608"/>
        <w:gridCol w:w="1076"/>
        <w:gridCol w:w="347"/>
        <w:gridCol w:w="883"/>
        <w:gridCol w:w="805"/>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项目名称：</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城市燃气管道等老化更新改造</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项目编码：</w:t>
            </w: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50024023T000002912605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自评总分：</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81.11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3"/>
                <w:szCs w:val="13"/>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040-石柱土家族自治县经济和信息化委员会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508-经济建设和产业发展科</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刘森</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联系电话：</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023</w:t>
            </w:r>
            <w:r>
              <w:rPr>
                <w:rFonts w:hint="default" w:ascii="Times New Roman" w:hAnsi="Times New Roman" w:eastAsia="宋体" w:cs="Times New Roman"/>
                <w:i w:val="0"/>
                <w:iCs w:val="0"/>
                <w:color w:val="auto"/>
                <w:kern w:val="0"/>
                <w:sz w:val="13"/>
                <w:szCs w:val="13"/>
                <w:highlight w:val="none"/>
                <w:u w:val="none"/>
                <w:lang w:val="en-US" w:eastAsia="zh-CN" w:bidi="ar"/>
              </w:rPr>
              <w:t>73332025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年度总金额</w:t>
            </w:r>
          </w:p>
        </w:tc>
        <w:tc>
          <w:tcPr>
            <w:tcW w:w="27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70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81,250,000.00 </w:t>
            </w:r>
          </w:p>
        </w:tc>
        <w:tc>
          <w:tcPr>
            <w:tcW w:w="99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151,870,000.00 </w:t>
            </w:r>
          </w:p>
        </w:tc>
        <w:tc>
          <w:tcPr>
            <w:tcW w:w="8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16,882,211.22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其中：财政拨款</w:t>
            </w:r>
          </w:p>
        </w:tc>
        <w:tc>
          <w:tcPr>
            <w:tcW w:w="27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70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81,250,000.00 </w:t>
            </w:r>
          </w:p>
        </w:tc>
        <w:tc>
          <w:tcPr>
            <w:tcW w:w="99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151,870,000.00 </w:t>
            </w:r>
          </w:p>
        </w:tc>
        <w:tc>
          <w:tcPr>
            <w:tcW w:w="8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16,882,211.22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11.11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一般公共预算</w:t>
            </w:r>
          </w:p>
        </w:tc>
        <w:tc>
          <w:tcPr>
            <w:tcW w:w="27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70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81,250,000.00 </w:t>
            </w:r>
          </w:p>
        </w:tc>
        <w:tc>
          <w:tcPr>
            <w:tcW w:w="991"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151,870,000.00 </w:t>
            </w:r>
          </w:p>
        </w:tc>
        <w:tc>
          <w:tcPr>
            <w:tcW w:w="860"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16,882,211.22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11.11</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18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15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对石柱县县城区域城市燃气管道老化更新。改造市政燃气管道，改造阀井，改造燃气立管，更新、加装用户燃气安全设施，更换专用燃具连接管道，更换老旧燃气调压设备，改造场站等。通过对老旧燃气管网整体改造，完善燃气管道等基础设施，消除因管道泄露等可能发生的安全隐患，有效保障片区内人民群众生命财产安全。</w:t>
            </w:r>
          </w:p>
        </w:tc>
        <w:tc>
          <w:tcPr>
            <w:tcW w:w="185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对石柱县县城区域城市燃气管道老化更新。改造市政燃气管道，改造阀井，改造燃气立管，更新、加装用户燃气安全设施，更换专用燃具连接管道，更换老旧燃气调压设备，改造场站等。通过对老旧燃气管网整体改造，完善燃气管道等基础设施，消除因管道泄露等可能发生的安全隐患，有效保障片区内人民群众生命财产安全。</w:t>
            </w:r>
          </w:p>
        </w:tc>
        <w:tc>
          <w:tcPr>
            <w:tcW w:w="156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对石柱县县城区域城市燃气管道老化更新。改造市政燃气管道，改造阀井，改造燃气立管，更新、加装用户燃气安全设施，更换专用燃具连接管道，更换老旧燃气调压设备，改造场站等。通过对老旧燃气管网整体改造，完善燃气管道等基础设施，消除因管道泄露等可能发生的安全隐患，有效保障片区内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指标名称</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计量单位</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指标性质</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指标值</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偏离度（%）</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得分系数（%）</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指标权重</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指标得分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更新改造片区数</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6</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项目验收合格率</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建设时限</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城市燃气管道基础设施状况</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定性</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有效改善</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公从及受益群众满意度</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项目建设总投资</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15187</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8125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46.5</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项目概算金额为8125万元</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textAlignment w:val="baseline"/>
        <w:rPr>
          <w:rFonts w:hint="default" w:ascii="Times New Roman" w:hAnsi="Times New Roman" w:eastAsia="仿宋" w:cs="Times New Roman"/>
          <w:i w:val="0"/>
          <w:iCs w:val="0"/>
          <w:caps w:val="0"/>
          <w:color w:val="auto"/>
          <w:spacing w:val="0"/>
          <w:sz w:val="31"/>
          <w:szCs w:val="31"/>
          <w:highlight w:val="none"/>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1960" w:firstLineChars="700"/>
        <w:jc w:val="both"/>
        <w:textAlignment w:val="baseline"/>
        <w:rPr>
          <w:rFonts w:hint="default" w:ascii="Times New Roman" w:hAnsi="Times New Roman" w:eastAsia="仿宋" w:cs="Times New Roman"/>
          <w:i w:val="0"/>
          <w:iCs w:val="0"/>
          <w:caps w:val="0"/>
          <w:color w:val="auto"/>
          <w:spacing w:val="0"/>
          <w:sz w:val="28"/>
          <w:szCs w:val="28"/>
          <w:highlight w:val="none"/>
          <w:vertAlign w:val="baseline"/>
          <w:lang w:val="en-US" w:eastAsia="zh-CN"/>
        </w:rPr>
      </w:pPr>
      <w:r>
        <w:rPr>
          <w:rFonts w:hint="default" w:ascii="Times New Roman" w:hAnsi="Times New Roman" w:eastAsia="仿宋" w:cs="Times New Roman"/>
          <w:i w:val="0"/>
          <w:iCs w:val="0"/>
          <w:caps w:val="0"/>
          <w:color w:val="auto"/>
          <w:spacing w:val="0"/>
          <w:sz w:val="28"/>
          <w:szCs w:val="28"/>
          <w:highlight w:val="none"/>
          <w:vertAlign w:val="baseline"/>
          <w:lang w:val="en-US" w:eastAsia="zh-CN"/>
        </w:rPr>
        <w:t>2023年度二级项目绩效自评表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651"/>
        <w:gridCol w:w="463"/>
        <w:gridCol w:w="808"/>
        <w:gridCol w:w="1409"/>
        <w:gridCol w:w="544"/>
        <w:gridCol w:w="542"/>
        <w:gridCol w:w="537"/>
        <w:gridCol w:w="723"/>
        <w:gridCol w:w="1054"/>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项目名称：</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中小企业发展专项资金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项目编码：</w:t>
            </w:r>
          </w:p>
        </w:tc>
        <w:tc>
          <w:tcPr>
            <w:tcW w:w="11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50024024T000003864996</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自评总分：</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6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040-石柱土家族自治县经济和信息化委员会</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11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508-经济建设和产业发展科</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谭聪颖</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联系电话：</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cs="Times New Roman"/>
                <w:i w:val="0"/>
                <w:iCs w:val="0"/>
                <w:color w:val="auto"/>
                <w:kern w:val="0"/>
                <w:sz w:val="13"/>
                <w:szCs w:val="13"/>
                <w:highlight w:val="none"/>
                <w:u w:val="none"/>
                <w:lang w:val="en-US" w:eastAsia="zh-CN" w:bidi="ar"/>
              </w:rPr>
              <w:t>023</w:t>
            </w:r>
            <w:r>
              <w:rPr>
                <w:rFonts w:hint="default" w:ascii="Times New Roman" w:hAnsi="Times New Roman" w:eastAsia="宋体" w:cs="Times New Roman"/>
                <w:i w:val="0"/>
                <w:iCs w:val="0"/>
                <w:color w:val="auto"/>
                <w:kern w:val="0"/>
                <w:sz w:val="13"/>
                <w:szCs w:val="13"/>
                <w:highlight w:val="none"/>
                <w:u w:val="none"/>
                <w:lang w:val="en-US" w:eastAsia="zh-CN" w:bidi="ar"/>
              </w:rPr>
              <w:t>73332025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11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年度总金额</w:t>
            </w:r>
          </w:p>
        </w:tc>
        <w:tc>
          <w:tcPr>
            <w:tcW w:w="381"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74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0.00 </w:t>
            </w:r>
          </w:p>
        </w:tc>
        <w:tc>
          <w:tcPr>
            <w:tcW w:w="114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1,120,000.00 </w:t>
            </w:r>
          </w:p>
        </w:tc>
        <w:tc>
          <w:tcPr>
            <w:tcW w:w="63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1,120,000.00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其中：财政拨款</w:t>
            </w:r>
          </w:p>
        </w:tc>
        <w:tc>
          <w:tcPr>
            <w:tcW w:w="381"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74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0.00 </w:t>
            </w:r>
          </w:p>
        </w:tc>
        <w:tc>
          <w:tcPr>
            <w:tcW w:w="114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1,120,000.00 </w:t>
            </w:r>
          </w:p>
        </w:tc>
        <w:tc>
          <w:tcPr>
            <w:tcW w:w="63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1,120,000.00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10.00</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一般公共预算</w:t>
            </w:r>
          </w:p>
        </w:tc>
        <w:tc>
          <w:tcPr>
            <w:tcW w:w="381"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74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0.00 </w:t>
            </w:r>
          </w:p>
        </w:tc>
        <w:tc>
          <w:tcPr>
            <w:tcW w:w="114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1,120,000.00 </w:t>
            </w:r>
          </w:p>
        </w:tc>
        <w:tc>
          <w:tcPr>
            <w:tcW w:w="632"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1,120,000.00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17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1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61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 根据国家关于支持专精特新中小企业发展相关精神，对获得国家级专精特新重点资金支持的“小巨人”企业进行第三次绩效奖补，按照企业目标绩效完成情况给予资金支持，提高企业专业化、精细化、特色化、新颖化水平，引导企业走专精特新之路，推动我县企业高质量发展。</w:t>
            </w:r>
          </w:p>
        </w:tc>
        <w:tc>
          <w:tcPr>
            <w:tcW w:w="17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 xml:space="preserve"> 根据国家关于支持专精特新中小企业发展相关精神，对获得国家级专精特新重点资金支持的“小巨人”企业进行第三次绩效奖补，按照企业目标绩效完成情况给予资金支持，提高企业专业化、精细化、特色化、新颖化水平，引导企业走专精特新之路，推动我县企业高质量发展。</w:t>
            </w:r>
          </w:p>
        </w:tc>
        <w:tc>
          <w:tcPr>
            <w:tcW w:w="160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根据国家关于支持专精特新中小企业发展相关精神，对获得国家级专精特新重点资金支持的“小巨人”企业进行第三次绩效奖补，按照企业目标绩效完成情况给予资金支持，提高企业专业化、精细化、特色化、新颖化水平，引导企业走专精特新之路，推动我县企业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auto"/>
                <w:sz w:val="13"/>
                <w:szCs w:val="13"/>
                <w:highlight w:val="none"/>
                <w:u w:val="none"/>
              </w:rPr>
            </w:pPr>
            <w:r>
              <w:rPr>
                <w:rFonts w:hint="default" w:ascii="Times New Roman" w:hAnsi="Times New Roman" w:eastAsia="微软雅黑"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指标名称</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计量单位</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指标性质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指标值</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偏离度（%）</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得分系数（%）</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指标权重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指标得分</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3"/>
                <w:szCs w:val="13"/>
                <w:highlight w:val="none"/>
                <w:u w:val="none"/>
              </w:rPr>
            </w:pPr>
            <w:r>
              <w:rPr>
                <w:rFonts w:hint="default"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补助企业户数</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有效发明专利数量</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个（台、套、件、辆）</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13</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建设期限</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年</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主营业务收入占营业收入比重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近2年企业研发成果转化及应用项目数量</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个（台、套、件、辆）</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30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取得相关质量管理体系认证数量</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项</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6</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6</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研发经费支出占营业收入比重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11.2</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主持或参与制（修）订国家标准或行业标准数量</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个（台、套、件、辆）</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服务对象满意度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95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奖励补助标准</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万元</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112</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112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3"/>
                <w:szCs w:val="13"/>
                <w:highlight w:val="none"/>
                <w:u w:val="none"/>
              </w:rPr>
            </w:pPr>
            <w:r>
              <w:rPr>
                <w:rFonts w:hint="default" w:ascii="Times New Roman" w:hAnsi="Times New Roman" w:eastAsia="宋体" w:cs="Times New Roman"/>
                <w:i w:val="0"/>
                <w:iCs w:val="0"/>
                <w:color w:val="auto"/>
                <w:kern w:val="0"/>
                <w:sz w:val="13"/>
                <w:szCs w:val="13"/>
                <w:highlight w:val="none"/>
                <w:u w:val="none"/>
                <w:lang w:val="en-US" w:eastAsia="zh-CN" w:bidi="ar"/>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3"/>
                <w:szCs w:val="13"/>
                <w:highlight w:val="none"/>
                <w:u w:val="none"/>
              </w:rPr>
            </w:pPr>
          </w:p>
        </w:tc>
      </w:tr>
    </w:tbl>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textAlignment w:val="auto"/>
        <w:rPr>
          <w:rStyle w:val="10"/>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w:t>
      </w:r>
    </w:p>
    <w:tbl>
      <w:tblPr>
        <w:tblStyle w:val="7"/>
        <w:tblW w:w="96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437"/>
        <w:gridCol w:w="437"/>
        <w:gridCol w:w="876"/>
        <w:gridCol w:w="998"/>
        <w:gridCol w:w="1528"/>
        <w:gridCol w:w="769"/>
        <w:gridCol w:w="1316"/>
        <w:gridCol w:w="766"/>
        <w:gridCol w:w="766"/>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项目名称：</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招商引资工作经费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项目编码：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50024023T000003071757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自评总分：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99.98</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040-石柱土家族自治县经济和信息化委员会</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508-经济建设和产业发展科</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陈光勇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73336251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执行率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年度总金额</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0.00 </w:t>
            </w:r>
          </w:p>
        </w:tc>
        <w:tc>
          <w:tcPr>
            <w:tcW w:w="9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500,000.00 </w:t>
            </w:r>
          </w:p>
        </w:tc>
        <w:tc>
          <w:tcPr>
            <w:tcW w:w="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499,226.00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其中：财政拨款</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0.00 </w:t>
            </w:r>
          </w:p>
        </w:tc>
        <w:tc>
          <w:tcPr>
            <w:tcW w:w="9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500,000.00 </w:t>
            </w:r>
          </w:p>
        </w:tc>
        <w:tc>
          <w:tcPr>
            <w:tcW w:w="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499,226.00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99.84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一般公共预算</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0.00 </w:t>
            </w:r>
          </w:p>
        </w:tc>
        <w:tc>
          <w:tcPr>
            <w:tcW w:w="9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500,000.00 </w:t>
            </w:r>
          </w:p>
        </w:tc>
        <w:tc>
          <w:tcPr>
            <w:tcW w:w="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499,226.00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99.84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46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4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提升招商引资效率</w:t>
            </w:r>
          </w:p>
        </w:tc>
        <w:tc>
          <w:tcPr>
            <w:tcW w:w="461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提升招商引资效率</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新签约招商实体项目66个，合同引资200.498亿元，资金到位额46.1235亿元，分别完成全年目标任务的167.08%、153.75%。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指标名称</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计量单位</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指标性质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指标值</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偏离度（%）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得分系数（%）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指标权重</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指标得分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接洽招商引资目标企业数量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家</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80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85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6.25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招商引资到位资金</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亿元</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46.12</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84.48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超额完成到位资金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招商引资任务完成时限</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年</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招商引资规模（合同引资）</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亿元</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200.49</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100.49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超额完成合同引资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招商人员满意度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96</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招商引资工作经费成本</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万元</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60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60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项目名称：</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副处级及以上退休干部公用经费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项目编码：</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50024022T000000126934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自评总分：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项目主管部门：</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040-石柱土家族自治县经济和信息化委员会</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财政归口处室：</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508-经济建设和产业发展科</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部门联系人：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陈光勇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73336251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年初预算数</w:t>
            </w:r>
          </w:p>
        </w:tc>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全年（调整）预算数</w:t>
            </w:r>
          </w:p>
        </w:tc>
        <w:tc>
          <w:tcPr>
            <w:tcW w:w="20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全年执行数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执行率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年度总金额</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640.00 </w:t>
            </w:r>
          </w:p>
        </w:tc>
        <w:tc>
          <w:tcPr>
            <w:tcW w:w="9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640.00 </w:t>
            </w:r>
          </w:p>
        </w:tc>
        <w:tc>
          <w:tcPr>
            <w:tcW w:w="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640.00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其中：财政拨款</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640.00 </w:t>
            </w:r>
          </w:p>
        </w:tc>
        <w:tc>
          <w:tcPr>
            <w:tcW w:w="9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640.00 </w:t>
            </w:r>
          </w:p>
        </w:tc>
        <w:tc>
          <w:tcPr>
            <w:tcW w:w="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640.00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一般公共预算</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43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8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640.00 </w:t>
            </w:r>
          </w:p>
        </w:tc>
        <w:tc>
          <w:tcPr>
            <w:tcW w:w="9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5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640.00 </w:t>
            </w:r>
          </w:p>
        </w:tc>
        <w:tc>
          <w:tcPr>
            <w:tcW w:w="76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3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 xml:space="preserve">640.00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年初绩效目标</w:t>
            </w:r>
          </w:p>
        </w:tc>
        <w:tc>
          <w:tcPr>
            <w:tcW w:w="46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全年（调整）绩效目标</w:t>
            </w: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24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进一步做好县处级以上退休干部管理服务工作,在职领导联系退休干部，开展经常性思想政治教育，开展经常性学习，组织参观考察和健康休养，使老干部真正实现老有所学、老有所教、老有所乐。</w:t>
            </w:r>
          </w:p>
        </w:tc>
        <w:tc>
          <w:tcPr>
            <w:tcW w:w="461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26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为退休干部购买报刊书籍，使老干部真正实现老有所学。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指标名称</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计量单位</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指标性质</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指标值</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全年完成值</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偏离度（%）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得分系数（%）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指标权重</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指标得分</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订阅报刊数量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份</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资金规范使用率</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资金使用及时率</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95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发挥“五老”作用效果</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高</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形成最老爱幼良好氛围</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定性</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好</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老干部工作满意度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95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95</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公用经费标准</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元/人年</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640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640</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r>
              <w:rPr>
                <w:rFonts w:hint="eastAsia" w:ascii="Times New Roman" w:hAnsi="Times New Roman" w:eastAsia="宋体" w:cs="Times New Roman"/>
                <w:b/>
                <w:bCs/>
                <w:i w:val="0"/>
                <w:iCs w:val="0"/>
                <w:color w:val="auto"/>
                <w:kern w:val="0"/>
                <w:sz w:val="13"/>
                <w:szCs w:val="13"/>
                <w:highlight w:val="none"/>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0"/>
                <w:sz w:val="13"/>
                <w:szCs w:val="13"/>
                <w:highlight w:val="none"/>
                <w:u w:val="none"/>
                <w:lang w:val="en-US" w:eastAsia="zh-CN" w:bidi="ar"/>
              </w:rPr>
            </w:pPr>
          </w:p>
        </w:tc>
      </w:tr>
    </w:tbl>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highlight w:val="none"/>
          <w:shd w:val="clear" w:color="auto" w:fill="FFFFFF"/>
          <w:lang w:val="en-US" w:eastAsia="zh-CN"/>
        </w:rPr>
      </w:pPr>
      <w:r>
        <w:rPr>
          <w:rStyle w:val="10"/>
          <w:rFonts w:hint="default" w:ascii="Times New Roman" w:hAnsi="Times New Roman" w:eastAsia="方正黑体_GBK" w:cs="Times New Roman"/>
          <w:b w:val="0"/>
          <w:bCs/>
          <w:color w:val="auto"/>
          <w:sz w:val="32"/>
          <w:szCs w:val="32"/>
          <w:highlight w:val="none"/>
          <w:shd w:val="clear" w:color="auto" w:fill="FFFFFF"/>
          <w:lang w:val="en-US" w:eastAsia="zh-CN"/>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bidi="ar-SA"/>
        </w:rPr>
        <w:t> （一）财政拨款收入：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bidi="ar-SA"/>
        </w:rPr>
        <w:t> （二）事业收入：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color w:val="auto"/>
          <w:sz w:val="32"/>
          <w:szCs w:val="32"/>
          <w:highlight w:val="none"/>
          <w:lang w:val="en-US" w:eastAsia="zh-CN" w:bidi="ar-SA"/>
        </w:rPr>
        <w:t>（三）经营收入：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color w:val="auto"/>
          <w:sz w:val="32"/>
          <w:szCs w:val="32"/>
          <w:highlight w:val="none"/>
          <w:lang w:val="en-US" w:eastAsia="zh-CN" w:bidi="ar-SA"/>
        </w:rPr>
        <w:t>（四）其他收入：</w:t>
      </w:r>
      <w:r>
        <w:rPr>
          <w:rFonts w:hint="default" w:ascii="Times New Roman" w:hAnsi="Times New Roman" w:eastAsia="方正仿宋_GBK" w:cs="Times New Roman"/>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bidi="ar-SA"/>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color w:val="auto"/>
          <w:sz w:val="32"/>
          <w:szCs w:val="32"/>
          <w:highlight w:val="none"/>
          <w:lang w:val="en-US" w:eastAsia="zh-CN" w:bidi="ar-SA"/>
        </w:rPr>
        <w:t>（六）年初结转和结余：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bidi="ar-SA"/>
        </w:rPr>
        <w:t> （七）结余分配：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bidi="ar-SA"/>
        </w:rPr>
        <w:t> （八）年末结转和结余：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color w:val="auto"/>
          <w:sz w:val="32"/>
          <w:szCs w:val="32"/>
          <w:highlight w:val="none"/>
          <w:lang w:val="en-US" w:eastAsia="zh-CN" w:bidi="ar-SA"/>
        </w:rPr>
        <w:t>（九）基本支出：</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bidi="ar-SA"/>
        </w:rPr>
        <w:t> （十）项目支出：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color w:val="auto"/>
          <w:sz w:val="32"/>
          <w:szCs w:val="32"/>
          <w:highlight w:val="none"/>
          <w:lang w:val="en-US" w:eastAsia="zh-CN" w:bidi="ar-SA"/>
        </w:rPr>
        <w:t>（十一）经营支出：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color w:val="auto"/>
          <w:sz w:val="32"/>
          <w:szCs w:val="32"/>
          <w:highlight w:val="none"/>
          <w:lang w:val="en-US" w:eastAsia="zh-CN" w:bidi="ar-SA"/>
        </w:rPr>
        <w:t>（十二）“三公”经费：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color w:val="auto"/>
          <w:sz w:val="32"/>
          <w:szCs w:val="32"/>
          <w:highlight w:val="none"/>
          <w:lang w:val="en-US" w:eastAsia="zh-CN" w:bidi="ar-SA"/>
        </w:rPr>
        <w:t>（十三）机关运行经费：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color w:val="auto"/>
          <w:sz w:val="32"/>
          <w:szCs w:val="32"/>
          <w:highlight w:val="none"/>
          <w:lang w:val="en-US" w:eastAsia="zh-CN" w:bidi="ar-SA"/>
        </w:rPr>
        <w:t>（十四）工资福利支出（支出经济分类科目类级）：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color w:val="auto"/>
          <w:sz w:val="32"/>
          <w:szCs w:val="32"/>
          <w:highlight w:val="none"/>
          <w:lang w:val="en-US" w:eastAsia="zh-CN" w:bidi="ar-SA"/>
        </w:rPr>
        <w:t>（十五）商品和服务支出（支出经济分类科目类级）：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val="en-US" w:eastAsia="zh-CN" w:bidi="ar-SA"/>
        </w:rPr>
        <w:t> （十六）对个人和家庭的补助（支出经济分类科目类级）：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color w:val="auto"/>
          <w:sz w:val="32"/>
          <w:szCs w:val="32"/>
          <w:highlight w:val="none"/>
          <w:lang w:val="en-US" w:eastAsia="zh-CN" w:bidi="ar-SA"/>
        </w:rPr>
        <w:t>（十七）其他资本性支出（支出经济分类科目类级）：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Style w:val="10"/>
          <w:rFonts w:hint="default" w:ascii="Times New Roman" w:hAnsi="Times New Roman" w:eastAsia="黑体"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w:t>
      </w:r>
      <w:r>
        <w:rPr>
          <w:rStyle w:val="10"/>
          <w:rFonts w:hint="default" w:ascii="Times New Roman" w:hAnsi="Times New Roman" w:eastAsia="方正黑体_GBK" w:cs="Times New Roman"/>
          <w:b w:val="0"/>
          <w:bCs/>
          <w:color w:val="auto"/>
          <w:sz w:val="32"/>
          <w:szCs w:val="32"/>
          <w:highlight w:val="none"/>
          <w:shd w:val="clear" w:color="auto" w:fill="FFFFFF"/>
          <w:lang w:val="en-US" w:eastAsia="zh-CN"/>
        </w:rPr>
        <w:t>七、决算公开联系方式及信息反馈渠道</w:t>
      </w:r>
    </w:p>
    <w:p>
      <w:pPr>
        <w:pStyle w:val="6"/>
        <w:keepNext w:val="0"/>
        <w:keepLines w:val="0"/>
        <w:pageBreakBefore w:val="0"/>
        <w:widowControl/>
        <w:shd w:val="clear" w:fill="FFFFFF"/>
        <w:kinsoku/>
        <w:wordWrap/>
        <w:overflowPunct/>
        <w:topLinePunct w:val="0"/>
        <w:autoSpaceDE/>
        <w:autoSpaceDN/>
        <w:bidi w:val="0"/>
        <w:adjustRightInd/>
        <w:spacing w:before="0" w:beforeAutospacing="0" w:after="0" w:afterAutospacing="0" w:line="560" w:lineRule="exact"/>
        <w:ind w:left="0" w:right="0" w:firstLine="640" w:firstLineChars="200"/>
        <w:textAlignment w:val="auto"/>
        <w:rPr>
          <w:rStyle w:val="10"/>
          <w:rFonts w:hint="default" w:ascii="Times New Roman" w:hAnsi="Times New Roman" w:eastAsia="方正仿宋_GBK" w:cs="Times New Roman"/>
          <w:color w:val="auto"/>
          <w:sz w:val="32"/>
          <w:szCs w:val="32"/>
          <w:highlight w:val="none"/>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highlight w:val="none"/>
          <w:shd w:val="clear" w:fill="FFFFFF"/>
          <w:lang w:eastAsia="zh-CN"/>
        </w:rPr>
        <w:t xml:space="preserve">本单位决算公开信息反馈和联系方式： </w:t>
      </w:r>
      <w:r>
        <w:rPr>
          <w:rFonts w:hint="default" w:ascii="Times New Roman" w:hAnsi="Times New Roman" w:eastAsia="方正仿宋_GBK" w:cs="Times New Roman"/>
          <w:color w:val="auto"/>
          <w:sz w:val="32"/>
          <w:szCs w:val="32"/>
          <w:highlight w:val="none"/>
          <w:shd w:val="clear" w:fill="FFFFFF"/>
          <w:lang w:val="en-US"/>
        </w:rPr>
        <w:t>02373332025</w:t>
      </w:r>
    </w:p>
    <w:p>
      <w:pPr>
        <w:rPr>
          <w:rFonts w:hint="default" w:cs="宋体"/>
          <w:sz w:val="21"/>
          <w:szCs w:val="21"/>
        </w:rPr>
      </w:pPr>
      <w:bookmarkStart w:id="4" w:name="_GoBack"/>
      <w:bookmarkEnd w:id="4"/>
    </w:p>
    <w:tbl>
      <w:tblPr>
        <w:tblStyle w:val="7"/>
        <w:tblW w:w="5005" w:type="pct"/>
        <w:tblInd w:w="0" w:type="dxa"/>
        <w:tblLayout w:type="autofit"/>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重庆市石柱土家族自治县经济和信息化委员会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6,049.59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1,216.35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627.96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483.34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75.76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1,708.22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495.90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1,453.19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6,069.59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6,069.59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6,069.59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6,069.59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重庆市石柱土家族自治县经济和信息化委员会</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6,069.59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6,069.59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1,211.20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1,211.20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673.86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673.86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科技成果转化与扩散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其他技术研究与开发支出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科技条件与服务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其他科技条件与服务支出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其他科学技术普及支出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1,375.81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1,375.81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880.51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880.51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重庆市石柱土家族自治县经济和信息化委员会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6,069.59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1,709.76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4,359.83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1,211.20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673.86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673.86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科技成果转化与扩散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其他技术研究与开发支出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科技条件与服务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其他科技条件与服务支出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其他科学技术普及支出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1,708.22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1,708.22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1,688.22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1,688.22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1,688.22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1,688.22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1,375.81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1,375.81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1,375.81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880.51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880.51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重庆市石柱土家族自治县经济和信息化委员会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6,049.59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1,216.35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1,216.35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627.96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1,708.22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1,688.22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6,069.59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6,069.59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6,049.59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6,069.59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6,069.59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6,049.59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重庆市石柱土家族自治县经济和信息化委员会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6,049.59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1,709.76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4,339.83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1,216.35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155.74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1,211.20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150.59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673.86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673.86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386.75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386.75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627.96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478.91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科技成果转化与扩散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其他技术研究与开发支出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399.91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科技条件与服务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其他科技条件与服务支出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机构运行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其他科学技术普及支出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44.79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483.34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483.34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394.63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394.63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1,688.22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1,688.22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1,688.22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1,688.22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1,688.22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1,688.22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1,375.81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1,375.81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1,375.81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495.30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495.30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880.51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880.51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77.38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重庆市石柱土家族自治县经济和信息化委员会</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1,179.97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1,441.04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重庆市石柱土家族自治县经济和信息化委员会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重庆市石柱土家族自治县经济和信息化委员会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重庆市石柱土家族自治县经济和信息化委员会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184.06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31.29</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31.29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72.60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111.46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15.52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15.52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15.76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15.76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15.76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351A5"/>
    <w:multiLevelType w:val="singleLevel"/>
    <w:tmpl w:val="893351A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8D7212"/>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unhideWhenUsed/>
    <w:qFormat/>
    <w:uiPriority w:val="34"/>
    <w:pPr>
      <w:ind w:firstLine="420" w:firstLineChars="200"/>
    </w:pPr>
    <w:rPr>
      <w:rFonts w:hint="default"/>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4095</Words>
  <Characters>23348</Characters>
  <Lines>194</Lines>
  <Paragraphs>54</Paragraphs>
  <TotalTime>1</TotalTime>
  <ScaleCrop>false</ScaleCrop>
  <LinksUpToDate>false</LinksUpToDate>
  <CharactersWithSpaces>27389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2024-10-22T07:04:05Z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BB46EABDBB2749749395447164B066B3_12</vt:lpwstr>
  </property>
</Properties>
</file>