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499A2">
      <w:pPr>
        <w:pStyle w:val="6"/>
        <w:keepNext w:val="0"/>
        <w:keepLines w:val="0"/>
        <w:pageBreakBefore w:val="0"/>
        <w:widowControl/>
        <w:kinsoku/>
        <w:overflowPunct/>
        <w:autoSpaceDN/>
        <w:bidi w:val="0"/>
        <w:spacing w:before="0" w:beforeAutospacing="0" w:after="0" w:afterAutospacing="0" w:line="560" w:lineRule="exact"/>
        <w:jc w:val="center"/>
        <w:rPr>
          <w:rFonts w:hint="default" w:ascii="Times New Roman" w:hAnsi="Times New Roman" w:eastAsia="方正小标宋_GBK" w:cs="Times New Roman"/>
          <w:color w:val="auto"/>
          <w:sz w:val="36"/>
          <w:szCs w:val="36"/>
          <w:highlight w:val="none"/>
          <w:shd w:val="clear" w:color="auto" w:fill="FFFFFF"/>
        </w:rPr>
      </w:pPr>
      <w:r>
        <w:rPr>
          <w:rFonts w:hint="default" w:ascii="Times New Roman" w:hAnsi="Times New Roman" w:eastAsia="方正小标宋_GBK" w:cs="Times New Roman"/>
          <w:color w:val="auto"/>
          <w:sz w:val="36"/>
          <w:szCs w:val="36"/>
          <w:highlight w:val="none"/>
        </w:rPr>
        <w:t>重庆市石柱土家族自治县生产力促进中心</w:t>
      </w:r>
      <w:r>
        <w:rPr>
          <w:rFonts w:hint="default" w:ascii="Times New Roman" w:hAnsi="Times New Roman" w:eastAsia="方正小标宋_GBK" w:cs="Times New Roman"/>
          <w:color w:val="auto"/>
          <w:sz w:val="36"/>
          <w:szCs w:val="36"/>
          <w:highlight w:val="none"/>
          <w:shd w:val="clear" w:color="auto" w:fill="FFFFFF"/>
        </w:rPr>
        <w:t>2023年度决算公开说明</w:t>
      </w:r>
    </w:p>
    <w:p w14:paraId="6B8E3764">
      <w:pPr>
        <w:pStyle w:val="6"/>
        <w:keepNext w:val="0"/>
        <w:keepLines w:val="0"/>
        <w:pageBreakBefore w:val="0"/>
        <w:widowControl/>
        <w:shd w:val="clear" w:color="auto" w:fill="FFFFFF"/>
        <w:kinsoku/>
        <w:overflowPunct/>
        <w:autoSpaceDN/>
        <w:bidi w:val="0"/>
        <w:spacing w:beforeAutospacing="0" w:after="0" w:afterAutospacing="0" w:line="560" w:lineRule="exact"/>
        <w:rPr>
          <w:rFonts w:hint="default" w:ascii="Times New Roman" w:hAnsi="Times New Roman" w:eastAsia="方正黑体_GBK" w:cs="Times New Roman"/>
          <w:b w:val="0"/>
          <w:bCs/>
          <w:color w:val="auto"/>
          <w:sz w:val="32"/>
          <w:szCs w:val="32"/>
          <w:highlight w:val="none"/>
        </w:rPr>
      </w:pPr>
      <w:r>
        <w:rPr>
          <w:rStyle w:val="10"/>
          <w:rFonts w:hint="default" w:ascii="Times New Roman" w:hAnsi="Times New Roman" w:eastAsia="方正黑体_GBK" w:cs="Times New Roman"/>
          <w:b w:val="0"/>
          <w:bCs/>
          <w:color w:val="auto"/>
          <w:sz w:val="32"/>
          <w:szCs w:val="32"/>
          <w:highlight w:val="none"/>
          <w:shd w:val="clear" w:color="auto" w:fill="FFFFFF"/>
        </w:rPr>
        <w:t>一、单位基本情况</w:t>
      </w:r>
    </w:p>
    <w:p w14:paraId="7C87B07E">
      <w:pPr>
        <w:keepNext w:val="0"/>
        <w:keepLines w:val="0"/>
        <w:pageBreakBefore w:val="0"/>
        <w:widowControl/>
        <w:suppressLineNumbers w:val="0"/>
        <w:kinsoku/>
        <w:overflowPunct/>
        <w:topLinePunct/>
        <w:autoSpaceDE w:val="0"/>
        <w:autoSpaceDN/>
        <w:bidi w:val="0"/>
        <w:adjustRightInd w:val="0"/>
        <w:spacing w:before="0" w:beforeAutospacing="0" w:afterAutospacing="0" w:line="560" w:lineRule="exact"/>
        <w:ind w:left="0" w:firstLine="640" w:firstLineChars="200"/>
        <w:rPr>
          <w:rFonts w:hint="default" w:ascii="Times New Roman" w:hAnsi="Times New Roman" w:eastAsia="方正楷体_GBK" w:cs="Times New Roman"/>
          <w:b w:val="0"/>
          <w:bCs/>
          <w:color w:val="auto"/>
          <w:kern w:val="0"/>
          <w:sz w:val="32"/>
          <w:szCs w:val="32"/>
          <w:highlight w:val="none"/>
        </w:rPr>
      </w:pPr>
      <w:r>
        <w:rPr>
          <w:rFonts w:hint="default" w:ascii="Times New Roman" w:hAnsi="Times New Roman" w:eastAsia="方正楷体_GBK" w:cs="Times New Roman"/>
          <w:b w:val="0"/>
          <w:bCs/>
          <w:color w:val="auto"/>
          <w:kern w:val="0"/>
          <w:sz w:val="32"/>
          <w:szCs w:val="32"/>
          <w:highlight w:val="none"/>
        </w:rPr>
        <w:t>（一）职能职责</w:t>
      </w:r>
    </w:p>
    <w:p w14:paraId="54045AB2">
      <w:pPr>
        <w:keepNext w:val="0"/>
        <w:keepLines w:val="0"/>
        <w:pageBreakBefore w:val="0"/>
        <w:widowControl/>
        <w:suppressLineNumbers w:val="0"/>
        <w:kinsoku/>
        <w:overflowPunct/>
        <w:topLinePunct/>
        <w:autoSpaceDE w:val="0"/>
        <w:autoSpaceDN/>
        <w:bidi w:val="0"/>
        <w:adjustRightInd w:val="0"/>
        <w:spacing w:before="0" w:beforeAutospacing="0" w:afterAutospacing="0" w:line="560" w:lineRule="exact"/>
        <w:ind w:left="0" w:firstLine="640" w:firstLineChars="200"/>
        <w:rPr>
          <w:rFonts w:hint="default" w:ascii="Times New Roman" w:hAnsi="Times New Roman" w:eastAsia="方正仿宋_GBK" w:cs="Times New Roman"/>
          <w:b w:val="0"/>
          <w:bCs/>
          <w:color w:val="auto"/>
          <w:kern w:val="0"/>
          <w:sz w:val="32"/>
          <w:szCs w:val="32"/>
          <w:highlight w:val="none"/>
        </w:rPr>
      </w:pPr>
      <w:r>
        <w:rPr>
          <w:rFonts w:hint="default" w:ascii="Times New Roman" w:hAnsi="Times New Roman" w:eastAsia="方正仿宋_GBK" w:cs="Times New Roman"/>
          <w:b w:val="0"/>
          <w:bCs/>
          <w:color w:val="auto"/>
          <w:kern w:val="0"/>
          <w:sz w:val="32"/>
          <w:szCs w:val="32"/>
          <w:highlight w:val="none"/>
        </w:rPr>
        <w:t>石柱土家族自治县生产力发展促进中心主要服务宗旨为：服务创新驱动，促进科技发展。主要职责任务为：创新服务科技型企业、科研项目、科技人才；承担科学数据中心、科技创新智库建设、科技成果转化、科技统计日常工作。</w:t>
      </w:r>
    </w:p>
    <w:p w14:paraId="5B57E5E3">
      <w:pPr>
        <w:keepNext w:val="0"/>
        <w:keepLines w:val="0"/>
        <w:pageBreakBefore w:val="0"/>
        <w:widowControl/>
        <w:suppressLineNumbers w:val="0"/>
        <w:kinsoku/>
        <w:overflowPunct/>
        <w:topLinePunct/>
        <w:autoSpaceDE w:val="0"/>
        <w:autoSpaceDN/>
        <w:bidi w:val="0"/>
        <w:adjustRightInd w:val="0"/>
        <w:spacing w:before="0" w:beforeAutospacing="0" w:afterAutospacing="0" w:line="560" w:lineRule="exact"/>
        <w:ind w:left="0" w:firstLine="640" w:firstLineChars="200"/>
        <w:jc w:val="left"/>
        <w:rPr>
          <w:rFonts w:hint="default" w:ascii="Times New Roman" w:hAnsi="Times New Roman" w:eastAsia="方正楷体_GBK" w:cs="Times New Roman"/>
          <w:b w:val="0"/>
          <w:bCs/>
          <w:color w:val="auto"/>
          <w:kern w:val="0"/>
          <w:sz w:val="32"/>
          <w:szCs w:val="32"/>
          <w:highlight w:val="none"/>
        </w:rPr>
      </w:pPr>
      <w:r>
        <w:rPr>
          <w:rFonts w:hint="default" w:ascii="Times New Roman" w:hAnsi="Times New Roman" w:eastAsia="方正楷体_GBK" w:cs="Times New Roman"/>
          <w:b w:val="0"/>
          <w:bCs/>
          <w:color w:val="auto"/>
          <w:kern w:val="0"/>
          <w:sz w:val="32"/>
          <w:szCs w:val="32"/>
          <w:highlight w:val="none"/>
        </w:rPr>
        <w:t>（二）单位构成</w:t>
      </w:r>
    </w:p>
    <w:p w14:paraId="3813F118">
      <w:pPr>
        <w:keepNext w:val="0"/>
        <w:keepLines w:val="0"/>
        <w:pageBreakBefore w:val="0"/>
        <w:widowControl/>
        <w:suppressLineNumbers w:val="0"/>
        <w:kinsoku/>
        <w:overflowPunct/>
        <w:topLinePunct/>
        <w:autoSpaceDE w:val="0"/>
        <w:autoSpaceDN/>
        <w:bidi w:val="0"/>
        <w:adjustRightInd w:val="0"/>
        <w:spacing w:before="0" w:beforeAutospacing="0" w:afterAutospacing="0" w:line="560" w:lineRule="exact"/>
        <w:ind w:left="0" w:firstLine="640" w:firstLineChars="200"/>
        <w:rPr>
          <w:rFonts w:hint="default" w:ascii="Times New Roman" w:hAnsi="Times New Roman" w:eastAsia="方正仿宋_GBK" w:cs="Times New Roman"/>
          <w:b w:val="0"/>
          <w:bCs/>
          <w:color w:val="auto"/>
          <w:kern w:val="0"/>
          <w:sz w:val="32"/>
          <w:szCs w:val="32"/>
          <w:highlight w:val="none"/>
        </w:rPr>
      </w:pPr>
      <w:r>
        <w:rPr>
          <w:rFonts w:hint="default" w:ascii="Times New Roman" w:hAnsi="Times New Roman" w:eastAsia="方正仿宋_GBK" w:cs="Times New Roman"/>
          <w:b w:val="0"/>
          <w:bCs/>
          <w:color w:val="auto"/>
          <w:kern w:val="0"/>
          <w:sz w:val="32"/>
          <w:szCs w:val="32"/>
          <w:highlight w:val="none"/>
        </w:rPr>
        <w:t>石柱土家族自治县生产力发展促进中心为县经济和信息化委员会（县科学技术局、县招商投资促进局、县大数据应用发展管理局）管理的</w:t>
      </w:r>
      <w:r>
        <w:rPr>
          <w:rFonts w:hint="default" w:ascii="Times New Roman" w:hAnsi="Times New Roman" w:eastAsia="方正仿宋_GBK" w:cs="Times New Roman"/>
          <w:b w:val="0"/>
          <w:bCs/>
          <w:color w:val="auto"/>
          <w:kern w:val="0"/>
          <w:sz w:val="32"/>
          <w:szCs w:val="32"/>
          <w:highlight w:val="none"/>
          <w:lang w:val="en-US" w:eastAsia="zh-CN"/>
        </w:rPr>
        <w:t>正</w:t>
      </w:r>
      <w:r>
        <w:rPr>
          <w:rFonts w:hint="default" w:ascii="Times New Roman" w:hAnsi="Times New Roman" w:eastAsia="方正仿宋_GBK" w:cs="Times New Roman"/>
          <w:b w:val="0"/>
          <w:bCs/>
          <w:color w:val="auto"/>
          <w:kern w:val="0"/>
          <w:sz w:val="32"/>
          <w:szCs w:val="32"/>
          <w:highlight w:val="none"/>
        </w:rPr>
        <w:t>科级财政全额拨款公益一类事业单位。核定财政全额拨款事业编制5名，实有职工</w:t>
      </w:r>
      <w:r>
        <w:rPr>
          <w:rFonts w:hint="default" w:ascii="Times New Roman" w:hAnsi="Times New Roman" w:eastAsia="方正仿宋_GBK" w:cs="Times New Roman"/>
          <w:b w:val="0"/>
          <w:bCs/>
          <w:color w:val="auto"/>
          <w:kern w:val="0"/>
          <w:sz w:val="32"/>
          <w:szCs w:val="32"/>
          <w:highlight w:val="none"/>
          <w:lang w:val="en-US" w:eastAsia="zh-CN"/>
        </w:rPr>
        <w:t>6</w:t>
      </w:r>
      <w:r>
        <w:rPr>
          <w:rFonts w:hint="default" w:ascii="Times New Roman" w:hAnsi="Times New Roman" w:eastAsia="方正仿宋_GBK" w:cs="Times New Roman"/>
          <w:b w:val="0"/>
          <w:bCs/>
          <w:color w:val="auto"/>
          <w:kern w:val="0"/>
          <w:sz w:val="32"/>
          <w:szCs w:val="32"/>
          <w:highlight w:val="none"/>
        </w:rPr>
        <w:t>名。</w:t>
      </w:r>
    </w:p>
    <w:p w14:paraId="38540152">
      <w:pPr>
        <w:pStyle w:val="6"/>
        <w:keepNext w:val="0"/>
        <w:keepLines w:val="0"/>
        <w:pageBreakBefore w:val="0"/>
        <w:widowControl/>
        <w:shd w:val="clear" w:color="auto" w:fill="FFFFFF"/>
        <w:kinsoku/>
        <w:overflowPunct/>
        <w:autoSpaceDN/>
        <w:bidi w:val="0"/>
        <w:spacing w:beforeAutospacing="0" w:after="0" w:afterAutospacing="0" w:line="560" w:lineRule="exact"/>
        <w:rPr>
          <w:rStyle w:val="10"/>
          <w:rFonts w:hint="default" w:ascii="Times New Roman" w:hAnsi="Times New Roman" w:eastAsia="方正黑体_GBK" w:cs="Times New Roman"/>
          <w:b w:val="0"/>
          <w:bCs/>
          <w:color w:val="auto"/>
          <w:sz w:val="32"/>
          <w:szCs w:val="32"/>
          <w:highlight w:val="none"/>
          <w:shd w:val="clear" w:color="auto" w:fill="FFFFFF"/>
        </w:rPr>
      </w:pPr>
      <w:r>
        <w:rPr>
          <w:rStyle w:val="10"/>
          <w:rFonts w:hint="default" w:ascii="Times New Roman" w:hAnsi="Times New Roman" w:eastAsia="方正黑体_GBK" w:cs="Times New Roman"/>
          <w:b w:val="0"/>
          <w:bCs/>
          <w:color w:val="auto"/>
          <w:sz w:val="32"/>
          <w:szCs w:val="32"/>
          <w:highlight w:val="none"/>
          <w:shd w:val="clear" w:color="auto" w:fill="FFFFFF"/>
        </w:rPr>
        <w:t>二、单位决算情况说明</w:t>
      </w:r>
    </w:p>
    <w:p w14:paraId="1EB91FB7">
      <w:pPr>
        <w:keepNext w:val="0"/>
        <w:keepLines w:val="0"/>
        <w:pageBreakBefore w:val="0"/>
        <w:widowControl/>
        <w:suppressLineNumbers w:val="0"/>
        <w:kinsoku/>
        <w:overflowPunct/>
        <w:topLinePunct/>
        <w:autoSpaceDE w:val="0"/>
        <w:autoSpaceDN/>
        <w:bidi w:val="0"/>
        <w:adjustRightInd w:val="0"/>
        <w:spacing w:before="0" w:beforeAutospacing="0" w:afterAutospacing="0" w:line="560" w:lineRule="exact"/>
        <w:ind w:left="0" w:firstLine="640" w:firstLineChars="200"/>
        <w:rPr>
          <w:rFonts w:hint="default" w:ascii="Times New Roman" w:hAnsi="Times New Roman" w:eastAsia="方正楷体_GBK" w:cs="Times New Roman"/>
          <w:b w:val="0"/>
          <w:bCs/>
          <w:color w:val="auto"/>
          <w:kern w:val="0"/>
          <w:sz w:val="32"/>
          <w:szCs w:val="32"/>
          <w:highlight w:val="none"/>
        </w:rPr>
      </w:pPr>
      <w:r>
        <w:rPr>
          <w:rFonts w:hint="default" w:ascii="Times New Roman" w:hAnsi="Times New Roman" w:eastAsia="方正楷体_GBK" w:cs="Times New Roman"/>
          <w:b w:val="0"/>
          <w:bCs/>
          <w:color w:val="auto"/>
          <w:kern w:val="0"/>
          <w:sz w:val="32"/>
          <w:szCs w:val="32"/>
          <w:highlight w:val="none"/>
        </w:rPr>
        <w:t>（一）收入支出决算总体情况说明。</w:t>
      </w:r>
    </w:p>
    <w:p w14:paraId="593CCF14">
      <w:pPr>
        <w:pStyle w:val="6"/>
        <w:keepNext w:val="0"/>
        <w:keepLines w:val="0"/>
        <w:pageBreakBefore w:val="0"/>
        <w:widowControl/>
        <w:shd w:val="clear" w:color="auto" w:fill="FFFFFF"/>
        <w:kinsoku/>
        <w:overflowPunct/>
        <w:autoSpaceDN/>
        <w:bidi w:val="0"/>
        <w:spacing w:beforeAutospacing="0" w:after="0" w:afterAutospacing="0" w:line="560" w:lineRule="exact"/>
        <w:ind w:firstLine="643" w:firstLineChars="200"/>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b/>
          <w:bCs/>
          <w:color w:val="auto"/>
          <w:sz w:val="32"/>
          <w:szCs w:val="32"/>
          <w:highlight w:val="none"/>
          <w:shd w:val="clear" w:color="auto" w:fill="FFFFFF"/>
        </w:rPr>
        <w:t>1.总体情况。</w:t>
      </w:r>
      <w:r>
        <w:rPr>
          <w:rFonts w:hint="default" w:ascii="Times New Roman" w:hAnsi="Times New Roman" w:eastAsia="方正仿宋_GBK" w:cs="Times New Roman"/>
          <w:color w:val="auto"/>
          <w:sz w:val="32"/>
          <w:szCs w:val="32"/>
          <w:highlight w:val="none"/>
          <w:shd w:val="clear" w:color="auto" w:fill="FFFFFF"/>
        </w:rPr>
        <w:t>2023年度收入总计127.37万元，支出总计</w:t>
      </w:r>
      <w:r>
        <w:rPr>
          <w:rFonts w:hint="default" w:ascii="Times New Roman" w:hAnsi="Times New Roman" w:eastAsia="方正仿宋_GBK" w:cs="Times New Roman"/>
          <w:color w:val="auto"/>
          <w:sz w:val="32"/>
          <w:szCs w:val="32"/>
          <w:highlight w:val="none"/>
        </w:rPr>
        <w:t>127.37</w:t>
      </w:r>
      <w:r>
        <w:rPr>
          <w:rFonts w:hint="default" w:ascii="Times New Roman" w:hAnsi="Times New Roman" w:eastAsia="方正仿宋_GBK" w:cs="Times New Roman"/>
          <w:color w:val="auto"/>
          <w:sz w:val="32"/>
          <w:szCs w:val="32"/>
          <w:highlight w:val="none"/>
          <w:shd w:val="clear" w:color="auto" w:fill="FFFFFF"/>
        </w:rPr>
        <w:t>万元。收支较上年决算数增加39.58万元，增长45.08%，</w:t>
      </w:r>
      <w:r>
        <w:rPr>
          <w:rFonts w:hint="default" w:ascii="Times New Roman" w:hAnsi="Times New Roman" w:eastAsia="方正仿宋_GBK" w:cs="Times New Roman"/>
          <w:color w:val="auto"/>
          <w:sz w:val="32"/>
          <w:highlight w:val="none"/>
        </w:rPr>
        <w:t>主要原因是</w:t>
      </w:r>
      <w:r>
        <w:rPr>
          <w:rFonts w:hint="default" w:ascii="Times New Roman" w:hAnsi="Times New Roman" w:eastAsia="方正仿宋_GBK" w:cs="Times New Roman"/>
          <w:color w:val="auto"/>
          <w:sz w:val="32"/>
          <w:highlight w:val="none"/>
          <w:lang w:eastAsia="zh-CN"/>
        </w:rPr>
        <w:t>人员工资、公积金社保基数调整，</w:t>
      </w:r>
      <w:r>
        <w:rPr>
          <w:rFonts w:hint="default" w:ascii="Times New Roman" w:hAnsi="Times New Roman" w:eastAsia="方正仿宋_GBK" w:cs="Times New Roman"/>
          <w:color w:val="auto"/>
          <w:sz w:val="32"/>
          <w:highlight w:val="none"/>
          <w:lang w:val="en-US" w:eastAsia="zh-CN"/>
        </w:rPr>
        <w:t>年中</w:t>
      </w:r>
      <w:r>
        <w:rPr>
          <w:rFonts w:hint="default" w:ascii="Times New Roman" w:hAnsi="Times New Roman" w:eastAsia="方正仿宋_GBK" w:cs="Times New Roman"/>
          <w:color w:val="auto"/>
          <w:sz w:val="32"/>
          <w:szCs w:val="32"/>
          <w:highlight w:val="none"/>
          <w:shd w:val="clear" w:color="auto" w:fill="FFFFFF"/>
          <w:lang w:val="en-US" w:eastAsia="zh-CN"/>
        </w:rPr>
        <w:t>科普活动中心拆并到生产力促进中心</w:t>
      </w:r>
      <w:r>
        <w:rPr>
          <w:rFonts w:hint="default" w:ascii="Times New Roman" w:hAnsi="Times New Roman" w:eastAsia="方正仿宋_GBK" w:cs="Times New Roman"/>
          <w:color w:val="auto"/>
          <w:sz w:val="32"/>
          <w:highlight w:val="none"/>
        </w:rPr>
        <w:t>。</w:t>
      </w:r>
    </w:p>
    <w:p w14:paraId="417E06E1">
      <w:pPr>
        <w:pStyle w:val="6"/>
        <w:keepNext w:val="0"/>
        <w:keepLines w:val="0"/>
        <w:pageBreakBefore w:val="0"/>
        <w:widowControl/>
        <w:shd w:val="clear" w:color="auto" w:fill="FFFFFF"/>
        <w:kinsoku/>
        <w:overflowPunct/>
        <w:autoSpaceDN/>
        <w:bidi w:val="0"/>
        <w:spacing w:beforeAutospacing="0" w:after="0" w:afterAutospacing="0" w:line="560" w:lineRule="exact"/>
        <w:ind w:firstLine="643" w:firstLineChars="200"/>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2.收入情况。</w:t>
      </w:r>
      <w:r>
        <w:rPr>
          <w:rFonts w:hint="default" w:ascii="Times New Roman" w:hAnsi="Times New Roman" w:eastAsia="方正仿宋_GBK" w:cs="Times New Roman"/>
          <w:color w:val="auto"/>
          <w:sz w:val="32"/>
          <w:szCs w:val="32"/>
          <w:highlight w:val="none"/>
          <w:shd w:val="clear" w:color="auto" w:fill="FFFFFF"/>
        </w:rPr>
        <w:t>2023年度收入合计127.37万元，较上年决算数增加39.58万元，增长45.08%，</w:t>
      </w:r>
      <w:r>
        <w:rPr>
          <w:rFonts w:hint="default" w:ascii="Times New Roman" w:hAnsi="Times New Roman" w:eastAsia="方正仿宋_GBK" w:cs="Times New Roman"/>
          <w:color w:val="auto"/>
          <w:sz w:val="32"/>
          <w:highlight w:val="none"/>
        </w:rPr>
        <w:t>主要原因是</w:t>
      </w:r>
      <w:r>
        <w:rPr>
          <w:rFonts w:hint="default" w:ascii="Times New Roman" w:hAnsi="Times New Roman" w:eastAsia="方正仿宋_GBK" w:cs="Times New Roman"/>
          <w:color w:val="auto"/>
          <w:sz w:val="32"/>
          <w:highlight w:val="none"/>
          <w:lang w:eastAsia="zh-CN"/>
        </w:rPr>
        <w:t>人员工资、公积金社保基数调整，</w:t>
      </w:r>
      <w:r>
        <w:rPr>
          <w:rFonts w:hint="default" w:ascii="Times New Roman" w:hAnsi="Times New Roman" w:eastAsia="方正仿宋_GBK" w:cs="Times New Roman"/>
          <w:color w:val="auto"/>
          <w:sz w:val="32"/>
          <w:highlight w:val="none"/>
          <w:lang w:val="en-US" w:eastAsia="zh-CN"/>
        </w:rPr>
        <w:t>年中</w:t>
      </w:r>
      <w:r>
        <w:rPr>
          <w:rFonts w:hint="default" w:ascii="Times New Roman" w:hAnsi="Times New Roman" w:eastAsia="方正仿宋_GBK" w:cs="Times New Roman"/>
          <w:color w:val="auto"/>
          <w:sz w:val="32"/>
          <w:szCs w:val="32"/>
          <w:highlight w:val="none"/>
          <w:shd w:val="clear" w:color="auto" w:fill="FFFFFF"/>
          <w:lang w:val="en-US" w:eastAsia="zh-CN"/>
        </w:rPr>
        <w:t>科普活动中心拆并到生产力促进中心</w:t>
      </w:r>
      <w:r>
        <w:rPr>
          <w:rFonts w:hint="default" w:ascii="Times New Roman" w:hAnsi="Times New Roman" w:eastAsia="方正仿宋_GBK" w:cs="Times New Roman"/>
          <w:color w:val="auto"/>
          <w:sz w:val="32"/>
          <w:highlight w:val="none"/>
        </w:rPr>
        <w:t>。</w:t>
      </w:r>
      <w:r>
        <w:rPr>
          <w:rFonts w:hint="default" w:ascii="Times New Roman" w:hAnsi="Times New Roman" w:eastAsia="方正仿宋_GBK" w:cs="Times New Roman"/>
          <w:color w:val="auto"/>
          <w:sz w:val="32"/>
          <w:szCs w:val="32"/>
          <w:highlight w:val="none"/>
          <w:shd w:val="clear" w:color="auto" w:fill="FFFFFF"/>
        </w:rPr>
        <w:t>其中：财政拨款收入</w:t>
      </w:r>
      <w:r>
        <w:rPr>
          <w:rFonts w:hint="default" w:ascii="Times New Roman" w:hAnsi="Times New Roman" w:eastAsia="方正仿宋_GBK" w:cs="Times New Roman"/>
          <w:color w:val="auto"/>
          <w:sz w:val="32"/>
          <w:szCs w:val="32"/>
          <w:highlight w:val="none"/>
        </w:rPr>
        <w:t>127.37</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100.00</w:t>
      </w:r>
      <w:r>
        <w:rPr>
          <w:rFonts w:hint="default" w:ascii="Times New Roman" w:hAnsi="Times New Roman" w:eastAsia="方正仿宋_GBK" w:cs="Times New Roman"/>
          <w:color w:val="auto"/>
          <w:sz w:val="32"/>
          <w:szCs w:val="32"/>
          <w:highlight w:val="none"/>
          <w:shd w:val="clear" w:color="auto" w:fill="FFFFFF"/>
        </w:rPr>
        <w:t>%；事业收入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万元，占0.00%；经营收入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万元，占0.00%；其他收入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万元，占0.00%。此外，使用非财政拨款结余和专用结余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万元，年初结转和结余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14:paraId="781A0935">
      <w:pPr>
        <w:pStyle w:val="6"/>
        <w:keepNext w:val="0"/>
        <w:keepLines w:val="0"/>
        <w:pageBreakBefore w:val="0"/>
        <w:widowControl/>
        <w:shd w:val="clear" w:color="auto" w:fill="FFFFFF"/>
        <w:kinsoku/>
        <w:overflowPunct/>
        <w:autoSpaceDN/>
        <w:bidi w:val="0"/>
        <w:spacing w:beforeAutospacing="0" w:after="0" w:afterAutospacing="0" w:line="560" w:lineRule="exact"/>
        <w:ind w:firstLine="643" w:firstLineChars="200"/>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3.支出情况。</w:t>
      </w:r>
      <w:r>
        <w:rPr>
          <w:rFonts w:hint="default" w:ascii="Times New Roman" w:hAnsi="Times New Roman" w:eastAsia="方正仿宋_GBK" w:cs="Times New Roman"/>
          <w:color w:val="auto"/>
          <w:sz w:val="32"/>
          <w:szCs w:val="32"/>
          <w:highlight w:val="none"/>
          <w:shd w:val="clear" w:color="auto" w:fill="FFFFFF"/>
        </w:rPr>
        <w:t>2023年度支出合计</w:t>
      </w:r>
      <w:r>
        <w:rPr>
          <w:rFonts w:hint="default" w:ascii="Times New Roman" w:hAnsi="Times New Roman" w:eastAsia="方正仿宋_GBK" w:cs="Times New Roman"/>
          <w:color w:val="auto"/>
          <w:sz w:val="32"/>
          <w:szCs w:val="32"/>
          <w:highlight w:val="none"/>
        </w:rPr>
        <w:t>127.37</w:t>
      </w:r>
      <w:r>
        <w:rPr>
          <w:rFonts w:hint="default" w:ascii="Times New Roman" w:hAnsi="Times New Roman" w:eastAsia="方正仿宋_GBK" w:cs="Times New Roman"/>
          <w:color w:val="auto"/>
          <w:sz w:val="32"/>
          <w:szCs w:val="32"/>
          <w:highlight w:val="none"/>
          <w:shd w:val="clear" w:color="auto" w:fill="FFFFFF"/>
        </w:rPr>
        <w:t>万元，较上年决算数增加39.58万元，增长45.08%，</w:t>
      </w:r>
      <w:r>
        <w:rPr>
          <w:rFonts w:hint="default" w:ascii="Times New Roman" w:hAnsi="Times New Roman" w:eastAsia="方正仿宋_GBK" w:cs="Times New Roman"/>
          <w:color w:val="auto"/>
          <w:sz w:val="32"/>
          <w:highlight w:val="none"/>
        </w:rPr>
        <w:t>主要原因是</w:t>
      </w:r>
      <w:r>
        <w:rPr>
          <w:rFonts w:hint="default" w:ascii="Times New Roman" w:hAnsi="Times New Roman" w:eastAsia="方正仿宋_GBK" w:cs="Times New Roman"/>
          <w:color w:val="auto"/>
          <w:sz w:val="32"/>
          <w:highlight w:val="none"/>
          <w:lang w:eastAsia="zh-CN"/>
        </w:rPr>
        <w:t>人员工资、公积金社保基数调整，</w:t>
      </w:r>
      <w:r>
        <w:rPr>
          <w:rFonts w:hint="default" w:ascii="Times New Roman" w:hAnsi="Times New Roman" w:eastAsia="方正仿宋_GBK" w:cs="Times New Roman"/>
          <w:color w:val="auto"/>
          <w:sz w:val="32"/>
          <w:highlight w:val="none"/>
          <w:lang w:val="en-US" w:eastAsia="zh-CN"/>
        </w:rPr>
        <w:t>年中</w:t>
      </w:r>
      <w:r>
        <w:rPr>
          <w:rFonts w:hint="default" w:ascii="Times New Roman" w:hAnsi="Times New Roman" w:eastAsia="方正仿宋_GBK" w:cs="Times New Roman"/>
          <w:color w:val="auto"/>
          <w:sz w:val="32"/>
          <w:szCs w:val="32"/>
          <w:highlight w:val="none"/>
          <w:shd w:val="clear" w:color="auto" w:fill="FFFFFF"/>
          <w:lang w:val="en-US" w:eastAsia="zh-CN"/>
        </w:rPr>
        <w:t>科普活动中心拆并到生产力促进中心</w:t>
      </w:r>
      <w:r>
        <w:rPr>
          <w:rFonts w:hint="default" w:ascii="Times New Roman" w:hAnsi="Times New Roman" w:eastAsia="方正仿宋_GBK" w:cs="Times New Roman"/>
          <w:color w:val="auto"/>
          <w:sz w:val="32"/>
          <w:highlight w:val="none"/>
        </w:rPr>
        <w:t>。</w:t>
      </w:r>
      <w:r>
        <w:rPr>
          <w:rFonts w:hint="default" w:ascii="Times New Roman" w:hAnsi="Times New Roman" w:eastAsia="方正仿宋_GBK" w:cs="Times New Roman"/>
          <w:color w:val="auto"/>
          <w:sz w:val="32"/>
          <w:szCs w:val="32"/>
          <w:highlight w:val="none"/>
          <w:shd w:val="clear" w:color="auto" w:fill="FFFFFF"/>
        </w:rPr>
        <w:t>其中：基本支出</w:t>
      </w:r>
      <w:r>
        <w:rPr>
          <w:rFonts w:hint="default" w:ascii="Times New Roman" w:hAnsi="Times New Roman" w:eastAsia="方正仿宋_GBK" w:cs="Times New Roman"/>
          <w:color w:val="auto"/>
          <w:sz w:val="32"/>
          <w:szCs w:val="32"/>
          <w:highlight w:val="none"/>
        </w:rPr>
        <w:t>127.37</w:t>
      </w:r>
      <w:r>
        <w:rPr>
          <w:rFonts w:hint="default" w:ascii="Times New Roman" w:hAnsi="Times New Roman" w:eastAsia="方正仿宋_GBK" w:cs="Times New Roman"/>
          <w:color w:val="auto"/>
          <w:sz w:val="32"/>
          <w:szCs w:val="32"/>
          <w:highlight w:val="none"/>
          <w:shd w:val="clear" w:color="auto" w:fill="FFFFFF"/>
        </w:rPr>
        <w:t>万元，占100.00%；项目支出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万元，占0.00%；经营支出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万元，占0.00%。此外，结余分配</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14:paraId="7DA6971B">
      <w:pPr>
        <w:pStyle w:val="6"/>
        <w:keepNext w:val="0"/>
        <w:keepLines w:val="0"/>
        <w:pageBreakBefore w:val="0"/>
        <w:widowControl/>
        <w:shd w:val="clear" w:color="auto" w:fill="FFFFFF"/>
        <w:kinsoku/>
        <w:overflowPunct/>
        <w:autoSpaceDN/>
        <w:bidi w:val="0"/>
        <w:spacing w:beforeAutospacing="0" w:after="0" w:afterAutospacing="0" w:line="560" w:lineRule="exact"/>
        <w:ind w:firstLine="643" w:firstLineChars="200"/>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4.结转结余情况。</w:t>
      </w:r>
      <w:r>
        <w:rPr>
          <w:rFonts w:hint="default" w:ascii="Times New Roman" w:hAnsi="Times New Roman" w:eastAsia="方正仿宋_GBK" w:cs="Times New Roman"/>
          <w:color w:val="auto"/>
          <w:sz w:val="32"/>
          <w:szCs w:val="32"/>
          <w:highlight w:val="none"/>
          <w:shd w:val="clear" w:color="auto" w:fill="FFFFFF"/>
        </w:rPr>
        <w:t>2023年度年末结转和结余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万元，较上年决算数无增减</w:t>
      </w:r>
      <w:r>
        <w:rPr>
          <w:rFonts w:hint="default" w:ascii="Times New Roman" w:hAnsi="Times New Roman" w:eastAsia="方正仿宋_GBK" w:cs="Times New Roman"/>
          <w:color w:val="auto"/>
          <w:sz w:val="32"/>
          <w:highlight w:val="none"/>
        </w:rPr>
        <w:t>。</w:t>
      </w:r>
    </w:p>
    <w:p w14:paraId="09E6D2AA">
      <w:pPr>
        <w:keepNext w:val="0"/>
        <w:keepLines w:val="0"/>
        <w:pageBreakBefore w:val="0"/>
        <w:widowControl/>
        <w:suppressLineNumbers w:val="0"/>
        <w:kinsoku/>
        <w:overflowPunct/>
        <w:topLinePunct/>
        <w:autoSpaceDE w:val="0"/>
        <w:autoSpaceDN/>
        <w:bidi w:val="0"/>
        <w:adjustRightInd w:val="0"/>
        <w:spacing w:before="0" w:beforeAutospacing="0" w:afterAutospacing="0" w:line="560" w:lineRule="exact"/>
        <w:ind w:left="0" w:firstLine="640" w:firstLineChars="200"/>
        <w:rPr>
          <w:rFonts w:hint="default" w:ascii="Times New Roman" w:hAnsi="Times New Roman" w:eastAsia="方正楷体_GBK" w:cs="Times New Roman"/>
          <w:b w:val="0"/>
          <w:bCs/>
          <w:color w:val="auto"/>
          <w:kern w:val="0"/>
          <w:sz w:val="32"/>
          <w:szCs w:val="32"/>
          <w:highlight w:val="none"/>
        </w:rPr>
      </w:pPr>
      <w:r>
        <w:rPr>
          <w:rFonts w:hint="default" w:ascii="Times New Roman" w:hAnsi="Times New Roman" w:eastAsia="方正楷体_GBK" w:cs="Times New Roman"/>
          <w:b w:val="0"/>
          <w:bCs/>
          <w:color w:val="auto"/>
          <w:kern w:val="0"/>
          <w:sz w:val="32"/>
          <w:szCs w:val="32"/>
          <w:highlight w:val="none"/>
        </w:rPr>
        <w:t>（二）财政拨款收入支出决算总体情况说明</w:t>
      </w:r>
    </w:p>
    <w:p w14:paraId="2495B1CD">
      <w:pPr>
        <w:pStyle w:val="6"/>
        <w:keepNext w:val="0"/>
        <w:keepLines w:val="0"/>
        <w:pageBreakBefore w:val="0"/>
        <w:widowControl/>
        <w:shd w:val="clear" w:color="auto" w:fill="FFFFFF"/>
        <w:kinsoku/>
        <w:overflowPunct/>
        <w:autoSpaceDN/>
        <w:bidi w:val="0"/>
        <w:spacing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2023年度财政拨款收、支总计127.37万元。与2022年相比，财政拨款收、支总计各增加39.58万元，增长45.08%。</w:t>
      </w:r>
      <w:r>
        <w:rPr>
          <w:rFonts w:hint="default" w:ascii="Times New Roman" w:hAnsi="Times New Roman" w:eastAsia="方正仿宋_GBK" w:cs="Times New Roman"/>
          <w:color w:val="auto"/>
          <w:sz w:val="32"/>
          <w:highlight w:val="none"/>
        </w:rPr>
        <w:t>主要原因是</w:t>
      </w:r>
      <w:r>
        <w:rPr>
          <w:rFonts w:hint="default" w:ascii="Times New Roman" w:hAnsi="Times New Roman" w:eastAsia="方正仿宋_GBK" w:cs="Times New Roman"/>
          <w:color w:val="auto"/>
          <w:sz w:val="32"/>
          <w:highlight w:val="none"/>
          <w:lang w:eastAsia="zh-CN"/>
        </w:rPr>
        <w:t>人员工资、公积金社保基数调整，</w:t>
      </w:r>
      <w:r>
        <w:rPr>
          <w:rFonts w:hint="default" w:ascii="Times New Roman" w:hAnsi="Times New Roman" w:eastAsia="方正仿宋_GBK" w:cs="Times New Roman"/>
          <w:color w:val="auto"/>
          <w:sz w:val="32"/>
          <w:highlight w:val="none"/>
          <w:lang w:val="en-US" w:eastAsia="zh-CN"/>
        </w:rPr>
        <w:t>年中</w:t>
      </w:r>
      <w:r>
        <w:rPr>
          <w:rFonts w:hint="default" w:ascii="Times New Roman" w:hAnsi="Times New Roman" w:eastAsia="方正仿宋_GBK" w:cs="Times New Roman"/>
          <w:color w:val="auto"/>
          <w:sz w:val="32"/>
          <w:szCs w:val="32"/>
          <w:highlight w:val="none"/>
          <w:shd w:val="clear" w:color="auto" w:fill="FFFFFF"/>
          <w:lang w:val="en-US" w:eastAsia="zh-CN"/>
        </w:rPr>
        <w:t>科普活动中心拆并到生产力促进中心</w:t>
      </w:r>
      <w:r>
        <w:rPr>
          <w:rFonts w:hint="default" w:ascii="Times New Roman" w:hAnsi="Times New Roman" w:eastAsia="方正仿宋_GBK" w:cs="Times New Roman"/>
          <w:color w:val="auto"/>
          <w:sz w:val="32"/>
          <w:highlight w:val="none"/>
        </w:rPr>
        <w:t>。</w:t>
      </w:r>
    </w:p>
    <w:p w14:paraId="7EFB09C5">
      <w:pPr>
        <w:keepNext w:val="0"/>
        <w:keepLines w:val="0"/>
        <w:pageBreakBefore w:val="0"/>
        <w:widowControl/>
        <w:suppressLineNumbers w:val="0"/>
        <w:kinsoku/>
        <w:overflowPunct/>
        <w:topLinePunct/>
        <w:autoSpaceDE w:val="0"/>
        <w:autoSpaceDN/>
        <w:bidi w:val="0"/>
        <w:adjustRightInd w:val="0"/>
        <w:spacing w:before="0" w:beforeAutospacing="0" w:afterAutospacing="0" w:line="560" w:lineRule="exact"/>
        <w:ind w:left="0" w:firstLine="640" w:firstLineChars="200"/>
        <w:rPr>
          <w:rFonts w:hint="default" w:ascii="Times New Roman" w:hAnsi="Times New Roman" w:eastAsia="方正楷体_GBK" w:cs="Times New Roman"/>
          <w:b w:val="0"/>
          <w:bCs/>
          <w:color w:val="auto"/>
          <w:kern w:val="0"/>
          <w:sz w:val="32"/>
          <w:szCs w:val="32"/>
          <w:highlight w:val="none"/>
        </w:rPr>
      </w:pPr>
      <w:r>
        <w:rPr>
          <w:rFonts w:hint="default" w:ascii="Times New Roman" w:hAnsi="Times New Roman" w:eastAsia="方正楷体_GBK" w:cs="Times New Roman"/>
          <w:b w:val="0"/>
          <w:bCs/>
          <w:color w:val="auto"/>
          <w:kern w:val="0"/>
          <w:sz w:val="32"/>
          <w:szCs w:val="32"/>
          <w:highlight w:val="none"/>
        </w:rPr>
        <w:t>（三）一般公共预算财政拨款收入支出决算情况说明</w:t>
      </w:r>
    </w:p>
    <w:p w14:paraId="03F5303A">
      <w:pPr>
        <w:pStyle w:val="6"/>
        <w:keepNext w:val="0"/>
        <w:keepLines w:val="0"/>
        <w:pageBreakBefore w:val="0"/>
        <w:widowControl/>
        <w:shd w:val="clear" w:color="auto" w:fill="FFFFFF"/>
        <w:kinsoku/>
        <w:overflowPunct/>
        <w:autoSpaceDN/>
        <w:bidi w:val="0"/>
        <w:spacing w:beforeAutospacing="0" w:after="0" w:afterAutospacing="0" w:line="560" w:lineRule="exact"/>
        <w:ind w:firstLine="643" w:firstLineChars="200"/>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1.收入情况。</w:t>
      </w:r>
      <w:r>
        <w:rPr>
          <w:rFonts w:hint="default" w:ascii="Times New Roman" w:hAnsi="Times New Roman" w:eastAsia="方正仿宋_GBK" w:cs="Times New Roman"/>
          <w:color w:val="auto"/>
          <w:sz w:val="32"/>
          <w:szCs w:val="32"/>
          <w:highlight w:val="none"/>
          <w:shd w:val="clear" w:color="auto" w:fill="FFFFFF"/>
        </w:rPr>
        <w:t>2023年度一般公共预算财政拨款收入</w:t>
      </w:r>
      <w:r>
        <w:rPr>
          <w:rFonts w:hint="default" w:ascii="Times New Roman" w:hAnsi="Times New Roman" w:eastAsia="方正仿宋_GBK" w:cs="Times New Roman"/>
          <w:color w:val="auto"/>
          <w:sz w:val="32"/>
          <w:szCs w:val="32"/>
          <w:highlight w:val="none"/>
        </w:rPr>
        <w:t>127.37</w:t>
      </w:r>
      <w:r>
        <w:rPr>
          <w:rFonts w:hint="default" w:ascii="Times New Roman" w:hAnsi="Times New Roman" w:eastAsia="方正仿宋_GBK" w:cs="Times New Roman"/>
          <w:color w:val="auto"/>
          <w:sz w:val="32"/>
          <w:szCs w:val="32"/>
          <w:highlight w:val="none"/>
          <w:shd w:val="clear" w:color="auto" w:fill="FFFFFF"/>
        </w:rPr>
        <w:t>万元，较上年决算数增加39.58万元，增长45.08%。</w:t>
      </w:r>
      <w:r>
        <w:rPr>
          <w:rFonts w:hint="default" w:ascii="Times New Roman" w:hAnsi="Times New Roman" w:eastAsia="方正仿宋_GBK" w:cs="Times New Roman"/>
          <w:color w:val="auto"/>
          <w:sz w:val="32"/>
          <w:highlight w:val="none"/>
        </w:rPr>
        <w:t>主要原因是</w:t>
      </w:r>
      <w:r>
        <w:rPr>
          <w:rFonts w:hint="default" w:ascii="Times New Roman" w:hAnsi="Times New Roman" w:eastAsia="方正仿宋_GBK" w:cs="Times New Roman"/>
          <w:color w:val="auto"/>
          <w:sz w:val="32"/>
          <w:highlight w:val="none"/>
          <w:lang w:eastAsia="zh-CN"/>
        </w:rPr>
        <w:t>人员工资、公积金社保基数调整</w:t>
      </w:r>
      <w:r>
        <w:rPr>
          <w:rFonts w:hint="default" w:ascii="Times New Roman" w:hAnsi="Times New Roman" w:eastAsia="方正仿宋_GBK" w:cs="Times New Roman"/>
          <w:color w:val="auto"/>
          <w:sz w:val="32"/>
          <w:highlight w:val="none"/>
        </w:rPr>
        <w:t>。</w:t>
      </w:r>
      <w:r>
        <w:rPr>
          <w:rFonts w:hint="default" w:ascii="Times New Roman" w:hAnsi="Times New Roman" w:eastAsia="方正仿宋_GBK" w:cs="Times New Roman"/>
          <w:color w:val="auto"/>
          <w:sz w:val="32"/>
          <w:szCs w:val="32"/>
          <w:highlight w:val="none"/>
          <w:shd w:val="clear" w:color="auto" w:fill="FFFFFF"/>
        </w:rPr>
        <w:t>较年初预算数增加62.53万元，增长96.44%。</w:t>
      </w:r>
      <w:r>
        <w:rPr>
          <w:rFonts w:hint="default" w:ascii="Times New Roman" w:hAnsi="Times New Roman" w:eastAsia="方正仿宋_GBK" w:cs="Times New Roman"/>
          <w:color w:val="auto"/>
          <w:sz w:val="32"/>
          <w:highlight w:val="none"/>
        </w:rPr>
        <w:t>主要原因是</w:t>
      </w:r>
      <w:r>
        <w:rPr>
          <w:rFonts w:hint="default" w:ascii="Times New Roman" w:hAnsi="Times New Roman" w:eastAsia="方正仿宋_GBK" w:cs="Times New Roman"/>
          <w:color w:val="auto"/>
          <w:sz w:val="32"/>
          <w:highlight w:val="none"/>
          <w:lang w:eastAsia="zh-CN"/>
        </w:rPr>
        <w:t>人员工资、公积金社保基数调整，</w:t>
      </w:r>
      <w:r>
        <w:rPr>
          <w:rFonts w:hint="default" w:ascii="Times New Roman" w:hAnsi="Times New Roman" w:eastAsia="方正仿宋_GBK" w:cs="Times New Roman"/>
          <w:color w:val="auto"/>
          <w:sz w:val="32"/>
          <w:highlight w:val="none"/>
          <w:lang w:val="en-US" w:eastAsia="zh-CN"/>
        </w:rPr>
        <w:t>年中</w:t>
      </w:r>
      <w:r>
        <w:rPr>
          <w:rFonts w:hint="default" w:ascii="Times New Roman" w:hAnsi="Times New Roman" w:eastAsia="方正仿宋_GBK" w:cs="Times New Roman"/>
          <w:color w:val="auto"/>
          <w:sz w:val="32"/>
          <w:szCs w:val="32"/>
          <w:highlight w:val="none"/>
          <w:shd w:val="clear" w:color="auto" w:fill="FFFFFF"/>
          <w:lang w:val="en-US" w:eastAsia="zh-CN"/>
        </w:rPr>
        <w:t>科普活动中心拆并到生产力促进中心</w:t>
      </w:r>
      <w:r>
        <w:rPr>
          <w:rFonts w:hint="default" w:ascii="Times New Roman" w:hAnsi="Times New Roman" w:eastAsia="方正仿宋_GBK" w:cs="Times New Roman"/>
          <w:color w:val="auto"/>
          <w:sz w:val="32"/>
          <w:highlight w:val="none"/>
        </w:rPr>
        <w:t>。</w:t>
      </w:r>
      <w:r>
        <w:rPr>
          <w:rFonts w:hint="default" w:ascii="Times New Roman" w:hAnsi="Times New Roman" w:eastAsia="方正仿宋_GBK" w:cs="Times New Roman"/>
          <w:color w:val="auto"/>
          <w:sz w:val="32"/>
          <w:szCs w:val="32"/>
          <w:highlight w:val="none"/>
          <w:shd w:val="clear" w:color="auto" w:fill="FFFFFF"/>
        </w:rPr>
        <w:t>此外，年初财政拨款结转和结余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14:paraId="0947A045">
      <w:pPr>
        <w:pStyle w:val="6"/>
        <w:keepNext w:val="0"/>
        <w:keepLines w:val="0"/>
        <w:pageBreakBefore w:val="0"/>
        <w:widowControl/>
        <w:kinsoku/>
        <w:overflowPunct/>
        <w:autoSpaceDN/>
        <w:bidi w:val="0"/>
        <w:snapToGrid w:val="0"/>
        <w:spacing w:before="0" w:beforeAutospacing="0" w:after="0" w:afterAutospacing="0" w:line="560" w:lineRule="exact"/>
        <w:ind w:firstLine="643" w:firstLineChars="200"/>
        <w:jc w:val="both"/>
        <w:rPr>
          <w:rFonts w:hint="default" w:ascii="Times New Roman" w:hAnsi="Times New Roman" w:eastAsia="方正仿宋_GBK" w:cs="Times New Roman"/>
          <w:b w:val="0"/>
          <w:bCs/>
          <w:color w:val="auto"/>
          <w:kern w:val="0"/>
          <w:sz w:val="32"/>
          <w:szCs w:val="32"/>
          <w:highlight w:val="none"/>
          <w:shd w:val="clear" w:fill="FFFFFF"/>
          <w:lang w:val="en-US" w:eastAsia="zh-CN"/>
        </w:rPr>
      </w:pPr>
      <w:r>
        <w:rPr>
          <w:rStyle w:val="10"/>
          <w:rFonts w:hint="default" w:ascii="Times New Roman" w:hAnsi="Times New Roman" w:eastAsia="方正仿宋_GBK" w:cs="Times New Roman"/>
          <w:color w:val="auto"/>
          <w:sz w:val="32"/>
          <w:szCs w:val="32"/>
          <w:highlight w:val="none"/>
          <w:shd w:val="clear" w:color="auto" w:fill="FFFFFF"/>
        </w:rPr>
        <w:t>2.支出情况。</w:t>
      </w:r>
      <w:r>
        <w:rPr>
          <w:rFonts w:hint="default" w:ascii="Times New Roman" w:hAnsi="Times New Roman" w:eastAsia="方正仿宋_GBK" w:cs="Times New Roman"/>
          <w:color w:val="auto"/>
          <w:sz w:val="32"/>
          <w:szCs w:val="32"/>
          <w:highlight w:val="none"/>
          <w:shd w:val="clear" w:color="auto" w:fill="FFFFFF"/>
        </w:rPr>
        <w:t>2023年度一般公共预算财政拨款支出</w:t>
      </w:r>
      <w:r>
        <w:rPr>
          <w:rFonts w:hint="default" w:ascii="Times New Roman" w:hAnsi="Times New Roman" w:eastAsia="方正仿宋_GBK" w:cs="Times New Roman"/>
          <w:color w:val="auto"/>
          <w:sz w:val="32"/>
          <w:szCs w:val="32"/>
          <w:highlight w:val="none"/>
        </w:rPr>
        <w:t>127.37</w:t>
      </w:r>
      <w:r>
        <w:rPr>
          <w:rFonts w:hint="default" w:ascii="Times New Roman" w:hAnsi="Times New Roman" w:eastAsia="方正仿宋_GBK" w:cs="Times New Roman"/>
          <w:color w:val="auto"/>
          <w:sz w:val="32"/>
          <w:szCs w:val="32"/>
          <w:highlight w:val="none"/>
          <w:shd w:val="clear" w:color="auto" w:fill="FFFFFF"/>
        </w:rPr>
        <w:t>万元，较上年决算数增加39.58万元，增长45.08%。</w:t>
      </w:r>
      <w:r>
        <w:rPr>
          <w:rFonts w:hint="default" w:ascii="Times New Roman" w:hAnsi="Times New Roman" w:eastAsia="方正仿宋_GBK" w:cs="Times New Roman"/>
          <w:color w:val="auto"/>
          <w:sz w:val="32"/>
          <w:highlight w:val="none"/>
        </w:rPr>
        <w:t>主要原因是</w:t>
      </w:r>
      <w:r>
        <w:rPr>
          <w:rFonts w:hint="default" w:ascii="Times New Roman" w:hAnsi="Times New Roman" w:eastAsia="方正仿宋_GBK" w:cs="Times New Roman"/>
          <w:color w:val="auto"/>
          <w:sz w:val="32"/>
          <w:highlight w:val="none"/>
          <w:lang w:eastAsia="zh-CN"/>
        </w:rPr>
        <w:t>人员工资、公积金社保基数调整，</w:t>
      </w:r>
      <w:r>
        <w:rPr>
          <w:rFonts w:hint="default" w:ascii="Times New Roman" w:hAnsi="Times New Roman" w:eastAsia="方正仿宋_GBK" w:cs="Times New Roman"/>
          <w:color w:val="auto"/>
          <w:sz w:val="32"/>
          <w:highlight w:val="none"/>
          <w:lang w:val="en-US" w:eastAsia="zh-CN"/>
        </w:rPr>
        <w:t>年中</w:t>
      </w:r>
      <w:r>
        <w:rPr>
          <w:rFonts w:hint="default" w:ascii="Times New Roman" w:hAnsi="Times New Roman" w:eastAsia="方正仿宋_GBK" w:cs="Times New Roman"/>
          <w:color w:val="auto"/>
          <w:sz w:val="32"/>
          <w:szCs w:val="32"/>
          <w:highlight w:val="none"/>
          <w:shd w:val="clear" w:color="auto" w:fill="FFFFFF"/>
          <w:lang w:val="en-US" w:eastAsia="zh-CN"/>
        </w:rPr>
        <w:t>科普活动中心拆并到生产力促进中心</w:t>
      </w:r>
      <w:r>
        <w:rPr>
          <w:rFonts w:hint="default" w:ascii="Times New Roman" w:hAnsi="Times New Roman" w:eastAsia="方正仿宋_GBK" w:cs="Times New Roman"/>
          <w:color w:val="auto"/>
          <w:sz w:val="32"/>
          <w:highlight w:val="none"/>
        </w:rPr>
        <w:t>。</w:t>
      </w:r>
      <w:r>
        <w:rPr>
          <w:rFonts w:hint="default" w:ascii="Times New Roman" w:hAnsi="Times New Roman" w:eastAsia="方正仿宋_GBK" w:cs="Times New Roman"/>
          <w:color w:val="auto"/>
          <w:sz w:val="32"/>
          <w:szCs w:val="32"/>
          <w:highlight w:val="none"/>
          <w:shd w:val="clear" w:color="auto" w:fill="FFFFFF"/>
        </w:rPr>
        <w:t>较年初预算数增加62.53万元，增长96.44%。</w:t>
      </w:r>
      <w:r>
        <w:rPr>
          <w:rFonts w:hint="default" w:ascii="Times New Roman" w:hAnsi="Times New Roman" w:eastAsia="方正仿宋_GBK" w:cs="Times New Roman"/>
          <w:color w:val="auto"/>
          <w:sz w:val="32"/>
          <w:highlight w:val="none"/>
        </w:rPr>
        <w:t>主要原因是</w:t>
      </w:r>
      <w:r>
        <w:rPr>
          <w:rFonts w:hint="default" w:ascii="Times New Roman" w:hAnsi="Times New Roman" w:eastAsia="方正仿宋_GBK" w:cs="Times New Roman"/>
          <w:color w:val="auto"/>
          <w:sz w:val="32"/>
          <w:highlight w:val="none"/>
          <w:lang w:eastAsia="zh-CN"/>
        </w:rPr>
        <w:t>人员工资、公积金社保基数调整，</w:t>
      </w:r>
      <w:r>
        <w:rPr>
          <w:rFonts w:hint="default" w:ascii="Times New Roman" w:hAnsi="Times New Roman" w:eastAsia="方正仿宋_GBK" w:cs="Times New Roman"/>
          <w:color w:val="auto"/>
          <w:sz w:val="32"/>
          <w:highlight w:val="none"/>
          <w:lang w:val="en-US" w:eastAsia="zh-CN"/>
        </w:rPr>
        <w:t>年中</w:t>
      </w:r>
      <w:r>
        <w:rPr>
          <w:rFonts w:hint="default" w:ascii="Times New Roman" w:hAnsi="Times New Roman" w:eastAsia="方正仿宋_GBK" w:cs="Times New Roman"/>
          <w:color w:val="auto"/>
          <w:sz w:val="32"/>
          <w:szCs w:val="32"/>
          <w:highlight w:val="none"/>
          <w:shd w:val="clear" w:color="auto" w:fill="FFFFFF"/>
          <w:lang w:val="en-US" w:eastAsia="zh-CN"/>
        </w:rPr>
        <w:t>科普活动中心拆并到生产力促进中心</w:t>
      </w:r>
      <w:r>
        <w:rPr>
          <w:rFonts w:hint="default" w:ascii="Times New Roman" w:hAnsi="Times New Roman" w:eastAsia="方正仿宋_GBK" w:cs="Times New Roman"/>
          <w:color w:val="auto"/>
          <w:sz w:val="32"/>
          <w:highlight w:val="none"/>
        </w:rPr>
        <w:t>。</w:t>
      </w:r>
    </w:p>
    <w:p w14:paraId="0A74E7C2">
      <w:pPr>
        <w:pStyle w:val="12"/>
        <w:keepNext w:val="0"/>
        <w:keepLines w:val="0"/>
        <w:pageBreakBefore w:val="0"/>
        <w:widowControl/>
        <w:suppressLineNumbers w:val="0"/>
        <w:kinsoku/>
        <w:overflowPunct/>
        <w:topLinePunct/>
        <w:autoSpaceDE w:val="0"/>
        <w:autoSpaceDN/>
        <w:bidi w:val="0"/>
        <w:spacing w:before="0" w:beforeAutospacing="0" w:after="0" w:afterAutospacing="0" w:line="560" w:lineRule="exact"/>
        <w:ind w:left="0" w:firstLine="643" w:firstLineChars="200"/>
        <w:rPr>
          <w:rFonts w:hint="default" w:ascii="Times New Roman" w:hAnsi="Times New Roman" w:eastAsia="方正仿宋_GBK" w:cs="Times New Roman"/>
          <w:b w:val="0"/>
          <w:bCs/>
          <w:color w:val="auto"/>
          <w:kern w:val="0"/>
          <w:sz w:val="32"/>
          <w:szCs w:val="32"/>
          <w:highlight w:val="none"/>
          <w:shd w:val="clear" w:fill="FFFFFF"/>
        </w:rPr>
      </w:pPr>
      <w:r>
        <w:rPr>
          <w:rStyle w:val="10"/>
          <w:rFonts w:hint="default" w:ascii="Times New Roman" w:hAnsi="Times New Roman" w:eastAsia="方正仿宋_GBK" w:cs="Times New Roman"/>
          <w:color w:val="auto"/>
          <w:sz w:val="32"/>
          <w:szCs w:val="32"/>
          <w:highlight w:val="none"/>
          <w:shd w:val="clear" w:color="auto" w:fill="FFFFFF"/>
        </w:rPr>
        <w:t>3.结转结余情况。</w:t>
      </w:r>
      <w:r>
        <w:rPr>
          <w:rFonts w:hint="default" w:ascii="Times New Roman" w:hAnsi="Times New Roman" w:eastAsia="方正仿宋_GBK" w:cs="Times New Roman"/>
          <w:b w:val="0"/>
          <w:bCs/>
          <w:color w:val="auto"/>
          <w:kern w:val="0"/>
          <w:sz w:val="32"/>
          <w:szCs w:val="32"/>
          <w:highlight w:val="none"/>
          <w:shd w:val="clear" w:fill="FFFFFF"/>
        </w:rPr>
        <w:t>202</w:t>
      </w:r>
      <w:r>
        <w:rPr>
          <w:rFonts w:hint="default" w:ascii="Times New Roman" w:hAnsi="Times New Roman" w:eastAsia="方正仿宋_GBK" w:cs="Times New Roman"/>
          <w:b w:val="0"/>
          <w:bCs/>
          <w:color w:val="auto"/>
          <w:kern w:val="0"/>
          <w:sz w:val="32"/>
          <w:szCs w:val="32"/>
          <w:highlight w:val="none"/>
          <w:shd w:val="clear" w:fill="FFFFFF"/>
          <w:lang w:val="en-US" w:eastAsia="zh-CN"/>
        </w:rPr>
        <w:t>3</w:t>
      </w:r>
      <w:r>
        <w:rPr>
          <w:rFonts w:hint="default" w:ascii="Times New Roman" w:hAnsi="Times New Roman" w:eastAsia="方正仿宋_GBK" w:cs="Times New Roman"/>
          <w:b w:val="0"/>
          <w:bCs/>
          <w:color w:val="auto"/>
          <w:kern w:val="0"/>
          <w:sz w:val="32"/>
          <w:szCs w:val="32"/>
          <w:highlight w:val="none"/>
          <w:shd w:val="clear" w:fill="FFFFFF"/>
        </w:rPr>
        <w:t>年度年末一般公共预算财政拨款结转和结余为0，较上年决算数无增减变动。</w:t>
      </w:r>
    </w:p>
    <w:p w14:paraId="26F29F89">
      <w:pPr>
        <w:pStyle w:val="6"/>
        <w:keepNext w:val="0"/>
        <w:keepLines w:val="0"/>
        <w:pageBreakBefore w:val="0"/>
        <w:widowControl/>
        <w:kinsoku/>
        <w:overflowPunct/>
        <w:autoSpaceDN/>
        <w:bidi w:val="0"/>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 xml:space="preserve"> 4.比较情况。</w:t>
      </w:r>
      <w:r>
        <w:rPr>
          <w:rFonts w:hint="default" w:ascii="Times New Roman" w:hAnsi="Times New Roman" w:eastAsia="方正仿宋_GBK" w:cs="Times New Roman"/>
          <w:color w:val="auto"/>
          <w:sz w:val="32"/>
          <w:szCs w:val="32"/>
          <w:highlight w:val="none"/>
          <w:shd w:val="clear" w:color="auto" w:fill="FFFFFF"/>
        </w:rPr>
        <w:t>本单位2023年度一般公共预算财政拨款支出主要用于以下几个方面：</w:t>
      </w:r>
    </w:p>
    <w:p w14:paraId="39F82A51">
      <w:pPr>
        <w:pStyle w:val="12"/>
        <w:keepNext w:val="0"/>
        <w:keepLines w:val="0"/>
        <w:pageBreakBefore w:val="0"/>
        <w:widowControl/>
        <w:suppressLineNumbers w:val="0"/>
        <w:shd w:val="clear" w:fill="FFFFFF"/>
        <w:kinsoku/>
        <w:overflowPunct/>
        <w:topLinePunct/>
        <w:autoSpaceDE w:val="0"/>
        <w:autoSpaceDN/>
        <w:bidi w:val="0"/>
        <w:spacing w:beforeAutospacing="0" w:after="0" w:afterAutospacing="0" w:line="560" w:lineRule="exact"/>
        <w:ind w:left="0" w:firstLine="960" w:firstLineChars="300"/>
        <w:rPr>
          <w:rFonts w:hint="default" w:ascii="Times New Roman" w:hAnsi="Times New Roman" w:eastAsia="方正仿宋_GBK" w:cs="Times New Roman"/>
          <w:b w:val="0"/>
          <w:bCs/>
          <w:color w:val="auto"/>
          <w:kern w:val="0"/>
          <w:sz w:val="32"/>
          <w:szCs w:val="32"/>
          <w:highlight w:val="none"/>
          <w:shd w:val="clear" w:fill="FFFFFF"/>
        </w:rPr>
      </w:pPr>
      <w:r>
        <w:rPr>
          <w:rFonts w:hint="default" w:ascii="Times New Roman" w:hAnsi="Times New Roman" w:eastAsia="方正仿宋_GBK" w:cs="Times New Roman"/>
          <w:color w:val="auto"/>
          <w:sz w:val="32"/>
          <w:szCs w:val="32"/>
          <w:highlight w:val="none"/>
          <w:shd w:val="clear" w:color="auto" w:fill="FFFFFF"/>
        </w:rPr>
        <w:t>（1）一般公共服务支出</w:t>
      </w:r>
      <w:r>
        <w:rPr>
          <w:rFonts w:hint="default" w:ascii="Times New Roman" w:hAnsi="Times New Roman" w:eastAsia="方正仿宋_GBK" w:cs="Times New Roman"/>
          <w:color w:val="auto"/>
          <w:sz w:val="32"/>
          <w:szCs w:val="32"/>
          <w:highlight w:val="none"/>
        </w:rPr>
        <w:t>87.41</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68.63</w:t>
      </w:r>
      <w:r>
        <w:rPr>
          <w:rFonts w:hint="default" w:ascii="Times New Roman" w:hAnsi="Times New Roman" w:eastAsia="方正仿宋_GBK" w:cs="Times New Roman"/>
          <w:color w:val="auto"/>
          <w:sz w:val="32"/>
          <w:szCs w:val="32"/>
          <w:highlight w:val="none"/>
          <w:shd w:val="clear" w:color="auto" w:fill="FFFFFF"/>
        </w:rPr>
        <w:t>%，较年初预算数增加35.82万元，增长69.43%，</w:t>
      </w:r>
      <w:r>
        <w:rPr>
          <w:rFonts w:hint="default" w:ascii="Times New Roman" w:hAnsi="Times New Roman" w:eastAsia="方正仿宋_GBK" w:cs="Times New Roman"/>
          <w:b w:val="0"/>
          <w:bCs/>
          <w:color w:val="auto"/>
          <w:kern w:val="0"/>
          <w:sz w:val="32"/>
          <w:szCs w:val="32"/>
          <w:highlight w:val="none"/>
          <w:shd w:val="clear"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科普活动中心拆并到生产力促进中心</w:t>
      </w:r>
      <w:r>
        <w:rPr>
          <w:rFonts w:hint="default" w:ascii="Times New Roman" w:hAnsi="Times New Roman" w:eastAsia="方正仿宋_GBK" w:cs="Times New Roman"/>
          <w:b w:val="0"/>
          <w:bCs/>
          <w:color w:val="auto"/>
          <w:kern w:val="0"/>
          <w:sz w:val="32"/>
          <w:szCs w:val="32"/>
          <w:highlight w:val="none"/>
          <w:shd w:val="clear" w:fill="FFFFFF"/>
        </w:rPr>
        <w:t>、工资调标等因素导致预算追加。</w:t>
      </w:r>
    </w:p>
    <w:p w14:paraId="51B34A15">
      <w:pPr>
        <w:pStyle w:val="6"/>
        <w:keepNext w:val="0"/>
        <w:keepLines w:val="0"/>
        <w:pageBreakBefore w:val="0"/>
        <w:widowControl/>
        <w:kinsoku/>
        <w:overflowPunct/>
        <w:autoSpaceDN/>
        <w:bidi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（2）科学技术支出</w:t>
      </w:r>
      <w:r>
        <w:rPr>
          <w:rFonts w:hint="default" w:ascii="Times New Roman" w:hAnsi="Times New Roman" w:eastAsia="方正仿宋_GBK" w:cs="Times New Roman"/>
          <w:color w:val="auto"/>
          <w:sz w:val="32"/>
          <w:szCs w:val="32"/>
          <w:highlight w:val="none"/>
        </w:rPr>
        <w:t>12.67</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9.95</w:t>
      </w:r>
      <w:r>
        <w:rPr>
          <w:rFonts w:hint="default" w:ascii="Times New Roman" w:hAnsi="Times New Roman" w:eastAsia="方正仿宋_GBK" w:cs="Times New Roman"/>
          <w:color w:val="auto"/>
          <w:sz w:val="32"/>
          <w:szCs w:val="32"/>
          <w:highlight w:val="none"/>
          <w:shd w:val="clear" w:color="auto" w:fill="FFFFFF"/>
        </w:rPr>
        <w:t>%，较年初预算数增加12.67万元，增长100.00%，主要原因是</w:t>
      </w:r>
      <w:r>
        <w:rPr>
          <w:rFonts w:hint="default" w:ascii="Times New Roman" w:hAnsi="Times New Roman" w:eastAsia="方正仿宋_GBK" w:cs="Times New Roman"/>
          <w:color w:val="auto"/>
          <w:sz w:val="32"/>
          <w:szCs w:val="32"/>
          <w:highlight w:val="none"/>
          <w:shd w:val="clear" w:color="auto" w:fill="FFFFFF"/>
          <w:lang w:val="en-US" w:eastAsia="zh-CN"/>
        </w:rPr>
        <w:t>科协同县经信委合署办公，科普活动中心拆并到生产力促进中心</w:t>
      </w:r>
      <w:r>
        <w:rPr>
          <w:rFonts w:hint="default" w:ascii="Times New Roman" w:hAnsi="Times New Roman" w:eastAsia="方正仿宋_GBK" w:cs="Times New Roman"/>
          <w:color w:val="auto"/>
          <w:sz w:val="32"/>
          <w:szCs w:val="32"/>
          <w:highlight w:val="none"/>
          <w:shd w:val="clear" w:color="auto" w:fill="FFFFFF"/>
        </w:rPr>
        <w:t>。</w:t>
      </w:r>
    </w:p>
    <w:p w14:paraId="2D5544E2">
      <w:pPr>
        <w:pStyle w:val="6"/>
        <w:keepNext w:val="0"/>
        <w:keepLines w:val="0"/>
        <w:pageBreakBefore w:val="0"/>
        <w:widowControl/>
        <w:kinsoku/>
        <w:overflowPunct/>
        <w:autoSpaceDN/>
        <w:bidi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rPr>
        <w:t>）社会保障与就业支出</w:t>
      </w:r>
      <w:r>
        <w:rPr>
          <w:rFonts w:hint="default" w:ascii="Times New Roman" w:hAnsi="Times New Roman" w:eastAsia="方正仿宋_GBK" w:cs="Times New Roman"/>
          <w:color w:val="auto"/>
          <w:sz w:val="32"/>
          <w:szCs w:val="32"/>
          <w:highlight w:val="none"/>
        </w:rPr>
        <w:t>13.85</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10.87</w:t>
      </w:r>
      <w:r>
        <w:rPr>
          <w:rFonts w:hint="default" w:ascii="Times New Roman" w:hAnsi="Times New Roman" w:eastAsia="方正仿宋_GBK" w:cs="Times New Roman"/>
          <w:color w:val="auto"/>
          <w:sz w:val="32"/>
          <w:szCs w:val="32"/>
          <w:highlight w:val="none"/>
          <w:shd w:val="clear" w:color="auto" w:fill="FFFFFF"/>
        </w:rPr>
        <w:t>%，较年初预算数增加7.19万元，增长107.96%，</w:t>
      </w:r>
      <w:r>
        <w:rPr>
          <w:rFonts w:hint="default" w:ascii="Times New Roman" w:hAnsi="Times New Roman" w:eastAsia="方正仿宋_GBK" w:cs="Times New Roman"/>
          <w:color w:val="auto"/>
          <w:sz w:val="32"/>
          <w:highlight w:val="none"/>
        </w:rPr>
        <w:t>主要原因是</w:t>
      </w:r>
      <w:r>
        <w:rPr>
          <w:rFonts w:hint="default" w:ascii="Times New Roman" w:hAnsi="Times New Roman" w:eastAsia="方正仿宋_GBK" w:cs="Times New Roman"/>
          <w:color w:val="auto"/>
          <w:sz w:val="32"/>
          <w:highlight w:val="none"/>
          <w:lang w:eastAsia="zh-CN"/>
        </w:rPr>
        <w:t>人员工资、公积金社保基数调整，</w:t>
      </w:r>
      <w:r>
        <w:rPr>
          <w:rFonts w:hint="default" w:ascii="Times New Roman" w:hAnsi="Times New Roman" w:eastAsia="方正仿宋_GBK" w:cs="Times New Roman"/>
          <w:color w:val="auto"/>
          <w:sz w:val="32"/>
          <w:highlight w:val="none"/>
          <w:lang w:val="en-US" w:eastAsia="zh-CN"/>
        </w:rPr>
        <w:t>年中</w:t>
      </w:r>
      <w:r>
        <w:rPr>
          <w:rFonts w:hint="default" w:ascii="Times New Roman" w:hAnsi="Times New Roman" w:eastAsia="方正仿宋_GBK" w:cs="Times New Roman"/>
          <w:color w:val="auto"/>
          <w:sz w:val="32"/>
          <w:szCs w:val="32"/>
          <w:highlight w:val="none"/>
          <w:shd w:val="clear" w:color="auto" w:fill="FFFFFF"/>
          <w:lang w:val="en-US" w:eastAsia="zh-CN"/>
        </w:rPr>
        <w:t>科普活动中心拆并到生产力促进中心</w:t>
      </w:r>
      <w:r>
        <w:rPr>
          <w:rFonts w:hint="default" w:ascii="Times New Roman" w:hAnsi="Times New Roman" w:eastAsia="方正仿宋_GBK" w:cs="Times New Roman"/>
          <w:color w:val="auto"/>
          <w:sz w:val="32"/>
          <w:highlight w:val="none"/>
        </w:rPr>
        <w:t>。</w:t>
      </w:r>
    </w:p>
    <w:p w14:paraId="1EC3F05F">
      <w:pPr>
        <w:pStyle w:val="6"/>
        <w:keepNext w:val="0"/>
        <w:keepLines w:val="0"/>
        <w:pageBreakBefore w:val="0"/>
        <w:widowControl/>
        <w:kinsoku/>
        <w:overflowPunct/>
        <w:autoSpaceDN/>
        <w:bidi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）卫生健康支出</w:t>
      </w:r>
      <w:r>
        <w:rPr>
          <w:rFonts w:hint="default" w:ascii="Times New Roman" w:hAnsi="Times New Roman" w:eastAsia="方正仿宋_GBK" w:cs="Times New Roman"/>
          <w:color w:val="auto"/>
          <w:sz w:val="32"/>
          <w:szCs w:val="32"/>
          <w:highlight w:val="none"/>
        </w:rPr>
        <w:t>5.77</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4.53</w:t>
      </w:r>
      <w:r>
        <w:rPr>
          <w:rFonts w:hint="default" w:ascii="Times New Roman" w:hAnsi="Times New Roman" w:eastAsia="方正仿宋_GBK" w:cs="Times New Roman"/>
          <w:color w:val="auto"/>
          <w:sz w:val="32"/>
          <w:szCs w:val="32"/>
          <w:highlight w:val="none"/>
          <w:shd w:val="clear" w:color="auto" w:fill="FFFFFF"/>
        </w:rPr>
        <w:t>%，较年初预算数增加2.50万元，增长76.45%，</w:t>
      </w:r>
      <w:r>
        <w:rPr>
          <w:rFonts w:hint="default" w:ascii="Times New Roman" w:hAnsi="Times New Roman" w:eastAsia="方正仿宋_GBK" w:cs="Times New Roman"/>
          <w:color w:val="auto"/>
          <w:sz w:val="32"/>
          <w:highlight w:val="none"/>
        </w:rPr>
        <w:t>主要原因是</w:t>
      </w:r>
      <w:r>
        <w:rPr>
          <w:rFonts w:hint="default" w:ascii="Times New Roman" w:hAnsi="Times New Roman" w:eastAsia="方正仿宋_GBK" w:cs="Times New Roman"/>
          <w:color w:val="auto"/>
          <w:sz w:val="32"/>
          <w:highlight w:val="none"/>
          <w:lang w:eastAsia="zh-CN"/>
        </w:rPr>
        <w:t>人员工资、公积金社保基数调整，</w:t>
      </w:r>
      <w:r>
        <w:rPr>
          <w:rFonts w:hint="default" w:ascii="Times New Roman" w:hAnsi="Times New Roman" w:eastAsia="方正仿宋_GBK" w:cs="Times New Roman"/>
          <w:color w:val="auto"/>
          <w:sz w:val="32"/>
          <w:highlight w:val="none"/>
          <w:lang w:val="en-US" w:eastAsia="zh-CN"/>
        </w:rPr>
        <w:t>年中</w:t>
      </w:r>
      <w:r>
        <w:rPr>
          <w:rFonts w:hint="default" w:ascii="Times New Roman" w:hAnsi="Times New Roman" w:eastAsia="方正仿宋_GBK" w:cs="Times New Roman"/>
          <w:color w:val="auto"/>
          <w:sz w:val="32"/>
          <w:szCs w:val="32"/>
          <w:highlight w:val="none"/>
          <w:shd w:val="clear" w:color="auto" w:fill="FFFFFF"/>
          <w:lang w:val="en-US" w:eastAsia="zh-CN"/>
        </w:rPr>
        <w:t>科普活动中心拆并到生产力促进中心</w:t>
      </w:r>
      <w:r>
        <w:rPr>
          <w:rFonts w:hint="default" w:ascii="Times New Roman" w:hAnsi="Times New Roman" w:eastAsia="方正仿宋_GBK" w:cs="Times New Roman"/>
          <w:color w:val="auto"/>
          <w:sz w:val="32"/>
          <w:highlight w:val="none"/>
        </w:rPr>
        <w:t>。</w:t>
      </w:r>
      <w:r>
        <w:rPr>
          <w:rFonts w:hint="default" w:ascii="Times New Roman" w:hAnsi="Times New Roman" w:eastAsia="方正仿宋_GBK" w:cs="Times New Roman"/>
          <w:color w:val="auto"/>
          <w:sz w:val="32"/>
          <w:highlight w:val="none"/>
          <w:lang w:val="en-US" w:eastAsia="zh-CN"/>
        </w:rPr>
        <w:t xml:space="preserve">  </w:t>
      </w:r>
    </w:p>
    <w:p w14:paraId="2C2632BA">
      <w:pPr>
        <w:keepNext w:val="0"/>
        <w:keepLines w:val="0"/>
        <w:pageBreakBefore w:val="0"/>
        <w:widowControl/>
        <w:kinsoku/>
        <w:overflowPunct/>
        <w:autoSpaceDN/>
        <w:bidi w:val="0"/>
        <w:spacing w:beforeAutospacing="0" w:afterAutospacing="0" w:line="560" w:lineRule="exact"/>
        <w:ind w:firstLine="640" w:firstLineChars="200"/>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5</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住房保障支出7.67</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6.02</w:t>
      </w:r>
      <w:r>
        <w:rPr>
          <w:rFonts w:hint="default" w:ascii="Times New Roman" w:hAnsi="Times New Roman" w:eastAsia="方正仿宋_GBK" w:cs="Times New Roman"/>
          <w:color w:val="auto"/>
          <w:sz w:val="32"/>
          <w:szCs w:val="32"/>
          <w:highlight w:val="none"/>
          <w:shd w:val="clear" w:color="auto" w:fill="FFFFFF"/>
        </w:rPr>
        <w:t>%，较年初预算数增加4.34万元，增长130.33%，</w:t>
      </w:r>
      <w:r>
        <w:rPr>
          <w:rFonts w:hint="default" w:ascii="Times New Roman" w:hAnsi="Times New Roman" w:eastAsia="方正仿宋_GBK" w:cs="Times New Roman"/>
          <w:color w:val="auto"/>
          <w:sz w:val="32"/>
          <w:highlight w:val="none"/>
        </w:rPr>
        <w:t>主要原因是</w:t>
      </w:r>
      <w:r>
        <w:rPr>
          <w:rFonts w:hint="default" w:ascii="Times New Roman" w:hAnsi="Times New Roman" w:eastAsia="方正仿宋_GBK" w:cs="Times New Roman"/>
          <w:color w:val="auto"/>
          <w:sz w:val="32"/>
          <w:highlight w:val="none"/>
          <w:lang w:eastAsia="zh-CN"/>
        </w:rPr>
        <w:t>人员工资、公积金社保基数调整，</w:t>
      </w:r>
      <w:r>
        <w:rPr>
          <w:rFonts w:hint="default" w:ascii="Times New Roman" w:hAnsi="Times New Roman" w:eastAsia="方正仿宋_GBK" w:cs="Times New Roman"/>
          <w:color w:val="auto"/>
          <w:sz w:val="32"/>
          <w:highlight w:val="none"/>
          <w:lang w:val="en-US" w:eastAsia="zh-CN"/>
        </w:rPr>
        <w:t>年中</w:t>
      </w:r>
      <w:r>
        <w:rPr>
          <w:rFonts w:hint="default" w:ascii="Times New Roman" w:hAnsi="Times New Roman" w:eastAsia="方正仿宋_GBK" w:cs="Times New Roman"/>
          <w:color w:val="auto"/>
          <w:sz w:val="32"/>
          <w:szCs w:val="32"/>
          <w:highlight w:val="none"/>
          <w:shd w:val="clear" w:color="auto" w:fill="FFFFFF"/>
          <w:lang w:val="en-US" w:eastAsia="zh-CN"/>
        </w:rPr>
        <w:t>科普活动中心拆并到生产力促进中心</w:t>
      </w:r>
      <w:r>
        <w:rPr>
          <w:rFonts w:hint="default" w:ascii="Times New Roman" w:hAnsi="Times New Roman" w:eastAsia="方正仿宋_GBK" w:cs="Times New Roman"/>
          <w:color w:val="auto"/>
          <w:sz w:val="32"/>
          <w:highlight w:val="none"/>
        </w:rPr>
        <w:t>。</w:t>
      </w:r>
    </w:p>
    <w:p w14:paraId="475C733F">
      <w:pPr>
        <w:keepNext w:val="0"/>
        <w:keepLines w:val="0"/>
        <w:pageBreakBefore w:val="0"/>
        <w:widowControl/>
        <w:suppressLineNumbers w:val="0"/>
        <w:kinsoku/>
        <w:overflowPunct/>
        <w:topLinePunct/>
        <w:autoSpaceDE w:val="0"/>
        <w:autoSpaceDN/>
        <w:bidi w:val="0"/>
        <w:adjustRightInd w:val="0"/>
        <w:spacing w:before="0" w:beforeAutospacing="0" w:afterAutospacing="0" w:line="560" w:lineRule="exact"/>
        <w:ind w:left="0" w:firstLine="640" w:firstLineChars="200"/>
        <w:rPr>
          <w:rFonts w:hint="default" w:ascii="Times New Roman" w:hAnsi="Times New Roman" w:eastAsia="方正楷体_GBK" w:cs="Times New Roman"/>
          <w:b w:val="0"/>
          <w:bCs/>
          <w:color w:val="auto"/>
          <w:kern w:val="0"/>
          <w:sz w:val="32"/>
          <w:szCs w:val="32"/>
          <w:highlight w:val="none"/>
        </w:rPr>
      </w:pPr>
      <w:r>
        <w:rPr>
          <w:rFonts w:hint="default" w:ascii="Times New Roman" w:hAnsi="Times New Roman" w:eastAsia="方正楷体_GBK" w:cs="Times New Roman"/>
          <w:b w:val="0"/>
          <w:bCs/>
          <w:color w:val="auto"/>
          <w:kern w:val="0"/>
          <w:sz w:val="32"/>
          <w:szCs w:val="32"/>
          <w:highlight w:val="none"/>
        </w:rPr>
        <w:t>（四）一般公共预算财政拨款基本支出决算情况说明</w:t>
      </w:r>
    </w:p>
    <w:p w14:paraId="31A6018E">
      <w:pPr>
        <w:pStyle w:val="6"/>
        <w:keepNext w:val="0"/>
        <w:keepLines w:val="0"/>
        <w:pageBreakBefore w:val="0"/>
        <w:widowControl/>
        <w:kinsoku/>
        <w:overflowPunct/>
        <w:autoSpaceDN/>
        <w:bidi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仿宋_GBK" w:cs="Times New Roman"/>
          <w:color w:val="auto"/>
          <w:sz w:val="32"/>
          <w:szCs w:val="32"/>
          <w:highlight w:val="none"/>
          <w:shd w:val="clear" w:color="auto" w:fill="FFFFFF"/>
        </w:rPr>
        <w:t>2023年度一般公共财政拨款基本支出</w:t>
      </w:r>
      <w:r>
        <w:rPr>
          <w:rFonts w:hint="default" w:ascii="Times New Roman" w:hAnsi="Times New Roman" w:eastAsia="方正仿宋_GBK" w:cs="Times New Roman"/>
          <w:color w:val="auto"/>
          <w:sz w:val="32"/>
          <w:szCs w:val="32"/>
          <w:highlight w:val="none"/>
        </w:rPr>
        <w:t>127.37</w:t>
      </w:r>
      <w:r>
        <w:rPr>
          <w:rFonts w:hint="default" w:ascii="Times New Roman" w:hAnsi="Times New Roman" w:eastAsia="方正仿宋_GBK" w:cs="Times New Roman"/>
          <w:color w:val="auto"/>
          <w:sz w:val="32"/>
          <w:szCs w:val="32"/>
          <w:highlight w:val="none"/>
          <w:shd w:val="clear" w:color="auto" w:fill="FFFFFF"/>
        </w:rPr>
        <w:t>万元。其中：人员经费</w:t>
      </w:r>
      <w:r>
        <w:rPr>
          <w:rFonts w:hint="default" w:ascii="Times New Roman" w:hAnsi="Times New Roman" w:eastAsia="方正仿宋_GBK" w:cs="Times New Roman"/>
          <w:color w:val="auto"/>
          <w:sz w:val="32"/>
          <w:szCs w:val="32"/>
          <w:highlight w:val="none"/>
        </w:rPr>
        <w:t>114.50</w:t>
      </w:r>
      <w:r>
        <w:rPr>
          <w:rFonts w:hint="default" w:ascii="Times New Roman" w:hAnsi="Times New Roman" w:eastAsia="方正仿宋_GBK" w:cs="Times New Roman"/>
          <w:color w:val="auto"/>
          <w:sz w:val="32"/>
          <w:szCs w:val="32"/>
          <w:highlight w:val="none"/>
          <w:shd w:val="clear" w:color="auto" w:fill="FFFFFF"/>
        </w:rPr>
        <w:t>万元，较上年决算数增加39.65万元，增长52.97%，</w:t>
      </w:r>
      <w:r>
        <w:rPr>
          <w:rFonts w:hint="default" w:ascii="Times New Roman" w:hAnsi="Times New Roman" w:eastAsia="方正仿宋_GBK" w:cs="Times New Roman"/>
          <w:color w:val="auto"/>
          <w:sz w:val="32"/>
          <w:highlight w:val="none"/>
        </w:rPr>
        <w:t>主要原因是</w:t>
      </w:r>
      <w:r>
        <w:rPr>
          <w:rFonts w:hint="default" w:ascii="Times New Roman" w:hAnsi="Times New Roman" w:eastAsia="方正仿宋_GBK" w:cs="Times New Roman"/>
          <w:color w:val="auto"/>
          <w:sz w:val="32"/>
          <w:highlight w:val="none"/>
          <w:lang w:eastAsia="zh-CN"/>
        </w:rPr>
        <w:t>人员工资、公积金社保基数调整，</w:t>
      </w:r>
      <w:r>
        <w:rPr>
          <w:rFonts w:hint="default" w:ascii="Times New Roman" w:hAnsi="Times New Roman" w:eastAsia="方正仿宋_GBK" w:cs="Times New Roman"/>
          <w:color w:val="auto"/>
          <w:sz w:val="32"/>
          <w:highlight w:val="none"/>
          <w:lang w:val="en-US" w:eastAsia="zh-CN"/>
        </w:rPr>
        <w:t>年中</w:t>
      </w:r>
      <w:r>
        <w:rPr>
          <w:rFonts w:hint="default" w:ascii="Times New Roman" w:hAnsi="Times New Roman" w:eastAsia="方正仿宋_GBK" w:cs="Times New Roman"/>
          <w:color w:val="auto"/>
          <w:sz w:val="32"/>
          <w:szCs w:val="32"/>
          <w:highlight w:val="none"/>
          <w:shd w:val="clear" w:color="auto" w:fill="FFFFFF"/>
          <w:lang w:val="en-US" w:eastAsia="zh-CN"/>
        </w:rPr>
        <w:t>科普活动中心拆并到生产力促进中心</w:t>
      </w:r>
      <w:r>
        <w:rPr>
          <w:rFonts w:hint="default" w:ascii="Times New Roman" w:hAnsi="Times New Roman" w:eastAsia="方正仿宋_GBK" w:cs="Times New Roman"/>
          <w:color w:val="auto"/>
          <w:sz w:val="32"/>
          <w:highlight w:val="none"/>
        </w:rPr>
        <w:t>。</w:t>
      </w:r>
      <w:r>
        <w:rPr>
          <w:rFonts w:hint="default" w:ascii="Times New Roman" w:hAnsi="Times New Roman" w:eastAsia="方正仿宋_GBK" w:cs="Times New Roman"/>
          <w:b w:val="0"/>
          <w:bCs w:val="0"/>
          <w:color w:val="auto"/>
          <w:kern w:val="0"/>
          <w:sz w:val="32"/>
          <w:szCs w:val="32"/>
          <w:highlight w:val="none"/>
          <w:shd w:val="clear" w:fill="FFFFFF"/>
        </w:rPr>
        <w:t>人员经费用途主要包括在职人员基本工资、津贴补贴、基础绩效、社会保障缴费等相关开支。</w:t>
      </w:r>
      <w:r>
        <w:rPr>
          <w:rFonts w:hint="default" w:ascii="Times New Roman" w:hAnsi="Times New Roman" w:eastAsia="方正仿宋_GBK" w:cs="Times New Roman"/>
          <w:color w:val="auto"/>
          <w:sz w:val="32"/>
          <w:szCs w:val="32"/>
          <w:highlight w:val="none"/>
          <w:shd w:val="clear" w:color="auto" w:fill="FFFFFF"/>
        </w:rPr>
        <w:t>公用经费</w:t>
      </w:r>
      <w:r>
        <w:rPr>
          <w:rFonts w:hint="default" w:ascii="Times New Roman" w:hAnsi="Times New Roman" w:eastAsia="方正仿宋_GBK" w:cs="Times New Roman"/>
          <w:color w:val="auto"/>
          <w:sz w:val="32"/>
          <w:szCs w:val="32"/>
          <w:highlight w:val="none"/>
        </w:rPr>
        <w:t>12.87</w:t>
      </w:r>
      <w:r>
        <w:rPr>
          <w:rFonts w:hint="default" w:ascii="Times New Roman" w:hAnsi="Times New Roman" w:eastAsia="方正仿宋_GBK" w:cs="Times New Roman"/>
          <w:color w:val="auto"/>
          <w:sz w:val="32"/>
          <w:szCs w:val="32"/>
          <w:highlight w:val="none"/>
          <w:shd w:val="clear" w:color="auto" w:fill="FFFFFF"/>
        </w:rPr>
        <w:t>万元，较上年决算数减少0.06万元，下降0.46%，主要原因是</w:t>
      </w:r>
      <w:r>
        <w:rPr>
          <w:rFonts w:hint="default" w:ascii="Times New Roman" w:hAnsi="Times New Roman" w:eastAsia="方正仿宋_GBK" w:cs="Times New Roman"/>
          <w:color w:val="auto"/>
          <w:sz w:val="32"/>
          <w:szCs w:val="32"/>
          <w:highlight w:val="none"/>
          <w:shd w:val="clear" w:color="auto" w:fill="FFFFFF"/>
          <w:lang w:val="en-US" w:eastAsia="zh-CN"/>
        </w:rPr>
        <w:t>同机关本级及其他二级预算单位拉通使用经费，公用经费支付有所浮动</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b w:val="0"/>
          <w:bCs/>
          <w:color w:val="auto"/>
          <w:kern w:val="0"/>
          <w:sz w:val="32"/>
          <w:szCs w:val="32"/>
          <w:highlight w:val="none"/>
          <w:shd w:val="clear" w:fill="FFFFFF"/>
        </w:rPr>
        <w:t>公用经费用途主要包括办公费、邮电费、差旅费、</w:t>
      </w:r>
      <w:r>
        <w:rPr>
          <w:rFonts w:hint="default" w:ascii="Times New Roman" w:hAnsi="Times New Roman" w:eastAsia="方正仿宋_GBK" w:cs="Times New Roman"/>
          <w:b w:val="0"/>
          <w:bCs/>
          <w:color w:val="auto"/>
          <w:kern w:val="0"/>
          <w:sz w:val="32"/>
          <w:szCs w:val="32"/>
          <w:highlight w:val="none"/>
          <w:shd w:val="clear" w:fill="FFFFFF"/>
          <w:lang w:val="en-US" w:eastAsia="zh-CN"/>
        </w:rPr>
        <w:t>培训费、</w:t>
      </w:r>
      <w:r>
        <w:rPr>
          <w:rFonts w:hint="default" w:ascii="Times New Roman" w:hAnsi="Times New Roman" w:eastAsia="方正仿宋_GBK" w:cs="Times New Roman"/>
          <w:b w:val="0"/>
          <w:bCs/>
          <w:color w:val="auto"/>
          <w:kern w:val="0"/>
          <w:sz w:val="32"/>
          <w:szCs w:val="32"/>
          <w:highlight w:val="none"/>
          <w:shd w:val="clear" w:fill="FFFFFF"/>
        </w:rPr>
        <w:t>公车运行维护费等相关开支。</w:t>
      </w:r>
    </w:p>
    <w:p w14:paraId="465C6964">
      <w:pPr>
        <w:keepNext w:val="0"/>
        <w:keepLines w:val="0"/>
        <w:pageBreakBefore w:val="0"/>
        <w:widowControl/>
        <w:suppressLineNumbers w:val="0"/>
        <w:kinsoku/>
        <w:overflowPunct/>
        <w:topLinePunct/>
        <w:autoSpaceDE w:val="0"/>
        <w:autoSpaceDN/>
        <w:bidi w:val="0"/>
        <w:adjustRightInd w:val="0"/>
        <w:spacing w:before="0" w:beforeAutospacing="0" w:afterAutospacing="0" w:line="560" w:lineRule="exact"/>
        <w:ind w:left="0" w:firstLine="640" w:firstLineChars="200"/>
        <w:rPr>
          <w:rFonts w:hint="default" w:ascii="Times New Roman" w:hAnsi="Times New Roman" w:eastAsia="方正楷体_GBK" w:cs="Times New Roman"/>
          <w:b w:val="0"/>
          <w:bCs/>
          <w:color w:val="auto"/>
          <w:kern w:val="0"/>
          <w:sz w:val="32"/>
          <w:szCs w:val="32"/>
          <w:highlight w:val="none"/>
        </w:rPr>
      </w:pPr>
      <w:r>
        <w:rPr>
          <w:rFonts w:hint="default" w:ascii="Times New Roman" w:hAnsi="Times New Roman" w:eastAsia="方正楷体_GBK" w:cs="Times New Roman"/>
          <w:b w:val="0"/>
          <w:bCs/>
          <w:color w:val="auto"/>
          <w:kern w:val="0"/>
          <w:sz w:val="32"/>
          <w:szCs w:val="32"/>
          <w:highlight w:val="none"/>
        </w:rPr>
        <w:t>（五）政府性基金预算收支决算情况说明</w:t>
      </w:r>
    </w:p>
    <w:p w14:paraId="7ADB7AA2">
      <w:pPr>
        <w:pStyle w:val="11"/>
        <w:keepNext w:val="0"/>
        <w:keepLines w:val="0"/>
        <w:pageBreakBefore w:val="0"/>
        <w:widowControl/>
        <w:kinsoku/>
        <w:overflowPunct/>
        <w:autoSpaceDE w:val="0"/>
        <w:autoSpaceDN/>
        <w:bidi w:val="0"/>
        <w:spacing w:beforeAutospacing="0" w:afterAutospacing="0" w:line="560" w:lineRule="exact"/>
        <w:ind w:firstLine="643"/>
        <w:rPr>
          <w:rFonts w:hint="default" w:ascii="Times New Roman" w:hAnsi="Times New Roman" w:eastAsia="方正仿宋_GBK" w:cs="Times New Roman"/>
          <w:b w:val="0"/>
          <w:bCs w:val="0"/>
          <w:color w:val="auto"/>
          <w:kern w:val="0"/>
          <w:sz w:val="32"/>
          <w:szCs w:val="32"/>
          <w:highlight w:val="none"/>
          <w:shd w:val="clear" w:fill="FFFFFF"/>
        </w:rPr>
      </w:pPr>
      <w:r>
        <w:rPr>
          <w:rFonts w:hint="default" w:ascii="Times New Roman" w:hAnsi="Times New Roman" w:eastAsia="方正仿宋_GBK" w:cs="Times New Roman"/>
          <w:b w:val="0"/>
          <w:bCs w:val="0"/>
          <w:color w:val="auto"/>
          <w:kern w:val="0"/>
          <w:sz w:val="32"/>
          <w:szCs w:val="32"/>
          <w:highlight w:val="none"/>
          <w:shd w:val="clear" w:fill="FFFFFF"/>
        </w:rPr>
        <w:t>本部门202</w:t>
      </w:r>
      <w:r>
        <w:rPr>
          <w:rFonts w:hint="default" w:ascii="Times New Roman" w:hAnsi="Times New Roman" w:eastAsia="方正仿宋_GBK" w:cs="Times New Roman"/>
          <w:b w:val="0"/>
          <w:bCs w:val="0"/>
          <w:color w:val="auto"/>
          <w:kern w:val="0"/>
          <w:sz w:val="32"/>
          <w:szCs w:val="32"/>
          <w:highlight w:val="none"/>
          <w:shd w:val="clear" w:fill="FFFFFF"/>
          <w:lang w:val="en-US" w:eastAsia="zh-CN"/>
        </w:rPr>
        <w:t>3</w:t>
      </w:r>
      <w:r>
        <w:rPr>
          <w:rFonts w:hint="default" w:ascii="Times New Roman" w:hAnsi="Times New Roman" w:eastAsia="方正仿宋_GBK" w:cs="Times New Roman"/>
          <w:b w:val="0"/>
          <w:bCs w:val="0"/>
          <w:color w:val="auto"/>
          <w:kern w:val="0"/>
          <w:sz w:val="32"/>
          <w:szCs w:val="32"/>
          <w:highlight w:val="none"/>
          <w:shd w:val="clear" w:fill="FFFFFF"/>
        </w:rPr>
        <w:t>年度无政府性基金预算财政拨款收支</w:t>
      </w:r>
    </w:p>
    <w:p w14:paraId="5336883B">
      <w:pPr>
        <w:keepNext w:val="0"/>
        <w:keepLines w:val="0"/>
        <w:pageBreakBefore w:val="0"/>
        <w:widowControl/>
        <w:suppressLineNumbers w:val="0"/>
        <w:kinsoku/>
        <w:overflowPunct/>
        <w:topLinePunct/>
        <w:autoSpaceDE w:val="0"/>
        <w:autoSpaceDN/>
        <w:bidi w:val="0"/>
        <w:adjustRightInd w:val="0"/>
        <w:spacing w:before="0" w:beforeAutospacing="0" w:afterAutospacing="0" w:line="560" w:lineRule="exact"/>
        <w:ind w:left="0" w:firstLine="640" w:firstLineChars="200"/>
        <w:rPr>
          <w:rFonts w:hint="default" w:ascii="Times New Roman" w:hAnsi="Times New Roman" w:eastAsia="方正楷体_GBK" w:cs="Times New Roman"/>
          <w:b w:val="0"/>
          <w:bCs/>
          <w:color w:val="auto"/>
          <w:kern w:val="0"/>
          <w:sz w:val="32"/>
          <w:szCs w:val="32"/>
          <w:highlight w:val="none"/>
        </w:rPr>
      </w:pPr>
      <w:r>
        <w:rPr>
          <w:rFonts w:hint="default" w:ascii="Times New Roman" w:hAnsi="Times New Roman" w:eastAsia="方正楷体_GBK" w:cs="Times New Roman"/>
          <w:b w:val="0"/>
          <w:bCs/>
          <w:color w:val="auto"/>
          <w:kern w:val="0"/>
          <w:sz w:val="32"/>
          <w:szCs w:val="32"/>
          <w:highlight w:val="none"/>
        </w:rPr>
        <w:t>（六）国有资本经营预算财政拨款支出决算情况说明</w:t>
      </w:r>
    </w:p>
    <w:p w14:paraId="63C70CCA">
      <w:pPr>
        <w:pStyle w:val="6"/>
        <w:keepNext w:val="0"/>
        <w:keepLines w:val="0"/>
        <w:pageBreakBefore w:val="0"/>
        <w:widowControl/>
        <w:shd w:val="clear" w:color="auto" w:fill="FFFFFF"/>
        <w:kinsoku/>
        <w:overflowPunct/>
        <w:autoSpaceDN/>
        <w:bidi w:val="0"/>
        <w:spacing w:beforeAutospacing="0" w:after="0" w:afterAutospacing="0" w:line="560" w:lineRule="exact"/>
        <w:ind w:firstLine="640" w:firstLineChars="200"/>
        <w:rPr>
          <w:rFonts w:hint="default" w:ascii="Times New Roman" w:hAnsi="Times New Roman" w:eastAsia="方正仿宋_GBK" w:cs="Times New Roman"/>
          <w:b w:val="0"/>
          <w:bCs w:val="0"/>
          <w:color w:val="auto"/>
          <w:kern w:val="0"/>
          <w:sz w:val="32"/>
          <w:szCs w:val="32"/>
          <w:highlight w:val="none"/>
          <w:shd w:val="clear" w:fill="FFFFFF"/>
        </w:rPr>
      </w:pPr>
      <w:r>
        <w:rPr>
          <w:rFonts w:hint="default" w:ascii="Times New Roman" w:hAnsi="Times New Roman" w:eastAsia="方正仿宋_GBK" w:cs="Times New Roman"/>
          <w:b w:val="0"/>
          <w:bCs w:val="0"/>
          <w:color w:val="auto"/>
          <w:kern w:val="0"/>
          <w:sz w:val="32"/>
          <w:szCs w:val="32"/>
          <w:highlight w:val="none"/>
          <w:shd w:val="clear" w:fill="FFFFFF"/>
        </w:rPr>
        <w:t>本部门202</w:t>
      </w:r>
      <w:r>
        <w:rPr>
          <w:rFonts w:hint="default" w:ascii="Times New Roman" w:hAnsi="Times New Roman" w:eastAsia="方正仿宋_GBK" w:cs="Times New Roman"/>
          <w:b w:val="0"/>
          <w:bCs w:val="0"/>
          <w:color w:val="auto"/>
          <w:kern w:val="0"/>
          <w:sz w:val="32"/>
          <w:szCs w:val="32"/>
          <w:highlight w:val="none"/>
          <w:shd w:val="clear" w:fill="FFFFFF"/>
          <w:lang w:val="en-US" w:eastAsia="zh-CN"/>
        </w:rPr>
        <w:t>3</w:t>
      </w:r>
      <w:r>
        <w:rPr>
          <w:rFonts w:hint="default" w:ascii="Times New Roman" w:hAnsi="Times New Roman" w:eastAsia="方正仿宋_GBK" w:cs="Times New Roman"/>
          <w:b w:val="0"/>
          <w:bCs w:val="0"/>
          <w:color w:val="auto"/>
          <w:kern w:val="0"/>
          <w:sz w:val="32"/>
          <w:szCs w:val="32"/>
          <w:highlight w:val="none"/>
          <w:shd w:val="clear" w:fill="FFFFFF"/>
        </w:rPr>
        <w:t>年度无国有资本经营预算财政拨款支出。</w:t>
      </w:r>
    </w:p>
    <w:p w14:paraId="4410CADD">
      <w:pPr>
        <w:pStyle w:val="6"/>
        <w:keepNext w:val="0"/>
        <w:keepLines w:val="0"/>
        <w:pageBreakBefore w:val="0"/>
        <w:widowControl/>
        <w:shd w:val="clear" w:color="auto" w:fill="FFFFFF"/>
        <w:kinsoku/>
        <w:overflowPunct/>
        <w:autoSpaceDN/>
        <w:bidi w:val="0"/>
        <w:spacing w:beforeAutospacing="0" w:after="0" w:afterAutospacing="0" w:line="560" w:lineRule="exact"/>
        <w:rPr>
          <w:rStyle w:val="10"/>
          <w:rFonts w:hint="default" w:ascii="Times New Roman" w:hAnsi="Times New Roman" w:eastAsia="方正黑体_GBK" w:cs="Times New Roman"/>
          <w:b w:val="0"/>
          <w:bCs/>
          <w:color w:val="auto"/>
          <w:sz w:val="32"/>
          <w:szCs w:val="32"/>
          <w:highlight w:val="none"/>
          <w:shd w:val="clear" w:color="auto" w:fill="FFFFFF"/>
        </w:rPr>
      </w:pPr>
      <w:r>
        <w:rPr>
          <w:rStyle w:val="10"/>
          <w:rFonts w:hint="default" w:ascii="Times New Roman" w:hAnsi="Times New Roman" w:eastAsia="方正黑体_GBK" w:cs="Times New Roman"/>
          <w:b w:val="0"/>
          <w:bCs/>
          <w:color w:val="auto"/>
          <w:sz w:val="32"/>
          <w:szCs w:val="32"/>
          <w:highlight w:val="none"/>
          <w:shd w:val="clear" w:color="auto" w:fill="FFFFFF"/>
        </w:rPr>
        <w:t>三、“三公”经费情况说明</w:t>
      </w:r>
    </w:p>
    <w:p w14:paraId="1C8B6894">
      <w:pPr>
        <w:pStyle w:val="11"/>
        <w:keepNext w:val="0"/>
        <w:keepLines w:val="0"/>
        <w:pageBreakBefore w:val="0"/>
        <w:widowControl/>
        <w:kinsoku/>
        <w:overflowPunct/>
        <w:autoSpaceDE w:val="0"/>
        <w:autoSpaceDN/>
        <w:bidi w:val="0"/>
        <w:spacing w:beforeAutospacing="0" w:afterAutospacing="0" w:line="560" w:lineRule="exact"/>
        <w:ind w:firstLine="643"/>
        <w:rPr>
          <w:rFonts w:hint="default" w:ascii="Times New Roman" w:hAnsi="Times New Roman" w:eastAsia="楷体" w:cs="Times New Roman"/>
          <w:b/>
          <w:bCs/>
          <w:color w:val="auto"/>
          <w:sz w:val="32"/>
          <w:szCs w:val="32"/>
          <w:highlight w:val="none"/>
          <w:shd w:val="clear" w:color="auto" w:fill="FFFFFF"/>
        </w:rPr>
      </w:pPr>
      <w:r>
        <w:rPr>
          <w:rFonts w:hint="default" w:ascii="Times New Roman" w:hAnsi="Times New Roman" w:eastAsia="楷体" w:cs="Times New Roman"/>
          <w:b/>
          <w:bCs/>
          <w:color w:val="auto"/>
          <w:sz w:val="32"/>
          <w:szCs w:val="32"/>
          <w:highlight w:val="none"/>
          <w:shd w:val="clear" w:color="auto" w:fill="FFFFFF"/>
        </w:rPr>
        <w:t xml:space="preserve"> </w:t>
      </w:r>
      <w:r>
        <w:rPr>
          <w:rFonts w:hint="default" w:ascii="Times New Roman" w:hAnsi="Times New Roman" w:eastAsia="方正楷体_GBK" w:cs="Times New Roman"/>
          <w:b w:val="0"/>
          <w:bCs/>
          <w:color w:val="auto"/>
          <w:kern w:val="0"/>
          <w:sz w:val="32"/>
          <w:szCs w:val="32"/>
          <w:highlight w:val="none"/>
          <w:lang w:val="en-US" w:eastAsia="zh-CN" w:bidi="ar-SA"/>
        </w:rPr>
        <w:t>（一）“三公”经费支出总体情况说明</w:t>
      </w:r>
    </w:p>
    <w:p w14:paraId="5C486EFF">
      <w:pPr>
        <w:pStyle w:val="6"/>
        <w:keepNext w:val="0"/>
        <w:keepLines w:val="0"/>
        <w:pageBreakBefore w:val="0"/>
        <w:widowControl/>
        <w:kinsoku/>
        <w:overflowPunct/>
        <w:autoSpaceDN/>
        <w:bidi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w:t>
      </w:r>
      <w:r>
        <w:rPr>
          <w:rFonts w:hint="default" w:ascii="Times New Roman" w:hAnsi="Times New Roman" w:eastAsia="方正仿宋_GBK" w:cs="Times New Roman"/>
          <w:color w:val="auto"/>
          <w:sz w:val="32"/>
          <w:szCs w:val="32"/>
          <w:highlight w:val="none"/>
          <w:shd w:val="clear" w:color="auto" w:fill="FFFFFF"/>
        </w:rPr>
        <w:t>“三公”</w:t>
      </w:r>
      <w:r>
        <w:rPr>
          <w:rFonts w:hint="default" w:ascii="Times New Roman" w:hAnsi="Times New Roman" w:eastAsia="方正仿宋_GBK" w:cs="Times New Roman"/>
          <w:color w:val="auto"/>
          <w:sz w:val="32"/>
          <w:szCs w:val="32"/>
          <w:highlight w:val="none"/>
          <w:shd w:val="clear" w:color="auto" w:fill="FFFFFF"/>
        </w:rPr>
        <w:t>经费支出共计</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万元，较年初预算数减少5.17万元，下降100.00%，</w:t>
      </w:r>
      <w:r>
        <w:rPr>
          <w:rFonts w:hint="default" w:ascii="Times New Roman" w:hAnsi="Times New Roman" w:eastAsia="方正仿宋_GBK" w:cs="Times New Roman"/>
          <w:b w:val="0"/>
          <w:bCs w:val="0"/>
          <w:color w:val="auto"/>
          <w:kern w:val="0"/>
          <w:sz w:val="32"/>
          <w:szCs w:val="32"/>
          <w:highlight w:val="none"/>
          <w:shd w:val="clear" w:fill="FFFFFF"/>
        </w:rPr>
        <w:t>主要原因是严格执行预算收支政策，确保不超预算开支</w:t>
      </w:r>
      <w:r>
        <w:rPr>
          <w:rFonts w:hint="default" w:ascii="Times New Roman" w:hAnsi="Times New Roman" w:eastAsia="方正仿宋_GBK" w:cs="Times New Roman"/>
          <w:color w:val="auto"/>
          <w:sz w:val="32"/>
          <w:szCs w:val="32"/>
          <w:highlight w:val="none"/>
          <w:shd w:val="clear" w:color="auto" w:fill="FFFFFF"/>
        </w:rPr>
        <w:t>。较上年支出数减少0.41万元，下降100.00%，</w:t>
      </w:r>
      <w:r>
        <w:rPr>
          <w:rFonts w:hint="default" w:ascii="Times New Roman" w:hAnsi="Times New Roman" w:eastAsia="方正仿宋_GBK" w:cs="Times New Roman"/>
          <w:b w:val="0"/>
          <w:bCs w:val="0"/>
          <w:color w:val="auto"/>
          <w:kern w:val="0"/>
          <w:sz w:val="32"/>
          <w:szCs w:val="32"/>
          <w:highlight w:val="none"/>
          <w:shd w:val="clear" w:fill="FFFFFF"/>
        </w:rPr>
        <w:t>主要原因</w:t>
      </w:r>
      <w:r>
        <w:rPr>
          <w:rFonts w:hint="default" w:ascii="Times New Roman" w:hAnsi="Times New Roman" w:eastAsia="方正仿宋_GBK" w:cs="Times New Roman"/>
          <w:b w:val="0"/>
          <w:bCs w:val="0"/>
          <w:color w:val="auto"/>
          <w:kern w:val="0"/>
          <w:sz w:val="32"/>
          <w:szCs w:val="32"/>
          <w:highlight w:val="none"/>
          <w:shd w:val="clear" w:fill="FFFFFF"/>
          <w:lang w:val="en-US" w:eastAsia="zh-CN"/>
        </w:rPr>
        <w:t>是落实财政过紧日子举措，缩减公车运行维护及公务接待等支出</w:t>
      </w:r>
      <w:r>
        <w:rPr>
          <w:rFonts w:hint="default" w:ascii="Times New Roman" w:hAnsi="Times New Roman" w:eastAsia="方正仿宋_GBK" w:cs="Times New Roman"/>
          <w:color w:val="auto"/>
          <w:sz w:val="32"/>
          <w:szCs w:val="32"/>
          <w:highlight w:val="none"/>
          <w:shd w:val="clear" w:color="auto" w:fill="FFFFFF"/>
        </w:rPr>
        <w:t>。</w:t>
      </w:r>
    </w:p>
    <w:p w14:paraId="33E05E15">
      <w:pPr>
        <w:keepNext w:val="0"/>
        <w:keepLines w:val="0"/>
        <w:pageBreakBefore w:val="0"/>
        <w:widowControl/>
        <w:suppressLineNumbers w:val="0"/>
        <w:kinsoku/>
        <w:overflowPunct/>
        <w:topLinePunct/>
        <w:autoSpaceDE w:val="0"/>
        <w:autoSpaceDN/>
        <w:bidi w:val="0"/>
        <w:adjustRightInd w:val="0"/>
        <w:spacing w:before="0" w:beforeAutospacing="0" w:afterAutospacing="0" w:line="560" w:lineRule="exact"/>
        <w:ind w:left="0" w:firstLine="640" w:firstLineChars="200"/>
        <w:rPr>
          <w:rFonts w:hint="default" w:ascii="Times New Roman" w:hAnsi="Times New Roman" w:eastAsia="方正楷体_GBK" w:cs="Times New Roman"/>
          <w:b w:val="0"/>
          <w:bCs/>
          <w:color w:val="auto"/>
          <w:kern w:val="0"/>
          <w:sz w:val="32"/>
          <w:szCs w:val="32"/>
          <w:highlight w:val="none"/>
        </w:rPr>
      </w:pPr>
      <w:r>
        <w:rPr>
          <w:rFonts w:hint="default" w:ascii="Times New Roman" w:hAnsi="Times New Roman" w:eastAsia="方正楷体_GBK" w:cs="Times New Roman"/>
          <w:b w:val="0"/>
          <w:bCs/>
          <w:color w:val="auto"/>
          <w:kern w:val="0"/>
          <w:sz w:val="32"/>
          <w:szCs w:val="32"/>
          <w:highlight w:val="none"/>
        </w:rPr>
        <w:t>（二）“三公”经费分项支出情况</w:t>
      </w:r>
    </w:p>
    <w:p w14:paraId="07A1B5D2">
      <w:pPr>
        <w:pStyle w:val="6"/>
        <w:keepNext w:val="0"/>
        <w:keepLines w:val="0"/>
        <w:pageBreakBefore w:val="0"/>
        <w:widowControl/>
        <w:kinsoku/>
        <w:overflowPunct/>
        <w:autoSpaceDN/>
        <w:bidi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color w:val="auto"/>
          <w:kern w:val="0"/>
          <w:sz w:val="32"/>
          <w:szCs w:val="32"/>
          <w:highlight w:val="none"/>
          <w:shd w:val="clear" w:fill="FFFFFF"/>
        </w:rPr>
      </w:pPr>
      <w:r>
        <w:rPr>
          <w:rFonts w:hint="default" w:ascii="Times New Roman" w:hAnsi="Times New Roman" w:eastAsia="方正仿宋_GBK" w:cs="Times New Roman"/>
          <w:color w:val="auto"/>
          <w:sz w:val="32"/>
          <w:szCs w:val="32"/>
          <w:highlight w:val="none"/>
          <w:shd w:val="clear" w:color="auto" w:fill="FFFFFF"/>
        </w:rPr>
        <w:t>2023年度本单位</w:t>
      </w:r>
      <w:r>
        <w:rPr>
          <w:rFonts w:hint="default" w:ascii="Times New Roman" w:hAnsi="Times New Roman" w:eastAsia="方正仿宋_GBK" w:cs="Times New Roman"/>
          <w:b w:val="0"/>
          <w:bCs w:val="0"/>
          <w:color w:val="auto"/>
          <w:kern w:val="0"/>
          <w:sz w:val="32"/>
          <w:szCs w:val="32"/>
          <w:highlight w:val="none"/>
          <w:shd w:val="clear" w:fill="FFFFFF"/>
        </w:rPr>
        <w:t>未发生因公出国（境）及公务车购置费用支出。</w:t>
      </w:r>
    </w:p>
    <w:p w14:paraId="1D9232A5">
      <w:pPr>
        <w:pStyle w:val="6"/>
        <w:keepNext w:val="0"/>
        <w:keepLines w:val="0"/>
        <w:pageBreakBefore w:val="0"/>
        <w:widowControl/>
        <w:kinsoku/>
        <w:overflowPunct/>
        <w:autoSpaceDN/>
        <w:bidi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仿宋_GBK" w:cs="Times New Roman"/>
          <w:color w:val="auto"/>
          <w:sz w:val="32"/>
          <w:szCs w:val="32"/>
          <w:highlight w:val="none"/>
          <w:shd w:val="clear" w:color="auto" w:fill="FFFFFF"/>
        </w:rPr>
        <w:t>公务车运行维护费</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r>
        <w:rPr>
          <w:rFonts w:hint="default" w:ascii="Times New Roman" w:hAnsi="Times New Roman" w:eastAsia="方正仿宋_GBK" w:cs="Times New Roman"/>
          <w:b w:val="0"/>
          <w:bCs w:val="0"/>
          <w:color w:val="auto"/>
          <w:kern w:val="0"/>
          <w:sz w:val="32"/>
          <w:szCs w:val="32"/>
          <w:highlight w:val="none"/>
          <w:shd w:val="clear" w:fill="FFFFFF"/>
        </w:rPr>
        <w:t>主要用于市内因公出行所需车辆的燃料费、维修费、过桥过路费、保险费等</w:t>
      </w:r>
      <w:r>
        <w:rPr>
          <w:rFonts w:hint="default" w:ascii="Times New Roman" w:hAnsi="Times New Roman" w:eastAsia="方正仿宋_GBK" w:cs="Times New Roman"/>
          <w:color w:val="auto"/>
          <w:sz w:val="32"/>
          <w:szCs w:val="32"/>
          <w:highlight w:val="none"/>
          <w:shd w:val="clear" w:color="auto" w:fill="FFFFFF"/>
        </w:rPr>
        <w:t>。费用支出较年初预算数减少2.40万元，下降100.00%，主要原因是</w:t>
      </w:r>
      <w:r>
        <w:rPr>
          <w:rFonts w:hint="default" w:ascii="Times New Roman" w:hAnsi="Times New Roman" w:eastAsia="方正仿宋_GBK" w:cs="Times New Roman"/>
          <w:color w:val="auto"/>
          <w:sz w:val="32"/>
          <w:szCs w:val="32"/>
          <w:highlight w:val="none"/>
          <w:shd w:val="clear" w:color="auto" w:fill="FFFFFF"/>
          <w:lang w:val="en-US" w:eastAsia="zh-CN"/>
        </w:rPr>
        <w:t>同机关本级拉通使用公用经费，本二级预算单位未列支相关经费</w:t>
      </w:r>
      <w:r>
        <w:rPr>
          <w:rFonts w:hint="default" w:ascii="Times New Roman" w:hAnsi="Times New Roman" w:eastAsia="方正仿宋_GBK" w:cs="Times New Roman"/>
          <w:color w:val="auto"/>
          <w:sz w:val="32"/>
          <w:szCs w:val="32"/>
          <w:highlight w:val="none"/>
          <w:shd w:val="clear" w:color="auto" w:fill="FFFFFF"/>
        </w:rPr>
        <w:t>。</w:t>
      </w:r>
    </w:p>
    <w:p w14:paraId="41B008F3">
      <w:pPr>
        <w:pStyle w:val="6"/>
        <w:keepNext w:val="0"/>
        <w:keepLines w:val="0"/>
        <w:pageBreakBefore w:val="0"/>
        <w:widowControl/>
        <w:kinsoku/>
        <w:overflowPunct/>
        <w:autoSpaceDN/>
        <w:bidi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仿宋_GBK" w:cs="Times New Roman"/>
          <w:color w:val="auto"/>
          <w:sz w:val="32"/>
          <w:szCs w:val="32"/>
          <w:highlight w:val="none"/>
          <w:shd w:val="clear" w:color="auto" w:fill="FFFFFF"/>
        </w:rPr>
        <w:t> 公务接待费</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r>
        <w:rPr>
          <w:rFonts w:hint="default" w:ascii="Times New Roman" w:hAnsi="Times New Roman" w:eastAsia="方正仿宋_GBK" w:cs="Times New Roman"/>
          <w:b w:val="0"/>
          <w:bCs w:val="0"/>
          <w:color w:val="auto"/>
          <w:kern w:val="0"/>
          <w:sz w:val="32"/>
          <w:szCs w:val="32"/>
          <w:highlight w:val="none"/>
          <w:shd w:val="clear" w:fill="FFFFFF"/>
        </w:rPr>
        <w:t>主要用于招商引资</w:t>
      </w:r>
      <w:r>
        <w:rPr>
          <w:rFonts w:hint="default" w:ascii="Times New Roman" w:hAnsi="Times New Roman" w:eastAsia="方正仿宋_GBK" w:cs="Times New Roman"/>
          <w:b w:val="0"/>
          <w:bCs w:val="0"/>
          <w:color w:val="auto"/>
          <w:kern w:val="0"/>
          <w:sz w:val="32"/>
          <w:szCs w:val="32"/>
          <w:highlight w:val="none"/>
          <w:shd w:val="clear" w:fill="FFFFFF"/>
          <w:lang w:eastAsia="zh-CN"/>
        </w:rPr>
        <w:t>、</w:t>
      </w:r>
      <w:r>
        <w:rPr>
          <w:rFonts w:hint="default" w:ascii="Times New Roman" w:hAnsi="Times New Roman" w:eastAsia="方正仿宋_GBK" w:cs="Times New Roman"/>
          <w:b w:val="0"/>
          <w:bCs w:val="0"/>
          <w:color w:val="auto"/>
          <w:kern w:val="0"/>
          <w:sz w:val="32"/>
          <w:szCs w:val="32"/>
          <w:highlight w:val="none"/>
          <w:shd w:val="clear" w:fill="FFFFFF"/>
          <w:lang w:val="en-US" w:eastAsia="zh-CN"/>
        </w:rPr>
        <w:t>来访考察</w:t>
      </w:r>
      <w:r>
        <w:rPr>
          <w:rFonts w:hint="default" w:ascii="Times New Roman" w:hAnsi="Times New Roman" w:eastAsia="方正仿宋_GBK" w:cs="Times New Roman"/>
          <w:b w:val="0"/>
          <w:bCs w:val="0"/>
          <w:color w:val="auto"/>
          <w:kern w:val="0"/>
          <w:sz w:val="32"/>
          <w:szCs w:val="32"/>
          <w:highlight w:val="none"/>
          <w:shd w:val="clear" w:fill="FFFFFF"/>
        </w:rPr>
        <w:t>等接待开支</w:t>
      </w:r>
      <w:r>
        <w:rPr>
          <w:rFonts w:hint="default" w:ascii="Times New Roman" w:hAnsi="Times New Roman" w:eastAsia="方正仿宋_GBK" w:cs="Times New Roman"/>
          <w:color w:val="auto"/>
          <w:sz w:val="32"/>
          <w:szCs w:val="32"/>
          <w:highlight w:val="none"/>
          <w:shd w:val="clear" w:color="auto" w:fill="FFFFFF"/>
        </w:rPr>
        <w:t>。费用支出较年初预算数减少2.77万元，下降100.00%，</w:t>
      </w:r>
      <w:r>
        <w:rPr>
          <w:rFonts w:hint="default" w:ascii="Times New Roman" w:hAnsi="Times New Roman" w:eastAsia="方正仿宋_GBK" w:cs="Times New Roman"/>
          <w:b w:val="0"/>
          <w:bCs w:val="0"/>
          <w:color w:val="auto"/>
          <w:kern w:val="0"/>
          <w:sz w:val="32"/>
          <w:szCs w:val="32"/>
          <w:highlight w:val="none"/>
          <w:shd w:val="clear" w:fill="FFFFFF"/>
        </w:rPr>
        <w:t>主要原因是严格执行预算收支政策，确保不超预算开支</w:t>
      </w:r>
      <w:r>
        <w:rPr>
          <w:rFonts w:hint="default" w:ascii="Times New Roman" w:hAnsi="Times New Roman" w:eastAsia="方正仿宋_GBK" w:cs="Times New Roman"/>
          <w:color w:val="auto"/>
          <w:sz w:val="32"/>
          <w:szCs w:val="32"/>
          <w:highlight w:val="none"/>
          <w:shd w:val="clear" w:color="auto" w:fill="FFFFFF"/>
        </w:rPr>
        <w:t>。较上年支出数减少0.41万元，下降100.00%，</w:t>
      </w:r>
      <w:r>
        <w:rPr>
          <w:rFonts w:hint="default" w:ascii="Times New Roman" w:hAnsi="Times New Roman" w:eastAsia="方正仿宋_GBK" w:cs="Times New Roman"/>
          <w:b w:val="0"/>
          <w:bCs w:val="0"/>
          <w:color w:val="auto"/>
          <w:kern w:val="0"/>
          <w:sz w:val="32"/>
          <w:szCs w:val="32"/>
          <w:highlight w:val="none"/>
          <w:shd w:val="clear" w:fill="FFFFFF"/>
        </w:rPr>
        <w:t>主要原因</w:t>
      </w:r>
      <w:r>
        <w:rPr>
          <w:rFonts w:hint="default" w:ascii="Times New Roman" w:hAnsi="Times New Roman" w:eastAsia="方正仿宋_GBK" w:cs="Times New Roman"/>
          <w:b w:val="0"/>
          <w:bCs w:val="0"/>
          <w:color w:val="auto"/>
          <w:kern w:val="0"/>
          <w:sz w:val="32"/>
          <w:szCs w:val="32"/>
          <w:highlight w:val="none"/>
          <w:shd w:val="clear" w:fill="FFFFFF"/>
          <w:lang w:val="en-US" w:eastAsia="zh-CN"/>
        </w:rPr>
        <w:t>是落实财政过紧日子举措，缩减公车运行维护及公务接待等支出</w:t>
      </w:r>
      <w:r>
        <w:rPr>
          <w:rFonts w:hint="default" w:ascii="Times New Roman" w:hAnsi="Times New Roman" w:eastAsia="方正仿宋_GBK" w:cs="Times New Roman"/>
          <w:color w:val="auto"/>
          <w:sz w:val="32"/>
          <w:szCs w:val="32"/>
          <w:highlight w:val="none"/>
          <w:shd w:val="clear" w:color="auto" w:fill="FFFFFF"/>
        </w:rPr>
        <w:t>。</w:t>
      </w:r>
    </w:p>
    <w:p w14:paraId="079B6ACD">
      <w:pPr>
        <w:keepNext w:val="0"/>
        <w:keepLines w:val="0"/>
        <w:pageBreakBefore w:val="0"/>
        <w:widowControl/>
        <w:suppressLineNumbers w:val="0"/>
        <w:kinsoku/>
        <w:overflowPunct/>
        <w:topLinePunct/>
        <w:autoSpaceDE w:val="0"/>
        <w:autoSpaceDN/>
        <w:bidi w:val="0"/>
        <w:adjustRightInd w:val="0"/>
        <w:spacing w:before="0" w:beforeAutospacing="0" w:afterAutospacing="0" w:line="560" w:lineRule="exact"/>
        <w:ind w:left="0" w:firstLine="640" w:firstLineChars="200"/>
        <w:rPr>
          <w:rFonts w:hint="default" w:ascii="Times New Roman" w:hAnsi="Times New Roman" w:eastAsia="方正楷体_GBK" w:cs="Times New Roman"/>
          <w:b w:val="0"/>
          <w:bCs/>
          <w:color w:val="auto"/>
          <w:kern w:val="0"/>
          <w:sz w:val="32"/>
          <w:szCs w:val="32"/>
          <w:highlight w:val="none"/>
        </w:rPr>
      </w:pPr>
      <w:r>
        <w:rPr>
          <w:rFonts w:hint="default" w:ascii="Times New Roman" w:hAnsi="Times New Roman" w:eastAsia="方正楷体_GBK" w:cs="Times New Roman"/>
          <w:b w:val="0"/>
          <w:bCs/>
          <w:color w:val="auto"/>
          <w:kern w:val="0"/>
          <w:sz w:val="32"/>
          <w:szCs w:val="32"/>
          <w:highlight w:val="none"/>
        </w:rPr>
        <w:t>（三）“三公”经费实物量情况</w:t>
      </w:r>
    </w:p>
    <w:p w14:paraId="04129C4B">
      <w:pPr>
        <w:pStyle w:val="6"/>
        <w:keepNext w:val="0"/>
        <w:keepLines w:val="0"/>
        <w:pageBreakBefore w:val="0"/>
        <w:widowControl/>
        <w:kinsoku/>
        <w:overflowPunct/>
        <w:autoSpaceDN/>
        <w:bidi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仿宋_GBK" w:cs="Times New Roman"/>
          <w:color w:val="auto"/>
          <w:sz w:val="32"/>
          <w:szCs w:val="32"/>
          <w:highlight w:val="none"/>
          <w:shd w:val="clear" w:color="auto" w:fill="FFFFFF"/>
        </w:rPr>
        <w:t xml:space="preserve"> 2023年度本单位因公出国（境）共计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个团组，</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人；公务用车购置</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辆，公务车保有量为</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辆；国内公务接待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人，其中：国内外事接待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人；国（境）外公务接待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人。2023年本单位人均接待费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元，车均购置费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万元，车均维护费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w:t>
      </w:r>
    </w:p>
    <w:p w14:paraId="67389DD1">
      <w:pPr>
        <w:pStyle w:val="6"/>
        <w:keepNext w:val="0"/>
        <w:keepLines w:val="0"/>
        <w:pageBreakBefore w:val="0"/>
        <w:widowControl/>
        <w:shd w:val="clear" w:color="auto" w:fill="FFFFFF"/>
        <w:kinsoku/>
        <w:overflowPunct/>
        <w:autoSpaceDN/>
        <w:bidi w:val="0"/>
        <w:spacing w:beforeAutospacing="0" w:after="0" w:afterAutospacing="0" w:line="560" w:lineRule="exact"/>
        <w:rPr>
          <w:rStyle w:val="10"/>
          <w:rFonts w:hint="default" w:ascii="Times New Roman" w:hAnsi="Times New Roman" w:eastAsia="方正黑体_GBK" w:cs="Times New Roman"/>
          <w:b w:val="0"/>
          <w:bCs/>
          <w:color w:val="auto"/>
          <w:sz w:val="32"/>
          <w:szCs w:val="32"/>
          <w:highlight w:val="none"/>
          <w:shd w:val="clear" w:color="auto" w:fill="FFFFFF"/>
        </w:rPr>
      </w:pPr>
      <w:r>
        <w:rPr>
          <w:rStyle w:val="10"/>
          <w:rFonts w:hint="default" w:ascii="Times New Roman" w:hAnsi="Times New Roman" w:eastAsia="方正黑体_GBK" w:cs="Times New Roman"/>
          <w:b w:val="0"/>
          <w:bCs/>
          <w:color w:val="auto"/>
          <w:sz w:val="32"/>
          <w:szCs w:val="32"/>
          <w:highlight w:val="none"/>
          <w:shd w:val="clear" w:color="auto" w:fill="FFFFFF"/>
        </w:rPr>
        <w:t>四、其他需要说明的事项</w:t>
      </w:r>
    </w:p>
    <w:p w14:paraId="63B5C988">
      <w:pPr>
        <w:pStyle w:val="11"/>
        <w:keepNext w:val="0"/>
        <w:keepLines w:val="0"/>
        <w:pageBreakBefore w:val="0"/>
        <w:widowControl/>
        <w:kinsoku/>
        <w:overflowPunct/>
        <w:autoSpaceDE w:val="0"/>
        <w:autoSpaceDN/>
        <w:bidi w:val="0"/>
        <w:spacing w:beforeAutospacing="0" w:afterAutospacing="0" w:line="560" w:lineRule="exact"/>
        <w:ind w:firstLine="643"/>
        <w:rPr>
          <w:rFonts w:hint="default" w:ascii="Times New Roman" w:hAnsi="Times New Roman" w:eastAsia="方正楷体_GBK" w:cs="Times New Roman"/>
          <w:b w:val="0"/>
          <w:bCs/>
          <w:color w:val="auto"/>
          <w:kern w:val="0"/>
          <w:sz w:val="32"/>
          <w:szCs w:val="32"/>
          <w:highlight w:val="none"/>
          <w:lang w:val="en-US" w:eastAsia="zh-CN" w:bidi="ar-SA"/>
        </w:rPr>
      </w:pPr>
      <w:r>
        <w:rPr>
          <w:rFonts w:hint="default" w:ascii="Times New Roman" w:hAnsi="Times New Roman" w:eastAsia="楷体" w:cs="Times New Roman"/>
          <w:b/>
          <w:bCs/>
          <w:color w:val="auto"/>
          <w:sz w:val="32"/>
          <w:szCs w:val="32"/>
          <w:highlight w:val="none"/>
          <w:shd w:val="clear" w:color="auto" w:fill="FFFFFF"/>
        </w:rPr>
        <w:t xml:space="preserve">  </w:t>
      </w:r>
      <w:r>
        <w:rPr>
          <w:rFonts w:hint="default" w:ascii="Times New Roman" w:hAnsi="Times New Roman" w:eastAsia="方正楷体_GBK" w:cs="Times New Roman"/>
          <w:b w:val="0"/>
          <w:bCs/>
          <w:color w:val="auto"/>
          <w:kern w:val="0"/>
          <w:sz w:val="32"/>
          <w:szCs w:val="32"/>
          <w:highlight w:val="none"/>
          <w:lang w:val="en-US" w:eastAsia="zh-CN" w:bidi="ar-SA"/>
        </w:rPr>
        <w:t>（一）财政拨款会议费和培训费情况说明</w:t>
      </w:r>
    </w:p>
    <w:p w14:paraId="700FFD42">
      <w:pPr>
        <w:pStyle w:val="11"/>
        <w:keepNext w:val="0"/>
        <w:keepLines w:val="0"/>
        <w:pageBreakBefore w:val="0"/>
        <w:widowControl/>
        <w:kinsoku/>
        <w:overflowPunct/>
        <w:autoSpaceDE w:val="0"/>
        <w:autoSpaceDN/>
        <w:bidi w:val="0"/>
        <w:spacing w:beforeAutospacing="0" w:afterAutospacing="0" w:line="560" w:lineRule="exact"/>
        <w:ind w:firstLine="643"/>
        <w:rPr>
          <w:rFonts w:hint="default" w:ascii="Times New Roman" w:hAnsi="Times New Roman" w:eastAsia="方正仿宋_GBK" w:cs="Times New Roman"/>
          <w:color w:val="auto"/>
          <w:sz w:val="32"/>
          <w:szCs w:val="32"/>
          <w:highlight w:val="none"/>
        </w:rPr>
      </w:pPr>
      <w:bookmarkStart w:id="0" w:name="_GoBack"/>
      <w:bookmarkEnd w:id="0"/>
      <w:r>
        <w:rPr>
          <w:rFonts w:hint="default" w:ascii="Times New Roman" w:hAnsi="Times New Roman" w:eastAsia="方正仿宋_GBK" w:cs="Times New Roman"/>
          <w:color w:val="auto"/>
          <w:sz w:val="32"/>
          <w:szCs w:val="32"/>
          <w:highlight w:val="none"/>
          <w:shd w:val="clear" w:color="auto" w:fill="FFFFFF"/>
        </w:rPr>
        <w:t>本年度会议费支出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万元，较上年决算数无增减，主要原因是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本年未在此二级单位列支会议相关事项经费支出</w:t>
      </w:r>
      <w:r>
        <w:rPr>
          <w:rFonts w:hint="default" w:ascii="Times New Roman" w:hAnsi="Times New Roman" w:eastAsia="方正仿宋_GBK" w:cs="Times New Roman"/>
          <w:color w:val="auto"/>
          <w:sz w:val="32"/>
          <w:szCs w:val="32"/>
          <w:highlight w:val="none"/>
          <w:shd w:val="clear" w:color="auto" w:fill="FFFFFF"/>
        </w:rPr>
        <w:t>。本年度培训费支出</w:t>
      </w:r>
      <w:r>
        <w:rPr>
          <w:rFonts w:hint="default" w:ascii="Times New Roman" w:hAnsi="Times New Roman" w:eastAsia="方正仿宋_GBK" w:cs="Times New Roman"/>
          <w:color w:val="auto"/>
          <w:sz w:val="32"/>
          <w:szCs w:val="32"/>
          <w:highlight w:val="none"/>
        </w:rPr>
        <w:t>0.11</w:t>
      </w:r>
      <w:r>
        <w:rPr>
          <w:rFonts w:hint="default" w:ascii="Times New Roman" w:hAnsi="Times New Roman" w:eastAsia="方正仿宋_GBK" w:cs="Times New Roman"/>
          <w:color w:val="auto"/>
          <w:sz w:val="32"/>
          <w:szCs w:val="32"/>
          <w:highlight w:val="none"/>
          <w:shd w:val="clear" w:color="auto" w:fill="FFFFFF"/>
        </w:rPr>
        <w:t>万元，较上年决算数增加0.11万元，增长100.00%，主要原因是</w:t>
      </w:r>
      <w:r>
        <w:rPr>
          <w:rFonts w:hint="default" w:ascii="Times New Roman" w:hAnsi="Times New Roman" w:eastAsia="方正仿宋_GBK" w:cs="Times New Roman"/>
          <w:color w:val="auto"/>
          <w:sz w:val="32"/>
          <w:szCs w:val="32"/>
          <w:highlight w:val="none"/>
          <w:shd w:val="clear" w:color="auto" w:fill="FFFFFF"/>
          <w:lang w:val="en-US" w:eastAsia="zh-CN"/>
        </w:rPr>
        <w:t>本年增加在此二级单位的培训相关事项经费支出</w:t>
      </w:r>
      <w:r>
        <w:rPr>
          <w:rFonts w:hint="default" w:ascii="Times New Roman" w:hAnsi="Times New Roman" w:eastAsia="方正仿宋_GBK" w:cs="Times New Roman"/>
          <w:color w:val="auto"/>
          <w:sz w:val="32"/>
          <w:szCs w:val="32"/>
          <w:highlight w:val="none"/>
          <w:shd w:val="clear" w:color="auto" w:fill="FFFFFF"/>
        </w:rPr>
        <w:t>。</w:t>
      </w:r>
    </w:p>
    <w:p w14:paraId="579C57E9">
      <w:pPr>
        <w:keepNext w:val="0"/>
        <w:keepLines w:val="0"/>
        <w:pageBreakBefore w:val="0"/>
        <w:widowControl/>
        <w:suppressLineNumbers w:val="0"/>
        <w:kinsoku/>
        <w:overflowPunct/>
        <w:topLinePunct/>
        <w:autoSpaceDE w:val="0"/>
        <w:autoSpaceDN/>
        <w:bidi w:val="0"/>
        <w:adjustRightInd w:val="0"/>
        <w:spacing w:before="0" w:beforeAutospacing="0" w:afterAutospacing="0" w:line="560" w:lineRule="exact"/>
        <w:ind w:left="0" w:firstLine="640" w:firstLineChars="200"/>
        <w:rPr>
          <w:rFonts w:hint="default" w:ascii="Times New Roman" w:hAnsi="Times New Roman" w:eastAsia="方正楷体_GBK" w:cs="Times New Roman"/>
          <w:b w:val="0"/>
          <w:bCs/>
          <w:color w:val="auto"/>
          <w:kern w:val="0"/>
          <w:sz w:val="32"/>
          <w:szCs w:val="32"/>
          <w:highlight w:val="none"/>
        </w:rPr>
      </w:pPr>
      <w:r>
        <w:rPr>
          <w:rFonts w:hint="default" w:ascii="Times New Roman" w:hAnsi="Times New Roman" w:eastAsia="方正楷体_GBK" w:cs="Times New Roman"/>
          <w:b w:val="0"/>
          <w:bCs/>
          <w:color w:val="auto"/>
          <w:kern w:val="0"/>
          <w:sz w:val="32"/>
          <w:szCs w:val="32"/>
          <w:highlight w:val="none"/>
        </w:rPr>
        <w:t>（二）机关运行经费情况说明</w:t>
      </w:r>
    </w:p>
    <w:p w14:paraId="7A54A236">
      <w:pPr>
        <w:pStyle w:val="6"/>
        <w:keepNext w:val="0"/>
        <w:keepLines w:val="0"/>
        <w:pageBreakBefore w:val="0"/>
        <w:widowControl/>
        <w:kinsoku/>
        <w:overflowPunct/>
        <w:autoSpaceDN/>
        <w:bidi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2023年度本单位机关运行经费支出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万元，机关运行经费</w:t>
      </w:r>
      <w:r>
        <w:rPr>
          <w:rFonts w:hint="default" w:ascii="Times New Roman" w:hAnsi="Times New Roman" w:eastAsia="方正仿宋_GBK" w:cs="Times New Roman"/>
          <w:color w:val="auto"/>
          <w:sz w:val="32"/>
          <w:szCs w:val="32"/>
          <w:highlight w:val="none"/>
          <w:shd w:val="clear" w:fill="FFFFFF"/>
          <w:lang w:eastAsia="zh-CN"/>
        </w:rPr>
        <w:t>主要用于开支办公费、差旅费、驻村人员补贴等</w:t>
      </w:r>
      <w:r>
        <w:rPr>
          <w:rFonts w:hint="default" w:ascii="Times New Roman" w:hAnsi="Times New Roman" w:eastAsia="方正仿宋_GBK" w:cs="Times New Roman"/>
          <w:color w:val="auto"/>
          <w:sz w:val="32"/>
          <w:szCs w:val="32"/>
          <w:highlight w:val="none"/>
          <w:shd w:val="clear" w:color="auto" w:fill="FFFFFF"/>
        </w:rPr>
        <w:t>。机关运行经费较上年支出数无增减，主要原因是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本二级单位同本级机关及其他下属二级单位拉通使用机关运行经费</w:t>
      </w:r>
      <w:r>
        <w:rPr>
          <w:rFonts w:hint="default" w:ascii="Times New Roman" w:hAnsi="Times New Roman" w:eastAsia="方正仿宋_GBK" w:cs="Times New Roman"/>
          <w:color w:val="auto"/>
          <w:sz w:val="32"/>
          <w:szCs w:val="32"/>
          <w:highlight w:val="none"/>
          <w:shd w:val="clear" w:color="auto" w:fill="FFFFFF"/>
        </w:rPr>
        <w:t>。</w:t>
      </w:r>
    </w:p>
    <w:p w14:paraId="742B7806">
      <w:pPr>
        <w:keepNext w:val="0"/>
        <w:keepLines w:val="0"/>
        <w:pageBreakBefore w:val="0"/>
        <w:widowControl/>
        <w:suppressLineNumbers w:val="0"/>
        <w:kinsoku/>
        <w:overflowPunct/>
        <w:topLinePunct/>
        <w:autoSpaceDE w:val="0"/>
        <w:autoSpaceDN/>
        <w:bidi w:val="0"/>
        <w:adjustRightInd w:val="0"/>
        <w:spacing w:before="0" w:beforeAutospacing="0" w:afterAutospacing="0" w:line="560" w:lineRule="exact"/>
        <w:ind w:left="0" w:firstLine="640" w:firstLineChars="200"/>
        <w:rPr>
          <w:rFonts w:hint="default" w:ascii="Times New Roman" w:hAnsi="Times New Roman" w:eastAsia="方正楷体_GBK" w:cs="Times New Roman"/>
          <w:b w:val="0"/>
          <w:bCs/>
          <w:color w:val="auto"/>
          <w:kern w:val="0"/>
          <w:sz w:val="32"/>
          <w:szCs w:val="32"/>
          <w:highlight w:val="none"/>
        </w:rPr>
      </w:pPr>
      <w:r>
        <w:rPr>
          <w:rFonts w:hint="default" w:ascii="Times New Roman" w:hAnsi="Times New Roman" w:eastAsia="方正楷体_GBK" w:cs="Times New Roman"/>
          <w:b w:val="0"/>
          <w:bCs/>
          <w:color w:val="auto"/>
          <w:kern w:val="0"/>
          <w:sz w:val="32"/>
          <w:szCs w:val="32"/>
          <w:highlight w:val="none"/>
        </w:rPr>
        <w:t>（三）国有资产占用情况说明</w:t>
      </w:r>
    </w:p>
    <w:p w14:paraId="76FC4EC8">
      <w:pPr>
        <w:pStyle w:val="12"/>
        <w:keepNext w:val="0"/>
        <w:keepLines w:val="0"/>
        <w:pageBreakBefore w:val="0"/>
        <w:widowControl/>
        <w:suppressLineNumbers w:val="0"/>
        <w:kinsoku/>
        <w:overflowPunct/>
        <w:topLinePunct/>
        <w:autoSpaceDE w:val="0"/>
        <w:autoSpaceDN/>
        <w:bidi w:val="0"/>
        <w:spacing w:before="0" w:beforeAutospacing="0" w:after="0" w:afterAutospacing="0" w:line="560" w:lineRule="exact"/>
        <w:ind w:left="0" w:firstLine="640" w:firstLineChars="200"/>
        <w:jc w:val="left"/>
        <w:rPr>
          <w:rFonts w:hint="default" w:ascii="Times New Roman" w:hAnsi="Times New Roman" w:eastAsia="方正仿宋_GBK" w:cs="Times New Roman"/>
          <w:b w:val="0"/>
          <w:bCs/>
          <w:color w:val="auto"/>
          <w:kern w:val="0"/>
          <w:sz w:val="32"/>
          <w:szCs w:val="32"/>
          <w:highlight w:val="none"/>
        </w:rPr>
      </w:pPr>
      <w:r>
        <w:rPr>
          <w:rFonts w:hint="default" w:ascii="Times New Roman" w:hAnsi="Times New Roman" w:eastAsia="方正仿宋_GBK" w:cs="Times New Roman"/>
          <w:color w:val="auto"/>
          <w:sz w:val="32"/>
          <w:szCs w:val="32"/>
          <w:highlight w:val="none"/>
          <w:shd w:val="clear" w:color="auto" w:fill="FFFFFF"/>
        </w:rPr>
        <w:t xml:space="preserve">  </w:t>
      </w:r>
      <w:r>
        <w:rPr>
          <w:rFonts w:hint="default" w:ascii="Times New Roman" w:hAnsi="Times New Roman" w:eastAsia="方正仿宋_GBK" w:cs="Times New Roman"/>
          <w:b w:val="0"/>
          <w:bCs/>
          <w:color w:val="auto"/>
          <w:kern w:val="0"/>
          <w:sz w:val="32"/>
          <w:szCs w:val="32"/>
          <w:highlight w:val="none"/>
        </w:rPr>
        <w:t>因本二级预算单位同本级机关拉通使用资产，我单位资产未纳入部门决算报表。</w:t>
      </w:r>
    </w:p>
    <w:p w14:paraId="00ACF758">
      <w:pPr>
        <w:keepNext w:val="0"/>
        <w:keepLines w:val="0"/>
        <w:pageBreakBefore w:val="0"/>
        <w:widowControl/>
        <w:suppressLineNumbers w:val="0"/>
        <w:kinsoku/>
        <w:overflowPunct/>
        <w:topLinePunct/>
        <w:autoSpaceDE w:val="0"/>
        <w:autoSpaceDN/>
        <w:bidi w:val="0"/>
        <w:adjustRightInd w:val="0"/>
        <w:spacing w:before="0" w:beforeAutospacing="0" w:afterAutospacing="0" w:line="560" w:lineRule="exact"/>
        <w:ind w:left="0" w:firstLine="640" w:firstLineChars="200"/>
        <w:rPr>
          <w:rFonts w:hint="default" w:ascii="Times New Roman" w:hAnsi="Times New Roman" w:eastAsia="方正楷体_GBK" w:cs="Times New Roman"/>
          <w:b w:val="0"/>
          <w:bCs/>
          <w:color w:val="auto"/>
          <w:kern w:val="0"/>
          <w:sz w:val="32"/>
          <w:szCs w:val="32"/>
          <w:highlight w:val="none"/>
        </w:rPr>
      </w:pPr>
      <w:r>
        <w:rPr>
          <w:rFonts w:hint="default" w:ascii="Times New Roman" w:hAnsi="Times New Roman" w:eastAsia="方正楷体_GBK" w:cs="Times New Roman"/>
          <w:b w:val="0"/>
          <w:bCs/>
          <w:color w:val="auto"/>
          <w:kern w:val="0"/>
          <w:sz w:val="32"/>
          <w:szCs w:val="32"/>
          <w:highlight w:val="none"/>
        </w:rPr>
        <w:t>（四）政府采购支出情况说明</w:t>
      </w:r>
    </w:p>
    <w:p w14:paraId="79DDD50B">
      <w:pPr>
        <w:pStyle w:val="12"/>
        <w:keepNext w:val="0"/>
        <w:keepLines w:val="0"/>
        <w:pageBreakBefore w:val="0"/>
        <w:widowControl/>
        <w:suppressLineNumbers w:val="0"/>
        <w:kinsoku/>
        <w:overflowPunct/>
        <w:topLinePunct/>
        <w:autoSpaceDE w:val="0"/>
        <w:autoSpaceDN/>
        <w:bidi w:val="0"/>
        <w:spacing w:before="0" w:beforeAutospacing="0" w:after="0" w:afterAutospacing="0" w:line="560" w:lineRule="exact"/>
        <w:ind w:left="0" w:firstLine="640" w:firstLineChars="200"/>
        <w:jc w:val="left"/>
        <w:rPr>
          <w:rFonts w:hint="default" w:ascii="Times New Roman" w:hAnsi="Times New Roman" w:eastAsia="方正仿宋_GBK" w:cs="Times New Roman"/>
          <w:b w:val="0"/>
          <w:bCs/>
          <w:color w:val="auto"/>
          <w:kern w:val="0"/>
          <w:sz w:val="32"/>
          <w:szCs w:val="32"/>
          <w:highlight w:val="none"/>
        </w:rPr>
      </w:pPr>
      <w:r>
        <w:rPr>
          <w:rFonts w:hint="default" w:ascii="Times New Roman" w:hAnsi="Times New Roman" w:eastAsia="方正仿宋_GBK" w:cs="Times New Roman"/>
          <w:b w:val="0"/>
          <w:bCs/>
          <w:color w:val="auto"/>
          <w:kern w:val="0"/>
          <w:sz w:val="32"/>
          <w:szCs w:val="32"/>
          <w:highlight w:val="none"/>
        </w:rPr>
        <w:t>2023年度我单位未发生政府采购事项，无相关经费支出。</w:t>
      </w:r>
    </w:p>
    <w:p w14:paraId="5AABAE77">
      <w:pPr>
        <w:pStyle w:val="6"/>
        <w:keepNext w:val="0"/>
        <w:keepLines w:val="0"/>
        <w:pageBreakBefore w:val="0"/>
        <w:widowControl/>
        <w:shd w:val="clear" w:color="auto" w:fill="FFFFFF"/>
        <w:kinsoku/>
        <w:overflowPunct/>
        <w:autoSpaceDN/>
        <w:bidi w:val="0"/>
        <w:spacing w:beforeAutospacing="0" w:after="0" w:afterAutospacing="0" w:line="560" w:lineRule="exact"/>
        <w:ind w:firstLine="640" w:firstLineChars="200"/>
        <w:rPr>
          <w:rStyle w:val="10"/>
          <w:rFonts w:hint="default" w:ascii="Times New Roman" w:hAnsi="Times New Roman" w:eastAsia="方正黑体_GBK" w:cs="Times New Roman"/>
          <w:b w:val="0"/>
          <w:bCs/>
          <w:color w:val="auto"/>
          <w:sz w:val="32"/>
          <w:szCs w:val="32"/>
          <w:highlight w:val="none"/>
          <w:shd w:val="clear" w:color="auto" w:fill="FFFFFF"/>
        </w:rPr>
      </w:pPr>
      <w:r>
        <w:rPr>
          <w:rStyle w:val="10"/>
          <w:rFonts w:hint="default" w:ascii="Times New Roman" w:hAnsi="Times New Roman" w:eastAsia="方正黑体_GBK" w:cs="Times New Roman"/>
          <w:b w:val="0"/>
          <w:bCs/>
          <w:color w:val="auto"/>
          <w:sz w:val="32"/>
          <w:szCs w:val="32"/>
          <w:highlight w:val="none"/>
          <w:shd w:val="clear" w:color="auto" w:fill="FFFFFF"/>
          <w:lang w:val="en-US" w:eastAsia="zh-CN"/>
        </w:rPr>
        <w:t>五、</w:t>
      </w:r>
      <w:r>
        <w:rPr>
          <w:rStyle w:val="10"/>
          <w:rFonts w:hint="default" w:ascii="Times New Roman" w:hAnsi="Times New Roman" w:eastAsia="方正黑体_GBK" w:cs="Times New Roman"/>
          <w:b w:val="0"/>
          <w:bCs/>
          <w:color w:val="auto"/>
          <w:sz w:val="32"/>
          <w:szCs w:val="32"/>
          <w:highlight w:val="none"/>
          <w:shd w:val="clear" w:color="auto" w:fill="FFFFFF"/>
        </w:rPr>
        <w:t>预算绩效管理情况说明</w:t>
      </w:r>
    </w:p>
    <w:p w14:paraId="2AAC70D8">
      <w:pPr>
        <w:pStyle w:val="12"/>
        <w:keepNext w:val="0"/>
        <w:keepLines w:val="0"/>
        <w:pageBreakBefore w:val="0"/>
        <w:widowControl/>
        <w:suppressLineNumbers w:val="0"/>
        <w:kinsoku/>
        <w:overflowPunct/>
        <w:topLinePunct/>
        <w:autoSpaceDE w:val="0"/>
        <w:autoSpaceDN/>
        <w:bidi w:val="0"/>
        <w:spacing w:before="0" w:beforeAutospacing="0" w:after="0" w:afterAutospacing="0" w:line="560" w:lineRule="exact"/>
        <w:ind w:left="0" w:firstLine="640" w:firstLineChars="200"/>
        <w:jc w:val="left"/>
        <w:rPr>
          <w:rFonts w:hint="default" w:ascii="Times New Roman" w:hAnsi="Times New Roman" w:eastAsia="方正仿宋_GBK" w:cs="Times New Roman"/>
          <w:b w:val="0"/>
          <w:bCs/>
          <w:color w:val="auto"/>
          <w:kern w:val="0"/>
          <w:sz w:val="32"/>
          <w:szCs w:val="32"/>
          <w:highlight w:val="none"/>
        </w:rPr>
      </w:pPr>
      <w:r>
        <w:rPr>
          <w:rFonts w:hint="default" w:ascii="Times New Roman" w:hAnsi="Times New Roman" w:eastAsia="方正仿宋_GBK" w:cs="Times New Roman"/>
          <w:b w:val="0"/>
          <w:bCs/>
          <w:color w:val="auto"/>
          <w:kern w:val="0"/>
          <w:sz w:val="32"/>
          <w:szCs w:val="32"/>
          <w:highlight w:val="none"/>
        </w:rPr>
        <w:t>项目类支出均在机关本级统一核算，二级预算单位无独立预算项目。</w:t>
      </w:r>
    </w:p>
    <w:p w14:paraId="2279F356">
      <w:pPr>
        <w:pStyle w:val="6"/>
        <w:keepNext w:val="0"/>
        <w:keepLines w:val="0"/>
        <w:pageBreakBefore w:val="0"/>
        <w:widowControl/>
        <w:shd w:val="clear" w:color="auto" w:fill="FFFFFF"/>
        <w:kinsoku/>
        <w:overflowPunct/>
        <w:autoSpaceDN/>
        <w:bidi w:val="0"/>
        <w:spacing w:beforeAutospacing="0" w:after="0" w:afterAutospacing="0" w:line="560" w:lineRule="exact"/>
        <w:rPr>
          <w:rStyle w:val="10"/>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 xml:space="preserve">  </w:t>
      </w:r>
      <w:r>
        <w:rPr>
          <w:rStyle w:val="10"/>
          <w:rFonts w:hint="default" w:ascii="Times New Roman" w:hAnsi="Times New Roman" w:eastAsia="方正仿宋_GBK" w:cs="Times New Roman"/>
          <w:color w:val="auto"/>
          <w:sz w:val="32"/>
          <w:szCs w:val="32"/>
          <w:highlight w:val="none"/>
          <w:shd w:val="clear" w:color="auto" w:fill="FFFFFF"/>
          <w:lang w:val="en-US" w:eastAsia="zh-CN"/>
        </w:rPr>
        <w:t xml:space="preserve">  </w:t>
      </w:r>
      <w:r>
        <w:rPr>
          <w:rStyle w:val="10"/>
          <w:rFonts w:hint="default" w:ascii="Times New Roman" w:hAnsi="Times New Roman" w:eastAsia="方正黑体_GBK" w:cs="Times New Roman"/>
          <w:b w:val="0"/>
          <w:bCs/>
          <w:color w:val="auto"/>
          <w:sz w:val="32"/>
          <w:szCs w:val="32"/>
          <w:highlight w:val="none"/>
          <w:shd w:val="clear" w:color="auto" w:fill="FFFFFF"/>
        </w:rPr>
        <w:t>六、专业名词解释</w:t>
      </w:r>
    </w:p>
    <w:p w14:paraId="1F74F824">
      <w:pPr>
        <w:pStyle w:val="6"/>
        <w:keepNext w:val="0"/>
        <w:keepLines w:val="0"/>
        <w:pageBreakBefore w:val="0"/>
        <w:widowControl/>
        <w:kinsoku/>
        <w:overflowPunct/>
        <w:autoSpaceDN/>
        <w:bidi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color w:val="auto"/>
          <w:kern w:val="0"/>
          <w:sz w:val="32"/>
          <w:szCs w:val="32"/>
          <w:highlight w:val="none"/>
          <w:lang w:val="en-US" w:eastAsia="zh-CN" w:bidi="ar-SA"/>
        </w:rPr>
        <w:t> （一）财政拨款收入：</w:t>
      </w:r>
      <w:r>
        <w:rPr>
          <w:rFonts w:hint="default" w:ascii="Times New Roman" w:hAnsi="Times New Roman" w:eastAsia="方正仿宋_GBK" w:cs="Times New Roman"/>
          <w:color w:val="auto"/>
          <w:sz w:val="32"/>
          <w:szCs w:val="32"/>
          <w:highlight w:val="none"/>
          <w:shd w:val="clear" w:color="auto" w:fill="FFFFFF"/>
        </w:rPr>
        <w:t>指本年度从本级财政部门取得的财政拨款，包括一般公共预算财政拨款和政府性基金预算财政拨款。</w:t>
      </w:r>
    </w:p>
    <w:p w14:paraId="0A96D04C">
      <w:pPr>
        <w:pStyle w:val="6"/>
        <w:keepNext w:val="0"/>
        <w:keepLines w:val="0"/>
        <w:pageBreakBefore w:val="0"/>
        <w:widowControl/>
        <w:kinsoku/>
        <w:overflowPunct/>
        <w:autoSpaceDN/>
        <w:bidi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color w:val="auto"/>
          <w:kern w:val="0"/>
          <w:sz w:val="32"/>
          <w:szCs w:val="32"/>
          <w:highlight w:val="none"/>
          <w:lang w:val="en-US" w:eastAsia="zh-CN" w:bidi="ar-SA"/>
        </w:rPr>
        <w:t> （二）事业收入：</w:t>
      </w:r>
      <w:r>
        <w:rPr>
          <w:rFonts w:hint="default" w:ascii="Times New Roman" w:hAnsi="Times New Roman" w:eastAsia="方正仿宋_GBK" w:cs="Times New Roman"/>
          <w:color w:val="auto"/>
          <w:sz w:val="32"/>
          <w:szCs w:val="32"/>
          <w:highlight w:val="none"/>
          <w:shd w:val="clear" w:color="auto" w:fill="FFFFFF"/>
        </w:rPr>
        <w:t>指事业单位开展专业业务活动及其辅助活动取得的现金流入；事业单位收到的财政专户实际核拨的教育收费等资金在此反映。</w:t>
      </w:r>
    </w:p>
    <w:p w14:paraId="4BC9C891">
      <w:pPr>
        <w:keepNext w:val="0"/>
        <w:keepLines w:val="0"/>
        <w:pageBreakBefore w:val="0"/>
        <w:widowControl/>
        <w:suppressLineNumbers w:val="0"/>
        <w:kinsoku/>
        <w:overflowPunct/>
        <w:topLinePunct/>
        <w:autoSpaceDE w:val="0"/>
        <w:autoSpaceDN/>
        <w:bidi w:val="0"/>
        <w:adjustRightInd w:val="0"/>
        <w:spacing w:before="0" w:beforeAutospacing="0" w:afterAutospacing="0" w:line="560" w:lineRule="exact"/>
        <w:ind w:left="0"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color w:val="auto"/>
          <w:kern w:val="0"/>
          <w:sz w:val="32"/>
          <w:szCs w:val="32"/>
          <w:highlight w:val="none"/>
        </w:rPr>
        <w:t> （三）经营收入：</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指事业单位在专业业务活动及其辅助活动之外开展非独立核算经营活动取得的现金流入。</w:t>
      </w:r>
    </w:p>
    <w:p w14:paraId="5A969348">
      <w:pPr>
        <w:pStyle w:val="6"/>
        <w:keepNext w:val="0"/>
        <w:keepLines w:val="0"/>
        <w:pageBreakBefore w:val="0"/>
        <w:widowControl/>
        <w:kinsoku/>
        <w:overflowPunct/>
        <w:autoSpaceDN/>
        <w:bidi w:val="0"/>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b w:val="0"/>
          <w:bCs/>
          <w:color w:val="auto"/>
          <w:kern w:val="0"/>
          <w:sz w:val="32"/>
          <w:szCs w:val="32"/>
          <w:highlight w:val="none"/>
          <w:lang w:val="en-US" w:eastAsia="zh-CN" w:bidi="ar-SA"/>
        </w:rPr>
        <w:t>（四）其他收入：</w:t>
      </w:r>
      <w:r>
        <w:rPr>
          <w:rFonts w:hint="default" w:ascii="Times New Roman" w:hAnsi="Times New Roman" w:eastAsia="方正仿宋_GBK" w:cs="Times New Roman"/>
          <w:color w:val="auto"/>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5D8ED71">
      <w:pPr>
        <w:pStyle w:val="6"/>
        <w:keepNext w:val="0"/>
        <w:keepLines w:val="0"/>
        <w:pageBreakBefore w:val="0"/>
        <w:widowControl/>
        <w:kinsoku/>
        <w:overflowPunct/>
        <w:autoSpaceDN/>
        <w:bidi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color w:val="auto"/>
          <w:kern w:val="0"/>
          <w:sz w:val="32"/>
          <w:szCs w:val="32"/>
          <w:highlight w:val="none"/>
          <w:lang w:val="en-US" w:eastAsia="zh-CN" w:bidi="ar-SA"/>
        </w:rPr>
        <w:t>（五）使用非财政拨款结余：</w:t>
      </w:r>
      <w:r>
        <w:rPr>
          <w:rFonts w:hint="default" w:ascii="Times New Roman" w:hAnsi="Times New Roman" w:eastAsia="方正仿宋_GBK" w:cs="Times New Roman"/>
          <w:color w:val="auto"/>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14:paraId="02B94673">
      <w:pPr>
        <w:pStyle w:val="6"/>
        <w:keepNext w:val="0"/>
        <w:keepLines w:val="0"/>
        <w:pageBreakBefore w:val="0"/>
        <w:widowControl/>
        <w:kinsoku/>
        <w:overflowPunct/>
        <w:autoSpaceDN/>
        <w:bidi w:val="0"/>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b w:val="0"/>
          <w:bCs/>
          <w:color w:val="auto"/>
          <w:kern w:val="0"/>
          <w:sz w:val="32"/>
          <w:szCs w:val="32"/>
          <w:highlight w:val="none"/>
          <w:lang w:val="en-US" w:eastAsia="zh-CN" w:bidi="ar-SA"/>
        </w:rPr>
        <w:t>（六）年初结转和结余：</w:t>
      </w:r>
      <w:r>
        <w:rPr>
          <w:rFonts w:hint="default" w:ascii="Times New Roman" w:hAnsi="Times New Roman" w:eastAsia="方正仿宋_GBK" w:cs="Times New Roman"/>
          <w:color w:val="auto"/>
          <w:sz w:val="32"/>
          <w:szCs w:val="32"/>
          <w:highlight w:val="none"/>
          <w:shd w:val="clear" w:color="auto" w:fill="FFFFFF"/>
        </w:rPr>
        <w:t>指单位上年结转本年使用的基本支出结转、项目支出结转和结余、经营结余。</w:t>
      </w:r>
    </w:p>
    <w:p w14:paraId="156CFFD8">
      <w:pPr>
        <w:pStyle w:val="6"/>
        <w:keepNext w:val="0"/>
        <w:keepLines w:val="0"/>
        <w:pageBreakBefore w:val="0"/>
        <w:widowControl/>
        <w:kinsoku/>
        <w:overflowPunct/>
        <w:autoSpaceDN/>
        <w:bidi w:val="0"/>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b w:val="0"/>
          <w:bCs/>
          <w:color w:val="auto"/>
          <w:kern w:val="0"/>
          <w:sz w:val="32"/>
          <w:szCs w:val="32"/>
          <w:highlight w:val="none"/>
          <w:lang w:val="en-US" w:eastAsia="zh-CN" w:bidi="ar-SA"/>
        </w:rPr>
        <w:t>（七）结余分配：</w:t>
      </w:r>
      <w:r>
        <w:rPr>
          <w:rFonts w:hint="default" w:ascii="Times New Roman" w:hAnsi="Times New Roman" w:eastAsia="方正仿宋_GBK" w:cs="Times New Roman"/>
          <w:color w:val="auto"/>
          <w:sz w:val="32"/>
          <w:szCs w:val="32"/>
          <w:highlight w:val="none"/>
          <w:shd w:val="clear" w:color="auto" w:fill="FFFFFF"/>
        </w:rPr>
        <w:t>指单位按照国家有关规定，缴纳所得税、提取专用基金、转入非财政拨款结余等当年结余的分配情况。</w:t>
      </w:r>
    </w:p>
    <w:p w14:paraId="77D887B8">
      <w:pPr>
        <w:pStyle w:val="6"/>
        <w:keepNext w:val="0"/>
        <w:keepLines w:val="0"/>
        <w:pageBreakBefore w:val="0"/>
        <w:widowControl/>
        <w:kinsoku/>
        <w:overflowPunct/>
        <w:autoSpaceDN/>
        <w:bidi w:val="0"/>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b w:val="0"/>
          <w:bCs/>
          <w:color w:val="auto"/>
          <w:kern w:val="0"/>
          <w:sz w:val="32"/>
          <w:szCs w:val="32"/>
          <w:highlight w:val="none"/>
          <w:lang w:val="en-US" w:eastAsia="zh-CN" w:bidi="ar-SA"/>
        </w:rPr>
        <w:t>（八）年末结转和结余：</w:t>
      </w:r>
      <w:r>
        <w:rPr>
          <w:rFonts w:hint="default" w:ascii="Times New Roman" w:hAnsi="Times New Roman" w:eastAsia="方正仿宋_GBK" w:cs="Times New Roman"/>
          <w:color w:val="auto"/>
          <w:sz w:val="32"/>
          <w:szCs w:val="32"/>
          <w:highlight w:val="none"/>
          <w:shd w:val="clear" w:color="auto" w:fill="FFFFFF"/>
        </w:rPr>
        <w:t>指单位结转下年的基本支出结转、项目支出结转和结余、经营结余。</w:t>
      </w:r>
    </w:p>
    <w:p w14:paraId="4103E230">
      <w:pPr>
        <w:pStyle w:val="6"/>
        <w:keepNext w:val="0"/>
        <w:keepLines w:val="0"/>
        <w:pageBreakBefore w:val="0"/>
        <w:widowControl/>
        <w:kinsoku/>
        <w:overflowPunct/>
        <w:autoSpaceDN/>
        <w:bidi w:val="0"/>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b w:val="0"/>
          <w:bCs/>
          <w:color w:val="auto"/>
          <w:kern w:val="0"/>
          <w:sz w:val="32"/>
          <w:szCs w:val="32"/>
          <w:highlight w:val="none"/>
          <w:lang w:val="en-US" w:eastAsia="zh-CN" w:bidi="ar-SA"/>
        </w:rPr>
        <w:t>（九）基本支出：</w:t>
      </w:r>
      <w:r>
        <w:rPr>
          <w:rFonts w:hint="default" w:ascii="Times New Roman" w:hAnsi="Times New Roman" w:eastAsia="方正仿宋_GBK" w:cs="Times New Roman"/>
          <w:color w:val="auto"/>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447A786">
      <w:pPr>
        <w:pStyle w:val="6"/>
        <w:keepNext w:val="0"/>
        <w:keepLines w:val="0"/>
        <w:pageBreakBefore w:val="0"/>
        <w:widowControl/>
        <w:kinsoku/>
        <w:overflowPunct/>
        <w:autoSpaceDN/>
        <w:bidi w:val="0"/>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b w:val="0"/>
          <w:bCs/>
          <w:color w:val="auto"/>
          <w:kern w:val="0"/>
          <w:sz w:val="32"/>
          <w:szCs w:val="32"/>
          <w:highlight w:val="none"/>
          <w:lang w:val="en-US" w:eastAsia="zh-CN" w:bidi="ar-SA"/>
        </w:rPr>
        <w:t>（十）项目支出：</w:t>
      </w:r>
      <w:r>
        <w:rPr>
          <w:rFonts w:hint="default" w:ascii="Times New Roman" w:hAnsi="Times New Roman" w:eastAsia="方正仿宋_GBK" w:cs="Times New Roman"/>
          <w:color w:val="auto"/>
          <w:sz w:val="32"/>
          <w:szCs w:val="32"/>
          <w:highlight w:val="none"/>
          <w:shd w:val="clear" w:color="auto" w:fill="FFFFFF"/>
        </w:rPr>
        <w:t>指在基本支出之外为完成特定行政任务和事业发展目标所发生的支出。</w:t>
      </w:r>
    </w:p>
    <w:p w14:paraId="5551550E">
      <w:pPr>
        <w:pStyle w:val="6"/>
        <w:keepNext w:val="0"/>
        <w:keepLines w:val="0"/>
        <w:pageBreakBefore w:val="0"/>
        <w:widowControl/>
        <w:kinsoku/>
        <w:overflowPunct/>
        <w:autoSpaceDN/>
        <w:bidi w:val="0"/>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b w:val="0"/>
          <w:bCs/>
          <w:color w:val="auto"/>
          <w:kern w:val="0"/>
          <w:sz w:val="32"/>
          <w:szCs w:val="32"/>
          <w:highlight w:val="none"/>
          <w:lang w:val="en-US" w:eastAsia="zh-CN" w:bidi="ar-SA"/>
        </w:rPr>
        <w:t>（十一）经营支出：</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指事业单位在专业业务活动及其辅助活动之外开展非独立核算经营活动发生的支出。</w:t>
      </w:r>
    </w:p>
    <w:p w14:paraId="1561C77E">
      <w:pPr>
        <w:pStyle w:val="6"/>
        <w:keepNext w:val="0"/>
        <w:keepLines w:val="0"/>
        <w:pageBreakBefore w:val="0"/>
        <w:widowControl/>
        <w:kinsoku/>
        <w:overflowPunct/>
        <w:autoSpaceDN/>
        <w:bidi w:val="0"/>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b w:val="0"/>
          <w:bCs/>
          <w:color w:val="auto"/>
          <w:kern w:val="0"/>
          <w:sz w:val="32"/>
          <w:szCs w:val="32"/>
          <w:highlight w:val="none"/>
          <w:lang w:val="en-US" w:eastAsia="zh-CN" w:bidi="ar-SA"/>
        </w:rPr>
        <w:t>（十二）“三公”经费：</w:t>
      </w:r>
      <w:r>
        <w:rPr>
          <w:rFonts w:hint="default" w:ascii="Times New Roman" w:hAnsi="Times New Roman" w:eastAsia="方正仿宋_GBK" w:cs="Times New Roman"/>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C2516FC">
      <w:pPr>
        <w:pStyle w:val="6"/>
        <w:keepNext w:val="0"/>
        <w:keepLines w:val="0"/>
        <w:pageBreakBefore w:val="0"/>
        <w:widowControl/>
        <w:kinsoku/>
        <w:overflowPunct/>
        <w:autoSpaceDN/>
        <w:bidi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color w:val="auto"/>
          <w:kern w:val="0"/>
          <w:sz w:val="32"/>
          <w:szCs w:val="32"/>
          <w:highlight w:val="none"/>
          <w:lang w:val="en-US" w:eastAsia="zh-CN" w:bidi="ar-SA"/>
        </w:rPr>
        <w:t> （十三）机关运行经费：</w:t>
      </w:r>
      <w:r>
        <w:rPr>
          <w:rFonts w:hint="default" w:ascii="Times New Roman" w:hAnsi="Times New Roman" w:eastAsia="方正仿宋_GBK" w:cs="Times New Roman"/>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9502286">
      <w:pPr>
        <w:pStyle w:val="6"/>
        <w:keepNext w:val="0"/>
        <w:keepLines w:val="0"/>
        <w:pageBreakBefore w:val="0"/>
        <w:widowControl/>
        <w:kinsoku/>
        <w:overflowPunct/>
        <w:autoSpaceDN/>
        <w:bidi w:val="0"/>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b w:val="0"/>
          <w:bCs/>
          <w:color w:val="auto"/>
          <w:kern w:val="0"/>
          <w:sz w:val="32"/>
          <w:szCs w:val="32"/>
          <w:highlight w:val="none"/>
          <w:lang w:val="en-US" w:eastAsia="zh-CN" w:bidi="ar-SA"/>
        </w:rPr>
        <w:t>（十四）工资福利支出（支出经济分类科目类级）：</w:t>
      </w:r>
      <w:r>
        <w:rPr>
          <w:rFonts w:hint="default" w:ascii="Times New Roman" w:hAnsi="Times New Roman" w:eastAsia="方正仿宋_GBK" w:cs="Times New Roman"/>
          <w:color w:val="auto"/>
          <w:sz w:val="32"/>
          <w:szCs w:val="32"/>
          <w:highlight w:val="none"/>
          <w:shd w:val="clear" w:color="auto" w:fill="FFFFFF"/>
        </w:rPr>
        <w:t>反映单位开支的在职职工和编制外长期聘用人员的各类劳动报酬，以及为上述人员缴纳的各项社会保险费等。</w:t>
      </w:r>
    </w:p>
    <w:p w14:paraId="32C40CCD">
      <w:pPr>
        <w:pStyle w:val="6"/>
        <w:keepNext w:val="0"/>
        <w:keepLines w:val="0"/>
        <w:pageBreakBefore w:val="0"/>
        <w:widowControl/>
        <w:kinsoku/>
        <w:overflowPunct/>
        <w:autoSpaceDN/>
        <w:bidi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color w:val="auto"/>
          <w:kern w:val="0"/>
          <w:sz w:val="32"/>
          <w:szCs w:val="32"/>
          <w:highlight w:val="none"/>
          <w:lang w:val="en-US" w:eastAsia="zh-CN" w:bidi="ar-SA"/>
        </w:rPr>
        <w:t> （十五）商品和服务支出（支出经济分类科目类级）：</w:t>
      </w:r>
      <w:r>
        <w:rPr>
          <w:rFonts w:hint="default" w:ascii="Times New Roman" w:hAnsi="Times New Roman" w:eastAsia="方正仿宋_GBK" w:cs="Times New Roman"/>
          <w:color w:val="auto"/>
          <w:sz w:val="32"/>
          <w:szCs w:val="32"/>
          <w:highlight w:val="none"/>
          <w:shd w:val="clear" w:color="auto" w:fill="FFFFFF"/>
        </w:rPr>
        <w:t>反映单位购买商品和服务的支出（不包括用于购置固定资产的支出、战略性和应急储备支出）。</w:t>
      </w:r>
    </w:p>
    <w:p w14:paraId="5E364606">
      <w:pPr>
        <w:pStyle w:val="6"/>
        <w:keepNext w:val="0"/>
        <w:keepLines w:val="0"/>
        <w:pageBreakBefore w:val="0"/>
        <w:widowControl/>
        <w:kinsoku/>
        <w:overflowPunct/>
        <w:autoSpaceDN/>
        <w:bidi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color w:val="auto"/>
          <w:kern w:val="0"/>
          <w:sz w:val="32"/>
          <w:szCs w:val="32"/>
          <w:highlight w:val="none"/>
          <w:lang w:val="en-US" w:eastAsia="zh-CN" w:bidi="ar-SA"/>
        </w:rPr>
        <w:t> （十六）对个人和家庭的补助（支出经济分类科目类级）：</w:t>
      </w:r>
      <w:r>
        <w:rPr>
          <w:rFonts w:hint="default" w:ascii="Times New Roman" w:hAnsi="Times New Roman" w:eastAsia="方正仿宋_GBK" w:cs="Times New Roman"/>
          <w:color w:val="auto"/>
          <w:sz w:val="32"/>
          <w:szCs w:val="32"/>
          <w:highlight w:val="none"/>
          <w:shd w:val="clear" w:color="auto" w:fill="FFFFFF"/>
        </w:rPr>
        <w:t>反映用于对个人和家庭的补助支出。</w:t>
      </w:r>
    </w:p>
    <w:p w14:paraId="2DA8D211">
      <w:pPr>
        <w:pStyle w:val="6"/>
        <w:keepNext w:val="0"/>
        <w:keepLines w:val="0"/>
        <w:pageBreakBefore w:val="0"/>
        <w:widowControl/>
        <w:kinsoku/>
        <w:overflowPunct/>
        <w:autoSpaceDN/>
        <w:bidi w:val="0"/>
        <w:snapToGrid w:val="0"/>
        <w:spacing w:before="0" w:beforeAutospacing="0" w:after="0" w:afterAutospacing="0" w:line="560" w:lineRule="exact"/>
        <w:ind w:firstLine="640" w:firstLineChars="200"/>
        <w:jc w:val="both"/>
        <w:rPr>
          <w:rFonts w:hint="default" w:ascii="Times New Roman" w:hAnsi="Times New Roman" w:eastAsia="方正楷体_GBK" w:cs="Times New Roman"/>
          <w:b w:val="0"/>
          <w:bCs/>
          <w:color w:val="auto"/>
          <w:kern w:val="0"/>
          <w:sz w:val="32"/>
          <w:szCs w:val="32"/>
          <w:highlight w:val="none"/>
          <w:lang w:val="en-US" w:eastAsia="zh-CN" w:bidi="ar-SA"/>
        </w:rPr>
      </w:pPr>
      <w:r>
        <w:rPr>
          <w:rFonts w:hint="default" w:ascii="Times New Roman" w:hAnsi="Times New Roman" w:eastAsia="方正楷体_GBK" w:cs="Times New Roman"/>
          <w:b w:val="0"/>
          <w:bCs/>
          <w:color w:val="auto"/>
          <w:kern w:val="0"/>
          <w:sz w:val="32"/>
          <w:szCs w:val="32"/>
          <w:highlight w:val="none"/>
          <w:lang w:val="en-US" w:eastAsia="zh-CN" w:bidi="ar-SA"/>
        </w:rPr>
        <w:t>（十七）其他资本性支出（支出经济分类科目类级）</w:t>
      </w:r>
    </w:p>
    <w:p w14:paraId="2BA431DA">
      <w:pPr>
        <w:pStyle w:val="6"/>
        <w:keepNext w:val="0"/>
        <w:keepLines w:val="0"/>
        <w:pageBreakBefore w:val="0"/>
        <w:widowControl/>
        <w:kinsoku/>
        <w:overflowPunct/>
        <w:autoSpaceDN/>
        <w:bidi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14:paraId="6A989487">
      <w:pPr>
        <w:pStyle w:val="6"/>
        <w:keepNext w:val="0"/>
        <w:keepLines w:val="0"/>
        <w:pageBreakBefore w:val="0"/>
        <w:widowControl/>
        <w:shd w:val="clear" w:color="auto" w:fill="FFFFFF"/>
        <w:kinsoku/>
        <w:overflowPunct/>
        <w:autoSpaceDN/>
        <w:bidi w:val="0"/>
        <w:spacing w:beforeAutospacing="0" w:after="0" w:afterAutospacing="0" w:line="560" w:lineRule="exact"/>
        <w:ind w:firstLine="640" w:firstLineChars="200"/>
        <w:rPr>
          <w:rStyle w:val="10"/>
          <w:rFonts w:hint="default" w:ascii="Times New Roman" w:hAnsi="Times New Roman" w:eastAsia="方正黑体_GBK" w:cs="Times New Roman"/>
          <w:b w:val="0"/>
          <w:bCs/>
          <w:color w:val="auto"/>
          <w:sz w:val="32"/>
          <w:szCs w:val="32"/>
          <w:highlight w:val="none"/>
          <w:shd w:val="clear" w:color="auto" w:fill="FFFFFF"/>
        </w:rPr>
      </w:pPr>
      <w:r>
        <w:rPr>
          <w:rStyle w:val="10"/>
          <w:rFonts w:hint="default" w:ascii="Times New Roman" w:hAnsi="Times New Roman" w:eastAsia="方正黑体_GBK" w:cs="Times New Roman"/>
          <w:b w:val="0"/>
          <w:bCs/>
          <w:color w:val="auto"/>
          <w:sz w:val="32"/>
          <w:szCs w:val="32"/>
          <w:highlight w:val="none"/>
          <w:shd w:val="clear" w:color="auto" w:fill="FFFFFF"/>
        </w:rPr>
        <w:t>  七、决算公开联系方式及信息反馈渠道</w:t>
      </w:r>
    </w:p>
    <w:p w14:paraId="3000B640">
      <w:pPr>
        <w:pStyle w:val="6"/>
        <w:keepNext w:val="0"/>
        <w:keepLines w:val="0"/>
        <w:pageBreakBefore w:val="0"/>
        <w:widowControl/>
        <w:shd w:val="clear" w:color="auto" w:fill="FFFFFF"/>
        <w:kinsoku/>
        <w:overflowPunct/>
        <w:autoSpaceDN/>
        <w:bidi w:val="0"/>
        <w:spacing w:beforeAutospacing="0" w:after="0" w:afterAutospacing="0" w:line="560" w:lineRule="exact"/>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fill="FFFFFF"/>
          <w:lang w:eastAsia="zh-CN"/>
        </w:rPr>
        <w:t xml:space="preserve">本单位决算公开信息反馈和联系方式： </w:t>
      </w:r>
      <w:r>
        <w:rPr>
          <w:rFonts w:hint="default" w:ascii="Times New Roman" w:hAnsi="Times New Roman" w:eastAsia="方正仿宋_GBK" w:cs="Times New Roman"/>
          <w:color w:val="auto"/>
          <w:sz w:val="32"/>
          <w:szCs w:val="32"/>
          <w:highlight w:val="none"/>
          <w:shd w:val="clear" w:fill="FFFFFF"/>
          <w:lang w:val="en-US"/>
        </w:rPr>
        <w:t>02373332025</w:t>
      </w:r>
    </w:p>
    <w:p w14:paraId="6542E06C">
      <w:pPr>
        <w:pStyle w:val="11"/>
        <w:keepNext w:val="0"/>
        <w:keepLines w:val="0"/>
        <w:pageBreakBefore w:val="0"/>
        <w:widowControl/>
        <w:kinsoku/>
        <w:overflowPunct/>
        <w:autoSpaceDE w:val="0"/>
        <w:autoSpaceDN/>
        <w:bidi w:val="0"/>
        <w:spacing w:beforeAutospacing="0" w:afterAutospacing="0" w:line="560" w:lineRule="exact"/>
        <w:ind w:firstLine="0" w:firstLineChars="0"/>
        <w:rPr>
          <w:rFonts w:hint="default" w:ascii="Times New Roman" w:hAnsi="Times New Roman" w:eastAsia="方正仿宋_GBK" w:cs="Times New Roman"/>
          <w:color w:val="auto"/>
          <w:sz w:val="32"/>
          <w:szCs w:val="32"/>
          <w:highlight w:val="none"/>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0D25C9BC">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1"/>
          <w:szCs w:val="21"/>
          <w:highlight w:val="none"/>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17AC7EE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03739A9">
            <w:pPr>
              <w:keepNext w:val="0"/>
              <w:keepLines w:val="0"/>
              <w:pageBreakBefore w:val="0"/>
              <w:widowControl/>
              <w:kinsoku/>
              <w:overflowPunct/>
              <w:autoSpaceDN/>
              <w:bidi w:val="0"/>
              <w:spacing w:beforeAutospacing="0" w:afterAutospacing="0" w:line="56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收入支出决算总表</w:t>
            </w:r>
          </w:p>
        </w:tc>
      </w:tr>
      <w:tr w14:paraId="5F442953">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AEFEE6A">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B51DCB5">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20"/>
                <w:szCs w:val="20"/>
                <w:highlight w:val="none"/>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852AF1E">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BBC798E">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公开01表</w:t>
            </w:r>
          </w:p>
        </w:tc>
      </w:tr>
      <w:tr w14:paraId="5A50B05E">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19C0A48">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0"/>
                <w:szCs w:val="20"/>
                <w:highlight w:val="none"/>
              </w:rPr>
              <w:t>公开单位：</w:t>
            </w:r>
            <w:r>
              <w:rPr>
                <w:rFonts w:hint="default" w:ascii="Times New Roman" w:hAnsi="Times New Roman" w:cs="Times New Roman"/>
                <w:color w:val="auto"/>
                <w:sz w:val="20"/>
                <w:highlight w:val="none"/>
                <w:u w:color="auto"/>
              </w:rPr>
              <w:t>重庆市石柱土家族自治县生产力促进中心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2BA720D">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2"/>
                <w:szCs w:val="22"/>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FAAD1FC">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14:paraId="46C2F938">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3BCCF">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3AB4603">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支出</w:t>
            </w:r>
          </w:p>
        </w:tc>
      </w:tr>
      <w:tr w14:paraId="772FD6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6159E">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F0847B">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0BDA95">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829CA2">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r>
      <w:tr w14:paraId="01C0A1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3E1C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3AE2D">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127.37</w:t>
            </w: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1CBDC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96AA9">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87.41</w:t>
            </w:r>
            <w:r>
              <w:rPr>
                <w:rFonts w:hint="default" w:ascii="Times New Roman" w:hAnsi="Times New Roman" w:cs="Times New Roman"/>
                <w:color w:val="auto"/>
                <w:sz w:val="20"/>
                <w:highlight w:val="none"/>
                <w:u w:color="auto"/>
              </w:rPr>
              <w:t xml:space="preserve"> </w:t>
            </w:r>
          </w:p>
        </w:tc>
      </w:tr>
      <w:tr w14:paraId="135D83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9A46B">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D4C16">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74B70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955BA">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72FC77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98A4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6FF8F">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DA11CB">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876B0">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6E8C02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F688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CE6E7">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BE505B">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5A3B5">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8E715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7EE1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16167">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F2D62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8E7A9">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722B1E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C7A4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92892">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32C88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C7A26">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12.67</w:t>
            </w:r>
            <w:r>
              <w:rPr>
                <w:rFonts w:hint="default" w:ascii="Times New Roman" w:hAnsi="Times New Roman" w:cs="Times New Roman"/>
                <w:color w:val="auto"/>
                <w:sz w:val="20"/>
                <w:highlight w:val="none"/>
                <w:u w:color="auto"/>
              </w:rPr>
              <w:t xml:space="preserve"> </w:t>
            </w:r>
          </w:p>
        </w:tc>
      </w:tr>
      <w:tr w14:paraId="0E7D8C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EC0F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6E0E2">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9FF64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3BD06">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C1230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EDF0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7DBD4D4">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DB921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14147">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13.85</w:t>
            </w:r>
            <w:r>
              <w:rPr>
                <w:rFonts w:hint="default" w:ascii="Times New Roman" w:hAnsi="Times New Roman" w:cs="Times New Roman"/>
                <w:color w:val="auto"/>
                <w:sz w:val="20"/>
                <w:highlight w:val="none"/>
                <w:u w:color="auto"/>
              </w:rPr>
              <w:t xml:space="preserve"> </w:t>
            </w:r>
          </w:p>
        </w:tc>
      </w:tr>
      <w:tr w14:paraId="066CB1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75B41">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22CA7D">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B6995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E8C47">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5.77</w:t>
            </w:r>
            <w:r>
              <w:rPr>
                <w:rFonts w:hint="default" w:ascii="Times New Roman" w:hAnsi="Times New Roman" w:cs="Times New Roman"/>
                <w:color w:val="auto"/>
                <w:sz w:val="20"/>
                <w:highlight w:val="none"/>
                <w:u w:color="auto"/>
              </w:rPr>
              <w:t xml:space="preserve"> </w:t>
            </w:r>
          </w:p>
        </w:tc>
      </w:tr>
      <w:tr w14:paraId="5EB230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222D1">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4815B4">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5CE1F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ACD82">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2C886F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309C0">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A5FBE0">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C3A46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695AD">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3F57DC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5DA34">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B7890D">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D0337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3D596">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300B34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82761">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A35F">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2AC23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DBE2D">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7C67B5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840EA">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2C17B">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05C19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EE9B0">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2335B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B70C5">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4C306">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3DA22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5EBF6">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5D017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270F8">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6CC42">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943AC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0E7A9">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3A40A0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FA493">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05750">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C9008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6869B">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085020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83A3F">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FB6E5">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AB144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7D49B">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89232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E505C">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01996">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0710F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EA3A9">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7.67</w:t>
            </w:r>
            <w:r>
              <w:rPr>
                <w:rFonts w:hint="default" w:ascii="Times New Roman" w:hAnsi="Times New Roman" w:cs="Times New Roman"/>
                <w:color w:val="auto"/>
                <w:sz w:val="20"/>
                <w:highlight w:val="none"/>
                <w:u w:color="auto"/>
              </w:rPr>
              <w:t xml:space="preserve"> </w:t>
            </w:r>
          </w:p>
        </w:tc>
      </w:tr>
      <w:tr w14:paraId="563FD8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C3411">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D7A2F">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A678D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A93D4">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8E902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8CDA9">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8AF1E">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F13E3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874C2">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130F3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CC4B0">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E09EE">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F74E8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40606">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DB115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3CE2D">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4BA49">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487B2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29EBC">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EBB5C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71ECC">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C2469">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D221E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DE599">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7CF0A2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3CEAF">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7B6F4">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63D48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7ECAF">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565BC6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3FE4A">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1A794">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16896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115F7">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2E4C58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469A1">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14EA6">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127.37</w:t>
            </w: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551962">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41C73">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127.37</w:t>
            </w:r>
            <w:r>
              <w:rPr>
                <w:rFonts w:hint="default" w:ascii="Times New Roman" w:hAnsi="Times New Roman" w:cs="Times New Roman"/>
                <w:color w:val="auto"/>
                <w:sz w:val="20"/>
                <w:highlight w:val="none"/>
                <w:u w:color="auto"/>
              </w:rPr>
              <w:t xml:space="preserve"> </w:t>
            </w:r>
          </w:p>
        </w:tc>
      </w:tr>
      <w:tr w14:paraId="41F2F43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93D1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AB662">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CF187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5B3B7">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2871A4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479D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DDEAA">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545F3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479FF0A">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51530E60">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EDD60">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5D33">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127.37</w:t>
            </w: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15C094B">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38732">
            <w:pPr>
              <w:keepNext w:val="0"/>
              <w:keepLines w:val="0"/>
              <w:pageBreakBefore w:val="0"/>
              <w:widowControl/>
              <w:kinsoku/>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127.37</w:t>
            </w:r>
            <w:r>
              <w:rPr>
                <w:rFonts w:hint="default" w:ascii="Times New Roman" w:hAnsi="Times New Roman" w:cs="Times New Roman"/>
                <w:color w:val="auto"/>
                <w:sz w:val="20"/>
                <w:highlight w:val="none"/>
                <w:u w:color="auto"/>
              </w:rPr>
              <w:t xml:space="preserve"> </w:t>
            </w:r>
          </w:p>
        </w:tc>
      </w:tr>
    </w:tbl>
    <w:p w14:paraId="0C720B49">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EE9A49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9B4F022">
            <w:pPr>
              <w:keepNext w:val="0"/>
              <w:keepLines w:val="0"/>
              <w:pageBreakBefore w:val="0"/>
              <w:widowControl/>
              <w:kinsoku/>
              <w:overflowPunct/>
              <w:autoSpaceDN/>
              <w:bidi w:val="0"/>
              <w:spacing w:beforeAutospacing="0" w:afterAutospacing="0" w:line="56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收入决算表</w:t>
            </w:r>
          </w:p>
        </w:tc>
      </w:tr>
      <w:tr w14:paraId="1D448D96">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092F764">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公开单位：</w:t>
            </w:r>
            <w:r>
              <w:rPr>
                <w:rFonts w:hint="default" w:ascii="Times New Roman" w:hAnsi="Times New Roman" w:cs="Times New Roman"/>
                <w:color w:val="auto"/>
                <w:sz w:val="20"/>
                <w:highlight w:val="none"/>
                <w:u w:color="auto"/>
              </w:rPr>
              <w:t>重庆市石柱土家族自治县生产力促进中心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2592AC1F">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473F805">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06B5B77">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77BB72F">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3C2C39F">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E720C3D">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3BEA78F">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公开02表</w:t>
            </w:r>
          </w:p>
        </w:tc>
      </w:tr>
      <w:tr w14:paraId="3CDCAB5A">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944B43E">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35147A7">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8F9E2A5">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AFE8B54">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C03738A">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DDFFCDE">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75F62F3">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741E61A">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14:paraId="2B0C388B">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C9F4719">
            <w:pPr>
              <w:keepNext w:val="0"/>
              <w:keepLines w:val="0"/>
              <w:pageBreakBefore w:val="0"/>
              <w:widowControl/>
              <w:kinsoku/>
              <w:overflowPunct/>
              <w:autoSpaceDN/>
              <w:bidi w:val="0"/>
              <w:spacing w:beforeAutospacing="0" w:afterAutospacing="0" w:line="560" w:lineRule="exact"/>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26D21">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46980">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665E8">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CC240C">
            <w:pPr>
              <w:keepNext w:val="0"/>
              <w:keepLines w:val="0"/>
              <w:pageBreakBefore w:val="0"/>
              <w:widowControl/>
              <w:kinsoku/>
              <w:overflowPunct/>
              <w:autoSpaceDN/>
              <w:bidi w:val="0"/>
              <w:spacing w:beforeAutospacing="0" w:afterAutospacing="0" w:line="560" w:lineRule="exact"/>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D62D1">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B521E">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59093C">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其他收入</w:t>
            </w:r>
          </w:p>
        </w:tc>
      </w:tr>
      <w:tr w14:paraId="4C03DA1E">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D2BE8">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3C3527E">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50397">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FAE3B">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1B9B2">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35CA2">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0AF08">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7C5A2">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75CD1">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58407">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r>
      <w:tr w14:paraId="2663815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EB727">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C99332C">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65062">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7D786">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30AADC">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451D9">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FFF07">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0EE1C">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720D5">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ECA476">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r>
      <w:tr w14:paraId="08EE3E2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BE1E1">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6E1BD55">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D1702">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8C96E">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11D3C">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3CD88">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D5A35">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4ADB5">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3A1A8">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09244">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r>
      <w:tr w14:paraId="121501E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F9829">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3EE250E">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65593">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C4588">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6A004">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36383D">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4A888">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10E62">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10368">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65466">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r>
      <w:tr w14:paraId="4DC723CD">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2E75F">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4182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127.37</w:t>
            </w:r>
            <w:r>
              <w:rPr>
                <w:rFonts w:hint="default" w:ascii="Times New Roman" w:hAnsi="Times New Roman" w:cs="Times New Roman"/>
                <w:b/>
                <w:color w:val="auto"/>
                <w:sz w:val="20"/>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2A491">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127.37</w:t>
            </w:r>
            <w:r>
              <w:rPr>
                <w:rFonts w:hint="default" w:ascii="Times New Roman" w:hAnsi="Times New Roman" w:cs="Times New Roman"/>
                <w:b/>
                <w:color w:val="auto"/>
                <w:sz w:val="20"/>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40A2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6041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B564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EE9D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A262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E295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14:paraId="29011E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4771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AD01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4DF5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87.41</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B922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87.41</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86AF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223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9B0F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4E3A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BBCD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294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50F071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B75A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CBFB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587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87.41</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A8A1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87.41</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7A9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39F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91C1">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2F4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77E9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6DCF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A1256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F69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2011350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51B5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761A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87.41</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FE96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87.41</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CC9F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9559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FAEA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F58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71D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4201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5EED5C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709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ABB2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FCA8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12.67</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35B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12.67</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1402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77FF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594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ABA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7FFE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48E6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3038E5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C66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20607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7D01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科学技术普及</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B9D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12.67</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0940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12.67</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754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1D36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170D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FA56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EC7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160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634CC5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EBB0">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2060701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3770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机构运行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6B4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12.67</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E9F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12.67</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2BB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82A3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EB0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D7C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D43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E844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27EE47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224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DAD5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17C8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13.85</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5F9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13.85</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C4D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944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3BB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5728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C48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6D6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1DA28F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23B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3B9D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FD1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13.85</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74CF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13.85</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08A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750E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356E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916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6DD9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3A02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563315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34D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9036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9B09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9.19</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C332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9.19</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3A67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CD2A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FCBA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F6C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BBC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E65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61A911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D3AA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6FDD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0405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4.66</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483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4.66</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E6C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6E7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EA5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831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D79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8C7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0B0E79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6FE8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1992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3E8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5.77</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9586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5.77</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22D8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DB63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5FA9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C263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CA0C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842B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1C97D2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C0A8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4C7A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F25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5.77</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2EB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5.77</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8D6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5AC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8B8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63B8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A79D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93C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0ED356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95B9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11AD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3C8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4.72</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86CA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4.72</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9CF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7354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0A6C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1901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B8CD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C551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6F2973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800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2DF6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628E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1.05</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CB71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1.05</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CAA4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AC4E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EBB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5451">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7917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60B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2067C1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101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F15F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7AF3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7.67</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CDCF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7.67</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E73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EA8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51EA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447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BDC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F39F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632C72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AAF5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C58E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AC5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7.67</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0A5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7.67</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0FA61">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5881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219F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5AC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D10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BD7F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11B34F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CAF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692E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A7A6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7.67</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6F7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7.67</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E811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653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66D1">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510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C8C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AFE4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14:paraId="01DD171D">
      <w:pPr>
        <w:keepNext w:val="0"/>
        <w:keepLines w:val="0"/>
        <w:pageBreakBefore w:val="0"/>
        <w:widowControl/>
        <w:kinsoku/>
        <w:overflowPunct/>
        <w:autoSpaceDN/>
        <w:bidi w:val="0"/>
        <w:spacing w:beforeAutospacing="0" w:afterAutospacing="0" w:line="560" w:lineRule="exact"/>
        <w:ind w:left="600" w:hanging="600" w:hangingChars="300"/>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备注：1.本表反映单位本年度取得的各项收入情况。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14:paraId="383712CF">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4F3426C2">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3146E37">
            <w:pPr>
              <w:keepNext w:val="0"/>
              <w:keepLines w:val="0"/>
              <w:pageBreakBefore w:val="0"/>
              <w:widowControl/>
              <w:kinsoku/>
              <w:overflowPunct/>
              <w:autoSpaceDN/>
              <w:bidi w:val="0"/>
              <w:spacing w:beforeAutospacing="0" w:afterAutospacing="0" w:line="56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支出决算表</w:t>
            </w:r>
          </w:p>
        </w:tc>
      </w:tr>
      <w:tr w14:paraId="15F7D8A6">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F873CD4">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 xml:space="preserve">重庆市石柱土家族自治县生产力促进中心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B09AA07">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A942A18">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3C388B7">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0F95E88">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A02A431">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公开03表</w:t>
            </w:r>
          </w:p>
        </w:tc>
      </w:tr>
      <w:tr w14:paraId="35E02FD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FE04D9C">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BB87DF6">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2A2D845">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A8CE699">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2A71DA9">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19D2F19">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14:paraId="4CD14E6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5C9E13D">
            <w:pPr>
              <w:keepNext w:val="0"/>
              <w:keepLines w:val="0"/>
              <w:pageBreakBefore w:val="0"/>
              <w:widowControl/>
              <w:kinsoku/>
              <w:overflowPunct/>
              <w:autoSpaceDN/>
              <w:bidi w:val="0"/>
              <w:spacing w:beforeAutospacing="0" w:afterAutospacing="0" w:line="560" w:lineRule="exact"/>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E054B">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DFF0C">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89EE5">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33786">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87615">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AD310">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对附属单位补助支出</w:t>
            </w:r>
          </w:p>
        </w:tc>
      </w:tr>
      <w:tr w14:paraId="374C11BE">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9C8AC">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9DC86AD">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BA651">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240A4">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29415">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0C4AC7">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1A772">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0AC8C">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r>
      <w:tr w14:paraId="527DFC9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5EDEF">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224977C">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01732">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5D52E">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F679A">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65BDC">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1D6D0">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80201">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r>
      <w:tr w14:paraId="5C0DE33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962F8">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4E200B9">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E630A">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922AF">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EB6ED">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45B60">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EB5231">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7DD05">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r>
      <w:tr w14:paraId="62A2314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AB617">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8BEF072">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AAD11">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31F6C">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ADF0B">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193D3">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3038B">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41895">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r>
      <w:tr w14:paraId="26F822C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C721B">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87DC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127.37</w:t>
            </w:r>
            <w:r>
              <w:rPr>
                <w:rFonts w:hint="default" w:ascii="Times New Roman" w:hAnsi="Times New Roman" w:cs="Times New Roman"/>
                <w:b/>
                <w:color w:val="auto"/>
                <w:sz w:val="20"/>
                <w:highlight w:val="none"/>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17E6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127.37</w:t>
            </w:r>
            <w:r>
              <w:rPr>
                <w:rFonts w:hint="default" w:ascii="Times New Roman" w:hAnsi="Times New Roman" w:cs="Times New Roman"/>
                <w:b/>
                <w:color w:val="auto"/>
                <w:sz w:val="20"/>
                <w:highlight w:val="none"/>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449E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31D4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2CF4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AB4C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14:paraId="2D98C0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409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4C39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004A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87.41</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6DE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87.41</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060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183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AE4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D0BC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26BCD5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9D3B">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1C96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F728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87.41</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75C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87.41</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9985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6AD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249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AC7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1134F4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524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2011350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6398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89A8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87.41</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692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87.41</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469F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697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E6DC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75D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664171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A69E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1F62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E25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12.67</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402D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12.67</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924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F5A3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618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C71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20769C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EC5EB">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20607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E517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科学技术普及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CEC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12.67</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AB7F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12.67</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E66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4388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E93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D18C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80522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C03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2060701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7AE8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机构运行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2EF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12.67</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4478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12.67</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A21B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1909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5CC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72E8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08EC26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AA2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B1E7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7D7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13.85</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51D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13.85</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E758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ABD1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82D6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FD5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77FB19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91F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C316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689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13.85</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B7A2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13.85</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F62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956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CA3D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7A8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39723B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FCC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3BD2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BCF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9.19</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8ED7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9.19</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B69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76E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6B3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FFA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1A4A86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37EE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7C680">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BF6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4.66</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6F7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4.66</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9AC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CC5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CCE1">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BD0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7AA801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B673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073B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62A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5.77</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535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5.77</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6636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9BB2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87F7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873B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E5C12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EA46B">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A75C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DC4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5.77</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918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5.77</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E84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DAF3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CFB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7C35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5D8110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663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CC59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375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4.72</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4955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4.72</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807A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BB5A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1755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0BB4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61E839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041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F952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29A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1.05</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D55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1.05</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E28F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A0D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A8CE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3269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370A2D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3A60">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CE3B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370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7.67</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AD22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7.67</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9FE31">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5A9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931A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1234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198AEB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98AB">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6A0A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395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7.67</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C83D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7.67</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8EED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C1AC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F8F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37A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0BFBD2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3224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BCFD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4BF6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7.67</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D11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7.67</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AED7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B3A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B2C3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BF3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14:paraId="63F1CDD2">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备注：1.本表反映单位本年度各项支出情况。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14:paraId="018500D7">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p w14:paraId="7815137F">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1"/>
          <w:szCs w:val="21"/>
          <w:highlight w:val="none"/>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1AD5E4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221F180">
            <w:pPr>
              <w:keepNext w:val="0"/>
              <w:keepLines w:val="0"/>
              <w:pageBreakBefore w:val="0"/>
              <w:widowControl/>
              <w:kinsoku/>
              <w:overflowPunct/>
              <w:autoSpaceDN/>
              <w:bidi w:val="0"/>
              <w:spacing w:beforeAutospacing="0" w:afterAutospacing="0" w:line="56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财政拨款收入支出决算总表</w:t>
            </w:r>
          </w:p>
        </w:tc>
      </w:tr>
      <w:tr w14:paraId="0453B0C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EDBCED2">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重庆市石柱土家族自治县生产力促进中心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4B81289E">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8485639">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CFC557E">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9901D4F">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公开04表</w:t>
            </w:r>
          </w:p>
        </w:tc>
      </w:tr>
      <w:tr w14:paraId="4306C81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18005FB">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2C8401F">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D34825">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4FAFFB">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D8BF9AC">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14:paraId="55298C85">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2BC88">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3C332">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支     出</w:t>
            </w:r>
          </w:p>
        </w:tc>
      </w:tr>
      <w:tr w14:paraId="00536E9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60033">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7A544">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26CCEA">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F1B2DD">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r>
      <w:tr w14:paraId="32CB2E9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10804">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18"/>
                <w:szCs w:val="18"/>
                <w:highlight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03793">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18"/>
                <w:szCs w:val="18"/>
                <w:highlight w:val="none"/>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C01347">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2CB5D">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034A8">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50436">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8632B">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国有资本经营预算财政拨款</w:t>
            </w:r>
          </w:p>
        </w:tc>
      </w:tr>
      <w:tr w14:paraId="159800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56A8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8BA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127.37</w:t>
            </w: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295F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4AD7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87.41</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E90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87.41</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496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E66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26EA1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8AFA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D78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D406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9539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9832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DEE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F76D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45D81B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DBCB0">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6768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2B60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A50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7AA7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A26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5BC1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3B0E7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689E8">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0470E8">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BBA2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97B6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62A1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D31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6563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A08F4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5382F">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072DA0">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88A4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F41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14F9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1921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E3D51">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090E0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446A2">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D4C177">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34830">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D0B8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12.67</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D31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12.67</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CA9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C38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D0C7E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176F8">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19093A">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AC0F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172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555A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EB5B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28AE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A8C8B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C500D">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4CE6C9">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DCE8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33B1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13.85</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F86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13.85</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36F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1CB2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621BA0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49593">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5B8FC6">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D2E6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E6E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5.77</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A49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5.77</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5ED9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90F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0428AC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01861">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4568">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20F0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1CF8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84E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ACB3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1B8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725368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5861C">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CEDC6">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6D5B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815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0DB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438D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BA6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8DD71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EA3F3">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31355">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753C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FF76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129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896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7E30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3604BE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FF65D">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71A3A">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FC17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33C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A55B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DD29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4589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669486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18E4C">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D7A3">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37BB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2AD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142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6B25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D1821">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EE1BF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7BF11">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4CE5">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E09F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5C70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FE9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B87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413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5CB0EA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D7905">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C43A">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338C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E27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E52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4AE61">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AC29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0A7667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08C9A">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6233">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06F8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981C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724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E02B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935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69386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62409">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5E17">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89D9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D0B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4C5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48B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BE1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8A2C0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73F3C">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DEA04">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C8F2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DB2D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7.67</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5D5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7.67</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705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58A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4D2D4B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2ADF7">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9DD0E">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5ABA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5736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36D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143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B1E3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05EAE3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DA1B5">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1499">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AC99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3E2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72C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4C2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A4F1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7168B6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41FDD">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BBF1">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59C8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4B1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5ABB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B6A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5480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73B3DE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FF3EF">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187B0">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8323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0E0A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26F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BAA8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756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56C84B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3E61A9">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6CFA">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7325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5F94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55B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92A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C76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FFCE5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86EBD2">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53F4">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BD30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97D6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F9CB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B61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7296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374364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48E479">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DE77D">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A33E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11FA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2286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C889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681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6F78A6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4BCE5">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3D88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127.37</w:t>
            </w: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9C67A">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7AFA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127.37</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9308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127.37</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BA1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021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44798B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6C81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097B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D48E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6402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01F61">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72451">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2BC31">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371D89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246E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13E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083248D">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8CC85B">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CB29D1">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93A2CA">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633044">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r>
      <w:tr w14:paraId="77B2FB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4AF0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97A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E0A68">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45F4">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2BF5F">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363F1">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9454">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r>
      <w:tr w14:paraId="0BF1C4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1A90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215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EDEF3">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10A08">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A79B">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8747E">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429B">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r>
      <w:tr w14:paraId="753FCB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2E310">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442B1">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127.37</w:t>
            </w: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BD107">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67C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127.37</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C64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127.37</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4CF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88A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bl>
    <w:p w14:paraId="0B8F66A3">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5F405DB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BC8707F">
            <w:pPr>
              <w:keepNext w:val="0"/>
              <w:keepLines w:val="0"/>
              <w:pageBreakBefore w:val="0"/>
              <w:widowControl/>
              <w:kinsoku/>
              <w:overflowPunct/>
              <w:autoSpaceDN/>
              <w:bidi w:val="0"/>
              <w:spacing w:beforeAutospacing="0" w:afterAutospacing="0" w:line="56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一般公共预算财政拨款支出决算表</w:t>
            </w:r>
          </w:p>
        </w:tc>
      </w:tr>
      <w:tr w14:paraId="0B337252">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AD6A48A">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重庆市石柱土家族自治县生产力促进中心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FE73943">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4E56792">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公开05表</w:t>
            </w:r>
          </w:p>
        </w:tc>
      </w:tr>
      <w:tr w14:paraId="58F238A2">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65F9EE0">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1F59AED">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BA9368E">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14:paraId="36B0AD52">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D5558">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C9F0BC">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14:paraId="112A32EF">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A2330">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247BE8">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A52E7D">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C90267">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B31833">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14:paraId="0786610B">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FB2AC">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BE18D9">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C34812">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F5AC2F">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FAAD10">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r>
      <w:tr w14:paraId="7AD7334B">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BC3E0">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36A7BB">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B6F90C">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6DEF79">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7924E3">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r>
      <w:tr w14:paraId="1C0F9E33">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B56AD">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7216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127.37</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1F1B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127.37</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A944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14:paraId="109698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FB80">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34AD0">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8A52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87.41</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A219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87.41</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780B1">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169353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0114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9428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3E00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87.41</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B87B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87.41</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1C35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5F3DBC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376A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2011350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36F5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53C1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87.41</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EA23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87.41</w:t>
            </w: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EDBE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48352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CC990">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55B7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9F67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12.67</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2665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12.67</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0B41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2A3518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42C5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20607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B3C6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科学技术普及</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715F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12.67</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18A3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12.67</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B0C4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5B1B5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270B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2060701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AACA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机构运行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9DEB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12.67</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6688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12.67</w:t>
            </w: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BA8C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287F1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C43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089F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CB4F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13.85</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0A51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13.85</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5E281">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7A4D70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E50E0">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5E20B">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B78E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13.85</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2FF6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13.85</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9628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0591E8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949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5853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34EB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9.19</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690F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9.19</w:t>
            </w: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0C5D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08BA23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634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9CE5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2EB6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4.66</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A0C2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4.66</w:t>
            </w: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854A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07044B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B7A5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C7E2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665E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5.77</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0A2C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5.77</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ECF8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2EEEF7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1FF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D13E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E7DF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5.77</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643C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5.77</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89F2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69A6AF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AB6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5B2D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FE6A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4.72</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60E4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4.72</w:t>
            </w: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C54B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1DEB9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05F2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D1A8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D80B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1.05</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E139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1.05</w:t>
            </w: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2D38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24E3BC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570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2109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9C56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7.67</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05B4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7.67</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28C4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2C8DA3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8F9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694F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D0E1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7.67</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ECF2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7.67</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E25C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71059E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8461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E857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CFEE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7.67</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9462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7.67</w:t>
            </w: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F867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bl>
    <w:p w14:paraId="28608E97">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备注：1.本表反映单位本年度一般公共预算财政拨款支出情况。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14:paraId="1D539EC5">
      <w:pPr>
        <w:keepNext w:val="0"/>
        <w:keepLines w:val="0"/>
        <w:pageBreakBefore w:val="0"/>
        <w:widowControl/>
        <w:kinsoku/>
        <w:overflowPunct/>
        <w:autoSpaceDN/>
        <w:bidi w:val="0"/>
        <w:spacing w:beforeAutospacing="0" w:afterAutospacing="0" w:line="560" w:lineRule="exact"/>
        <w:ind w:firstLine="630" w:firstLineChars="3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C262CD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CFC9C83">
            <w:pPr>
              <w:keepNext w:val="0"/>
              <w:keepLines w:val="0"/>
              <w:pageBreakBefore w:val="0"/>
              <w:widowControl/>
              <w:kinsoku/>
              <w:overflowPunct/>
              <w:autoSpaceDN/>
              <w:bidi w:val="0"/>
              <w:spacing w:beforeAutospacing="0" w:afterAutospacing="0" w:line="56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一般公共预算财政拨款基本支出决算表</w:t>
            </w:r>
          </w:p>
        </w:tc>
      </w:tr>
      <w:tr w14:paraId="0AF1258E">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AE064DC">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重庆市石柱土家族自治县生产力促进中心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77C96C9E">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DEAB914">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3D9545E">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B875DC2">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BE72A72">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公开06表</w:t>
            </w:r>
          </w:p>
        </w:tc>
      </w:tr>
      <w:tr w14:paraId="6A229EFC">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30493C6">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A97D0BE">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EA8569A">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2D244C2">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0317712">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931E873">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14:paraId="68F2EB06">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784C7">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EB0BA33">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w:t>
            </w:r>
          </w:p>
        </w:tc>
      </w:tr>
      <w:tr w14:paraId="3935797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4286B">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C1745A">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1DF812">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DBC5E">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432DDC">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347A9F">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3E211">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D676AE">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88DF44">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r>
      <w:tr w14:paraId="78151929">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D5992">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18"/>
                <w:szCs w:val="18"/>
                <w:highlight w:val="none"/>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840A40">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18"/>
                <w:szCs w:val="18"/>
                <w:highlight w:val="none"/>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172EAD">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18"/>
                <w:szCs w:val="18"/>
                <w:highlight w:val="none"/>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5CBEA">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18"/>
                <w:szCs w:val="18"/>
                <w:highlight w:val="none"/>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CEF417">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18"/>
                <w:szCs w:val="18"/>
                <w:highlight w:val="none"/>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5CFA6D">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18"/>
                <w:szCs w:val="18"/>
                <w:highlight w:val="none"/>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F42441">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18"/>
                <w:szCs w:val="18"/>
                <w:highlight w:val="none"/>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23D64E">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18"/>
                <w:szCs w:val="18"/>
                <w:highlight w:val="none"/>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B641BC">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18"/>
                <w:szCs w:val="18"/>
                <w:highlight w:val="none"/>
              </w:rPr>
            </w:pPr>
          </w:p>
        </w:tc>
      </w:tr>
      <w:tr w14:paraId="30F430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FBE9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A807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BCE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114.50</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7F88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5902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F15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12.87</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41CA0">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6A6C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3F95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F4038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1370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E068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30C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26.98</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8141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4582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966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0.26</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E864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030B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D52E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08845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8688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1F87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C436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4.68</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7F36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8F6E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A717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2ECB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2EAC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252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0B9D1D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ADE6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0116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D44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649F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BA6C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D745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6516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BC5E0">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6EC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49CFA7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38A7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F68C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AEB9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1B96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40C9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F5C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CD12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AE2A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C4B7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7D4B52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726A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C5670">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03DD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54.81</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5EDD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1395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393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0.02</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210D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4385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C1BC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32FA1B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21EE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7E44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A38B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9.19</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BBB2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3992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069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0.06</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92D6B">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E3EB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1D1F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EB3DF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C97C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55B1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2444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4.66</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FA4A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A8EB0">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5726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0.58</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DFA9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C284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D566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6FB9F8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2BBE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C035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E1A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4.96</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F4D0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B63D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8A8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3634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FB63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D01E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9D29D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0E6C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2F7D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E5C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2791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674F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6E1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BDC0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CE2FB">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19B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54F571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67A4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8364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52FC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0.51</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7E73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497A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D6F71">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4.81</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3729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4194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4760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66AD2A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2D36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633C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E8D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7.67</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6178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882D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23A2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1F98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8F0E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D8D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BCD46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B889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A8A5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BBFE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1.05</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5EFA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0439B">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FA31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59DC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A649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9D7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64195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F0B4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DF95B">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F90A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CC1A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B580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7B5F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1C15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F08C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0CB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6B6804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7F3D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78DE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8DB8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056F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ED5B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A780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90CD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86E7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19BC">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393815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990FB">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6CBA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9D6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C7BC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3066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DDB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0.11</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8AA7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0046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447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4AA49B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DF81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FDA3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7921">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AAC1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DC73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61A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5878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1F89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60C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37A34D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5A8AB">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78E7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4BE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51C1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DC10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F9B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2A37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CF9D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7FEE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6DB06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85AA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A5D5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DEA9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0C9A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D422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99E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48FBB">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25CA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1A54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5F8BD5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9678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21AA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DB9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DEB4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F321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48A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291BB">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99C8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1A1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9DAFC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217E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0E8D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D7A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0095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281B0">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786B">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1.86</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9724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2676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83F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DA52F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F728B">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E1CB0">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88F1">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11EC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DF3E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C727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F118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DFE8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41AF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4C4DE6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66A9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018A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E873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1E97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DF8C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D76B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3.09</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B31F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880C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E08AA">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40C41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F7E4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1448B">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FB51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4F78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7E3F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501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1FED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370F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1141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B22A2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3760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51B3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09AD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F39D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8F09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4A7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FD16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4E44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C33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A26C1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9CDE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F99C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174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D003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ECD0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E9C4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AD18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86F7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782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49EF9A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62040">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2C0C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F69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DB35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C502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3B84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2E79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62AB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4DC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60655F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6F2A7">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1F5D8">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04CF09">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7AA8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7F8B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AB48">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2.07</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77A4B">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5A57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6C046">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07C87F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43BB9">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E2154">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D2A797">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7608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A9ED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EC75">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64E4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D590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672F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0A2E2D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EE05A">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D9998">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CCD050">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ADCE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CC3E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41E6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1E084">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09A2E">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ABC0">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r>
      <w:tr w14:paraId="6BA33D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A36B4">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801AE">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F565D3">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C964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C168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A7D8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2BD97">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8C022">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0E6A">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r>
      <w:tr w14:paraId="73EF04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3197E">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2371D">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E971CC">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3A6D0">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1501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0DC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FB07E">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7703F">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120B">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r>
      <w:tr w14:paraId="3D915C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EF0A8">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D90F2">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28462A">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913CB">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51AB0">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3DD3">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B2EEE">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51F21">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37121">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8"/>
                <w:szCs w:val="18"/>
                <w:highlight w:val="none"/>
              </w:rPr>
            </w:pPr>
          </w:p>
        </w:tc>
      </w:tr>
      <w:tr w14:paraId="4B43D838">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B0308">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4CA533">
            <w:pPr>
              <w:keepNext w:val="0"/>
              <w:keepLines w:val="0"/>
              <w:pageBreakBefore w:val="0"/>
              <w:widowControl/>
              <w:kinsoku/>
              <w:wordWrap w:val="0"/>
              <w:overflowPunct/>
              <w:autoSpaceDN/>
              <w:bidi w:val="0"/>
              <w:spacing w:beforeAutospacing="0" w:afterAutospacing="0" w:line="560" w:lineRule="exact"/>
              <w:jc w:val="right"/>
              <w:textAlignment w:val="bottom"/>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114.50</w:t>
            </w:r>
            <w:r>
              <w:rPr>
                <w:rFonts w:hint="default" w:ascii="Times New Roman" w:hAnsi="Times New Roman" w:cs="Times New Roman"/>
                <w:color w:val="auto"/>
                <w:sz w:val="18"/>
                <w:highlight w:val="none"/>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395116">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B6120">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12.87</w:t>
            </w:r>
            <w:r>
              <w:rPr>
                <w:rFonts w:hint="default" w:ascii="Times New Roman" w:hAnsi="Times New Roman" w:cs="Times New Roman"/>
                <w:color w:val="auto"/>
                <w:sz w:val="18"/>
                <w:highlight w:val="none"/>
                <w:u w:color="auto"/>
              </w:rPr>
              <w:t xml:space="preserve"> </w:t>
            </w:r>
          </w:p>
        </w:tc>
      </w:tr>
    </w:tbl>
    <w:p w14:paraId="756E42D5">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备注：1.本表反映单位本年度一般公共预算财政拨款基本支出明细情况。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738B474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AF8E00E">
            <w:pPr>
              <w:keepNext w:val="0"/>
              <w:keepLines w:val="0"/>
              <w:pageBreakBefore w:val="0"/>
              <w:widowControl/>
              <w:kinsoku/>
              <w:overflowPunct/>
              <w:autoSpaceDN/>
              <w:bidi w:val="0"/>
              <w:spacing w:beforeAutospacing="0" w:afterAutospacing="0" w:line="56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政府性基金预算财政拨款收入支出决算表</w:t>
            </w:r>
          </w:p>
        </w:tc>
      </w:tr>
      <w:tr w14:paraId="7777C064">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4B54BD9">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重庆市石柱土家族自治县生产力促进中心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2080259">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3008673">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49FDA5D">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9E1F218">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F8AAB36">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公开07表</w:t>
            </w:r>
          </w:p>
        </w:tc>
      </w:tr>
      <w:tr w14:paraId="433DEB3A">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6455131">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5981530">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8D90186">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3A8E96A">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F9CA6BE">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EF31C46">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14:paraId="3EFCCCCE">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1E5CA">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7C3EBA">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10EC2">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AB4BA3">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480030">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年末结转和结余</w:t>
            </w:r>
          </w:p>
        </w:tc>
      </w:tr>
      <w:tr w14:paraId="1FFF24F0">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E001B">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B1ECB">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8C6E3F">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873FF">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794799">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376FA6">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DDE5DA">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FAAC5">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r>
      <w:tr w14:paraId="07BA04B0">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09364">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44A3D">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01B193">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98AB35">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F057CA">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F44A93">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E33E27">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DE827">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r>
      <w:tr w14:paraId="3A40473B">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6C8A6">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26778">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8AEAF50">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41DD0">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915B9D">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315C30">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E82CCB">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89C7C">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r>
      <w:tr w14:paraId="4E97C579">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A49BE">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DC372">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6D8BE">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0EF7F">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A1AF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87C8D">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16824">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bl>
    <w:p w14:paraId="49F3DBC7">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备注：本表反映单位本年度政府性基金预算财政拨款收入支出及结转和结余情况。本单位无政府性基金收支，故本表无数据。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14:paraId="01F27B8C">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18E8D27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B2E782E">
            <w:pPr>
              <w:keepNext w:val="0"/>
              <w:keepLines w:val="0"/>
              <w:pageBreakBefore w:val="0"/>
              <w:widowControl/>
              <w:kinsoku/>
              <w:overflowPunct/>
              <w:autoSpaceDN/>
              <w:bidi w:val="0"/>
              <w:spacing w:beforeAutospacing="0" w:afterAutospacing="0" w:line="56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国有资本经营预算财政拨款支出决算表</w:t>
            </w:r>
          </w:p>
        </w:tc>
      </w:tr>
      <w:tr w14:paraId="1B7496EE">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A5B077B">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重庆市石柱土家族自治县生产力促进中心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64DFEB4">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4F768E5">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公开08表</w:t>
            </w:r>
          </w:p>
        </w:tc>
      </w:tr>
      <w:tr w14:paraId="0D88D932">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5B9441A">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65FF818">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3A04506">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14:paraId="1D85C30E">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2AC0FE">
            <w:pPr>
              <w:keepNext w:val="0"/>
              <w:keepLines w:val="0"/>
              <w:pageBreakBefore w:val="0"/>
              <w:widowControl/>
              <w:kinsoku/>
              <w:overflowPunct/>
              <w:autoSpaceDN/>
              <w:bidi w:val="0"/>
              <w:spacing w:beforeAutospacing="0" w:afterAutospacing="0" w:line="560" w:lineRule="exact"/>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D5B3AD">
            <w:pPr>
              <w:keepNext w:val="0"/>
              <w:keepLines w:val="0"/>
              <w:pageBreakBefore w:val="0"/>
              <w:widowControl/>
              <w:kinsoku/>
              <w:overflowPunct/>
              <w:autoSpaceDN/>
              <w:bidi w:val="0"/>
              <w:spacing w:beforeAutospacing="0" w:afterAutospacing="0" w:line="560" w:lineRule="exact"/>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14:paraId="7500F837">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5CB65">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975BA4">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E0BF9">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357CE7">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7E2E5B">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14:paraId="13AA0C9B">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F6B9C">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8142EC">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72610">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84AD71">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1D232A">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r>
      <w:tr w14:paraId="63DBDBF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FAA4D8">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666D24">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1F237">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4A9AE3">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B5CE74">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r>
      <w:tr w14:paraId="4BA69B9F">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2D21B">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656DCD">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424BD">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267D99">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AAD2EC">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b/>
                <w:color w:val="auto"/>
                <w:sz w:val="20"/>
                <w:szCs w:val="20"/>
                <w:highlight w:val="none"/>
              </w:rPr>
            </w:pPr>
          </w:p>
        </w:tc>
      </w:tr>
      <w:tr w14:paraId="5B29DFC9">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4018E">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4E297">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EC009">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b/>
                <w:color w:val="auto"/>
                <w:sz w:val="20"/>
                <w:szCs w:val="20"/>
                <w:highlight w:val="none"/>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2BCC9">
            <w:pPr>
              <w:keepNext w:val="0"/>
              <w:keepLines w:val="0"/>
              <w:pageBreakBefore w:val="0"/>
              <w:widowControl/>
              <w:kinsoku/>
              <w:wordWrap w:val="0"/>
              <w:overflowPunct/>
              <w:autoSpaceDN/>
              <w:bidi w:val="0"/>
              <w:spacing w:beforeAutospacing="0" w:afterAutospacing="0" w:line="560" w:lineRule="exact"/>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bl>
    <w:p w14:paraId="03687611">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备注：本表反映单位本年度国有资本经营预算财政拨款支出情况。本单位无国有资本经营收支，故本表无数据。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18194BFE">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FA7748C">
            <w:pPr>
              <w:keepNext w:val="0"/>
              <w:keepLines w:val="0"/>
              <w:pageBreakBefore w:val="0"/>
              <w:widowControl/>
              <w:kinsoku/>
              <w:overflowPunct/>
              <w:autoSpaceDN/>
              <w:bidi w:val="0"/>
              <w:spacing w:beforeAutospacing="0" w:afterAutospacing="0" w:line="56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机构运行信息表</w:t>
            </w:r>
          </w:p>
        </w:tc>
      </w:tr>
      <w:tr w14:paraId="534BD8AF">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2D7C613B">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266D6776">
            <w:pPr>
              <w:keepNext w:val="0"/>
              <w:keepLines w:val="0"/>
              <w:pageBreakBefore w:val="0"/>
              <w:widowControl/>
              <w:kinsoku/>
              <w:overflowPunct/>
              <w:autoSpaceDN/>
              <w:bidi w:val="0"/>
              <w:spacing w:beforeAutospacing="0" w:afterAutospacing="0" w:line="560" w:lineRule="exact"/>
              <w:jc w:val="center"/>
              <w:rPr>
                <w:rFonts w:hint="default" w:ascii="Times New Roman" w:hAnsi="Times New Roman" w:cs="Times New Roman"/>
                <w:color w:val="auto"/>
                <w:sz w:val="20"/>
                <w:szCs w:val="20"/>
                <w:highlight w:val="none"/>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112E907">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20"/>
                <w:szCs w:val="20"/>
                <w:highlight w:val="none"/>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6BD53FC">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44E5723D">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公开09表</w:t>
            </w:r>
          </w:p>
        </w:tc>
      </w:tr>
      <w:tr w14:paraId="53A24166">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250DC4B">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重庆市石柱土家族自治县生产力促进中心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7D59A694">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20"/>
                <w:szCs w:val="20"/>
                <w:highlight w:val="none"/>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345449E">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0"/>
                <w:szCs w:val="20"/>
                <w:highlight w:val="none"/>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0412B22C">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14:paraId="391A39D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0C5A9F">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6"/>
                <w:szCs w:val="16"/>
                <w:highlight w:val="none"/>
              </w:rPr>
            </w:pPr>
            <w:r>
              <w:rPr>
                <w:rFonts w:hint="default" w:ascii="Times New Roman" w:hAnsi="Times New Roman" w:cs="Times New Roman"/>
                <w:b/>
                <w:color w:val="auto"/>
                <w:sz w:val="16"/>
                <w:szCs w:val="16"/>
                <w:highlight w:val="none"/>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2A3FAC">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6"/>
                <w:szCs w:val="16"/>
                <w:highlight w:val="none"/>
              </w:rPr>
            </w:pPr>
            <w:r>
              <w:rPr>
                <w:rFonts w:hint="default" w:ascii="Times New Roman" w:hAnsi="Times New Roman" w:cs="Times New Roman"/>
                <w:b/>
                <w:color w:val="auto"/>
                <w:sz w:val="16"/>
                <w:szCs w:val="16"/>
                <w:highlight w:val="none"/>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046401">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6"/>
                <w:szCs w:val="16"/>
                <w:highlight w:val="none"/>
              </w:rPr>
            </w:pPr>
            <w:r>
              <w:rPr>
                <w:rFonts w:hint="default" w:ascii="Times New Roman" w:hAnsi="Times New Roman" w:cs="Times New Roman"/>
                <w:b/>
                <w:color w:val="auto"/>
                <w:sz w:val="16"/>
                <w:szCs w:val="16"/>
                <w:highlight w:val="none"/>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084407">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6"/>
                <w:szCs w:val="16"/>
                <w:highlight w:val="none"/>
              </w:rPr>
            </w:pPr>
            <w:r>
              <w:rPr>
                <w:rFonts w:hint="default" w:ascii="Times New Roman" w:hAnsi="Times New Roman" w:cs="Times New Roman"/>
                <w:b/>
                <w:color w:val="auto"/>
                <w:sz w:val="16"/>
                <w:szCs w:val="16"/>
                <w:highlight w:val="none"/>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640C21">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b/>
                <w:color w:val="auto"/>
                <w:sz w:val="16"/>
                <w:szCs w:val="16"/>
                <w:highlight w:val="none"/>
              </w:rPr>
            </w:pPr>
            <w:r>
              <w:rPr>
                <w:rFonts w:hint="default" w:ascii="Times New Roman" w:hAnsi="Times New Roman" w:cs="Times New Roman"/>
                <w:b/>
                <w:color w:val="auto"/>
                <w:sz w:val="16"/>
                <w:szCs w:val="16"/>
                <w:highlight w:val="none"/>
              </w:rPr>
              <w:t>决算数</w:t>
            </w:r>
          </w:p>
        </w:tc>
      </w:tr>
      <w:tr w14:paraId="62EA9DE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D21F8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F9377">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FF70E6">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2A4A4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B6854E">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6E39C9A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170F2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A2CD9F">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F3543">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4894D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1672A8">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3ABE0D2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43266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F3D14A">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95679A">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63034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72F3F3">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387221D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2C5E8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C46605">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A09609">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B3803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99CBD8">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r>
      <w:tr w14:paraId="3969DFB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9C7EC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CDFAF3">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10B2F7">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B9C0D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F021AD">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w:t>
            </w:r>
          </w:p>
        </w:tc>
      </w:tr>
      <w:tr w14:paraId="0CE12C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B13C4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663C8B">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DA9764">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8C4EA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9345ED">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50B5667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ABEF6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6122A7">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441F33">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D77EB6">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44E678">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3CF278B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81883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F9788">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E175D3">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1CBF8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CB0277">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7A91BCC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55DE3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27BFBF">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16D334">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C2B60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CF89D8">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7DB37B7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4489F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A4B65F">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8F2D5C">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910D8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9BC73F">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430C2C9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5D7E4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AC72C6">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A314BB">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5E21B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E0A95B">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77797CF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17682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32A3BF">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A018582">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A4230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51CDAF">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0BF657A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1A943E">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4BA708">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27DFC32">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BB29E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B050CF">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70DF3A3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687205">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3D2E55">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37B4CE">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767BF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D2F0FE">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19F0E55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7E2F47">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48484F">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62511F">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BCBACA">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AD4C6A">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r>
      <w:tr w14:paraId="12615E5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912E7C">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CB8F63">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A84FBD">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9D17A8">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FB1EA0">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3C478E9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2C10E1">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5A99CC">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88C9C73">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067374">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32426F">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0F7D6CE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ACB1F8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6FAA3C">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B9F128">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4029F0">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F012B5">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4BD95D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70EC1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46B721">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761056">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8B24F3">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C6A61E">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29C9F65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80A37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19F78B">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8E9EC7">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EFCB5F">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2574FD">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65D8030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029E5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6B318">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034D2F">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BE3A1D">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D03099">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55DB445B">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562E22">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2A6F15">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82D37E">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54E129">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6"/>
                <w:szCs w:val="16"/>
                <w:highlight w:val="none"/>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F3636E">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6"/>
                <w:szCs w:val="16"/>
                <w:highlight w:val="none"/>
              </w:rPr>
            </w:pPr>
          </w:p>
        </w:tc>
      </w:tr>
      <w:tr w14:paraId="5952D528">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9D8FB9">
            <w:pPr>
              <w:keepNext w:val="0"/>
              <w:keepLines w:val="0"/>
              <w:pageBreakBefore w:val="0"/>
              <w:widowControl/>
              <w:kinsoku/>
              <w:overflowPunct/>
              <w:autoSpaceDN/>
              <w:bidi w:val="0"/>
              <w:spacing w:beforeAutospacing="0" w:afterAutospacing="0" w:line="56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2F2907">
            <w:pPr>
              <w:keepNext w:val="0"/>
              <w:keepLines w:val="0"/>
              <w:pageBreakBefore w:val="0"/>
              <w:widowControl/>
              <w:kinsoku/>
              <w:overflowPunct/>
              <w:autoSpaceDN/>
              <w:bidi w:val="0"/>
              <w:spacing w:beforeAutospacing="0" w:afterAutospacing="0" w:line="56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13A658">
            <w:pPr>
              <w:keepNext w:val="0"/>
              <w:keepLines w:val="0"/>
              <w:pageBreakBefore w:val="0"/>
              <w:widowControl/>
              <w:kinsoku/>
              <w:overflowPunct/>
              <w:autoSpaceDN/>
              <w:bidi w:val="0"/>
              <w:spacing w:beforeAutospacing="0" w:afterAutospacing="0" w:line="56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0.11</w:t>
            </w: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73FC53">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16"/>
                <w:szCs w:val="16"/>
                <w:highlight w:val="none"/>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7FBDE6">
            <w:pPr>
              <w:keepNext w:val="0"/>
              <w:keepLines w:val="0"/>
              <w:pageBreakBefore w:val="0"/>
              <w:widowControl/>
              <w:kinsoku/>
              <w:overflowPunct/>
              <w:autoSpaceDN/>
              <w:bidi w:val="0"/>
              <w:spacing w:beforeAutospacing="0" w:afterAutospacing="0" w:line="560" w:lineRule="exact"/>
              <w:jc w:val="right"/>
              <w:rPr>
                <w:rFonts w:hint="default" w:ascii="Times New Roman" w:hAnsi="Times New Roman" w:cs="Times New Roman"/>
                <w:color w:val="auto"/>
                <w:sz w:val="16"/>
                <w:szCs w:val="16"/>
                <w:highlight w:val="none"/>
              </w:rPr>
            </w:pPr>
          </w:p>
        </w:tc>
      </w:tr>
    </w:tbl>
    <w:p w14:paraId="7DAF0230">
      <w:pPr>
        <w:keepNext w:val="0"/>
        <w:keepLines w:val="0"/>
        <w:pageBreakBefore w:val="0"/>
        <w:widowControl/>
        <w:kinsoku/>
        <w:overflowPunct/>
        <w:autoSpaceDN/>
        <w:bidi w:val="0"/>
        <w:spacing w:beforeAutospacing="0" w:afterAutospacing="0" w:line="5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2F6AF">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B4281F1">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98AD7">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B3870D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FB3607C">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BC943">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NiYjNmYjU2NWNkN2MyN2QyMjk5ZDAzZjRiMWQzZWU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063FE"/>
    <w:rsid w:val="01474EBF"/>
    <w:rsid w:val="01F3521E"/>
    <w:rsid w:val="03B87EA0"/>
    <w:rsid w:val="03E3214F"/>
    <w:rsid w:val="044C50BA"/>
    <w:rsid w:val="05BC6D49"/>
    <w:rsid w:val="06194FF1"/>
    <w:rsid w:val="064F2C3F"/>
    <w:rsid w:val="06A2550B"/>
    <w:rsid w:val="06F80EE2"/>
    <w:rsid w:val="07001CCA"/>
    <w:rsid w:val="075678DB"/>
    <w:rsid w:val="07632E46"/>
    <w:rsid w:val="079D7CC7"/>
    <w:rsid w:val="08051BCA"/>
    <w:rsid w:val="086C12F4"/>
    <w:rsid w:val="08705944"/>
    <w:rsid w:val="08BA052C"/>
    <w:rsid w:val="08DB07BA"/>
    <w:rsid w:val="0969353F"/>
    <w:rsid w:val="098305D0"/>
    <w:rsid w:val="0A3317EA"/>
    <w:rsid w:val="0A5C4B69"/>
    <w:rsid w:val="0A86124A"/>
    <w:rsid w:val="0AB54CC0"/>
    <w:rsid w:val="0B9335CE"/>
    <w:rsid w:val="0BB377CC"/>
    <w:rsid w:val="0BF2311A"/>
    <w:rsid w:val="0C1666D9"/>
    <w:rsid w:val="0C7927C4"/>
    <w:rsid w:val="0C9B098C"/>
    <w:rsid w:val="0D673E11"/>
    <w:rsid w:val="0DBC6E0C"/>
    <w:rsid w:val="0DDA54E4"/>
    <w:rsid w:val="0DFA5954"/>
    <w:rsid w:val="0E3A5F83"/>
    <w:rsid w:val="0F3A0223"/>
    <w:rsid w:val="0F836721"/>
    <w:rsid w:val="0FA25D96"/>
    <w:rsid w:val="107B59E5"/>
    <w:rsid w:val="10B63FE7"/>
    <w:rsid w:val="10EC0126"/>
    <w:rsid w:val="10F36FE9"/>
    <w:rsid w:val="10F70B9A"/>
    <w:rsid w:val="111445C7"/>
    <w:rsid w:val="1115531E"/>
    <w:rsid w:val="114278C6"/>
    <w:rsid w:val="1158083A"/>
    <w:rsid w:val="11643A4B"/>
    <w:rsid w:val="11ED0F98"/>
    <w:rsid w:val="11F03528"/>
    <w:rsid w:val="12C921C4"/>
    <w:rsid w:val="12E11965"/>
    <w:rsid w:val="133D279D"/>
    <w:rsid w:val="13871C70"/>
    <w:rsid w:val="13A71CB4"/>
    <w:rsid w:val="13AF1D43"/>
    <w:rsid w:val="13CE1647"/>
    <w:rsid w:val="13FD55AB"/>
    <w:rsid w:val="14200702"/>
    <w:rsid w:val="14CD7B51"/>
    <w:rsid w:val="14CE4728"/>
    <w:rsid w:val="15063063"/>
    <w:rsid w:val="163A6CEE"/>
    <w:rsid w:val="173708E3"/>
    <w:rsid w:val="17C374FC"/>
    <w:rsid w:val="182E4AB6"/>
    <w:rsid w:val="189079DC"/>
    <w:rsid w:val="189B0D0B"/>
    <w:rsid w:val="18B43F7C"/>
    <w:rsid w:val="194A1770"/>
    <w:rsid w:val="19B473B5"/>
    <w:rsid w:val="19B906A4"/>
    <w:rsid w:val="1AF06347"/>
    <w:rsid w:val="1B6F15B6"/>
    <w:rsid w:val="1BAA2EDC"/>
    <w:rsid w:val="1C4921B3"/>
    <w:rsid w:val="1CA55E64"/>
    <w:rsid w:val="1CD31A7D"/>
    <w:rsid w:val="1D014A01"/>
    <w:rsid w:val="1D022362"/>
    <w:rsid w:val="1D1B04B0"/>
    <w:rsid w:val="1DA52501"/>
    <w:rsid w:val="1DBD6767"/>
    <w:rsid w:val="1DC52125"/>
    <w:rsid w:val="1DD26311"/>
    <w:rsid w:val="1E374ACB"/>
    <w:rsid w:val="1E6E5F01"/>
    <w:rsid w:val="1EAF02C7"/>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C01D66"/>
    <w:rsid w:val="2C636760"/>
    <w:rsid w:val="2C6762A3"/>
    <w:rsid w:val="2FCA4B37"/>
    <w:rsid w:val="2FE029D7"/>
    <w:rsid w:val="2FF06E00"/>
    <w:rsid w:val="30586FEC"/>
    <w:rsid w:val="30EC0D77"/>
    <w:rsid w:val="313C58AE"/>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C91FA2"/>
    <w:rsid w:val="383C3F15"/>
    <w:rsid w:val="38BE4696"/>
    <w:rsid w:val="3939115E"/>
    <w:rsid w:val="39B82A39"/>
    <w:rsid w:val="39C42CA8"/>
    <w:rsid w:val="39DC4FD6"/>
    <w:rsid w:val="39F03D7A"/>
    <w:rsid w:val="39F33306"/>
    <w:rsid w:val="3A2C1C67"/>
    <w:rsid w:val="3A6D130B"/>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1F7226"/>
    <w:rsid w:val="40BD5482"/>
    <w:rsid w:val="41175B2C"/>
    <w:rsid w:val="411B6CE5"/>
    <w:rsid w:val="412070D7"/>
    <w:rsid w:val="41314E40"/>
    <w:rsid w:val="41870F04"/>
    <w:rsid w:val="41E0734B"/>
    <w:rsid w:val="426C1EA8"/>
    <w:rsid w:val="42736402"/>
    <w:rsid w:val="42A07FF2"/>
    <w:rsid w:val="42E86A87"/>
    <w:rsid w:val="43307B09"/>
    <w:rsid w:val="437A5FEE"/>
    <w:rsid w:val="439A3EB9"/>
    <w:rsid w:val="43BB152F"/>
    <w:rsid w:val="44C37687"/>
    <w:rsid w:val="45CB699A"/>
    <w:rsid w:val="46266A8D"/>
    <w:rsid w:val="465B470D"/>
    <w:rsid w:val="469D6AD4"/>
    <w:rsid w:val="471E6C84"/>
    <w:rsid w:val="4748792B"/>
    <w:rsid w:val="475D719D"/>
    <w:rsid w:val="47665118"/>
    <w:rsid w:val="47674801"/>
    <w:rsid w:val="48225EF7"/>
    <w:rsid w:val="488F422B"/>
    <w:rsid w:val="48E36915"/>
    <w:rsid w:val="48EB6572"/>
    <w:rsid w:val="495C4A24"/>
    <w:rsid w:val="497135DF"/>
    <w:rsid w:val="4A263DF2"/>
    <w:rsid w:val="4A6F6675"/>
    <w:rsid w:val="4B135857"/>
    <w:rsid w:val="4B7951CB"/>
    <w:rsid w:val="4B7C315C"/>
    <w:rsid w:val="4B9D30D2"/>
    <w:rsid w:val="4C9269AF"/>
    <w:rsid w:val="4DAC4ACA"/>
    <w:rsid w:val="4DBE01D2"/>
    <w:rsid w:val="4DCB03CA"/>
    <w:rsid w:val="4E13144B"/>
    <w:rsid w:val="4F0C6BA3"/>
    <w:rsid w:val="4F186D58"/>
    <w:rsid w:val="4FF22C61"/>
    <w:rsid w:val="50F06B6E"/>
    <w:rsid w:val="51D21804"/>
    <w:rsid w:val="52234D33"/>
    <w:rsid w:val="522F6E0C"/>
    <w:rsid w:val="52463BA1"/>
    <w:rsid w:val="52F163D4"/>
    <w:rsid w:val="531A2DB4"/>
    <w:rsid w:val="53C0244D"/>
    <w:rsid w:val="53DD4D4E"/>
    <w:rsid w:val="53E578CE"/>
    <w:rsid w:val="541330F0"/>
    <w:rsid w:val="54272666"/>
    <w:rsid w:val="543B029D"/>
    <w:rsid w:val="54861779"/>
    <w:rsid w:val="55172147"/>
    <w:rsid w:val="552256E1"/>
    <w:rsid w:val="554E5773"/>
    <w:rsid w:val="555829E0"/>
    <w:rsid w:val="555A3CBC"/>
    <w:rsid w:val="5582012B"/>
    <w:rsid w:val="558E4E05"/>
    <w:rsid w:val="55BE2E85"/>
    <w:rsid w:val="55FD133D"/>
    <w:rsid w:val="56530F5D"/>
    <w:rsid w:val="567700D3"/>
    <w:rsid w:val="56FF7E9E"/>
    <w:rsid w:val="578867FC"/>
    <w:rsid w:val="57BF3223"/>
    <w:rsid w:val="5842572D"/>
    <w:rsid w:val="59633BAD"/>
    <w:rsid w:val="5A3B59D6"/>
    <w:rsid w:val="5A7122F9"/>
    <w:rsid w:val="5AD134D8"/>
    <w:rsid w:val="5BBE156E"/>
    <w:rsid w:val="5C263CE4"/>
    <w:rsid w:val="5C413CA3"/>
    <w:rsid w:val="5C5D2777"/>
    <w:rsid w:val="5CF66BF3"/>
    <w:rsid w:val="5D290C69"/>
    <w:rsid w:val="5D417D61"/>
    <w:rsid w:val="5F2D4A41"/>
    <w:rsid w:val="602D0A71"/>
    <w:rsid w:val="6037369D"/>
    <w:rsid w:val="60C74F6C"/>
    <w:rsid w:val="61025A59"/>
    <w:rsid w:val="613D5BBC"/>
    <w:rsid w:val="61536C39"/>
    <w:rsid w:val="62944DD7"/>
    <w:rsid w:val="6319381F"/>
    <w:rsid w:val="63C25DC5"/>
    <w:rsid w:val="63C62057"/>
    <w:rsid w:val="6408782B"/>
    <w:rsid w:val="64571EF5"/>
    <w:rsid w:val="64FB113D"/>
    <w:rsid w:val="653A7E8C"/>
    <w:rsid w:val="656152C6"/>
    <w:rsid w:val="6587477F"/>
    <w:rsid w:val="658C3A08"/>
    <w:rsid w:val="65C031CA"/>
    <w:rsid w:val="65CE6852"/>
    <w:rsid w:val="66267C04"/>
    <w:rsid w:val="663F505A"/>
    <w:rsid w:val="66EE5541"/>
    <w:rsid w:val="67924660"/>
    <w:rsid w:val="67B6134C"/>
    <w:rsid w:val="68407834"/>
    <w:rsid w:val="686B482C"/>
    <w:rsid w:val="6883293E"/>
    <w:rsid w:val="688412AD"/>
    <w:rsid w:val="68EB1B71"/>
    <w:rsid w:val="6A6C7940"/>
    <w:rsid w:val="6AAD2300"/>
    <w:rsid w:val="6B1C1E0E"/>
    <w:rsid w:val="6B474EF5"/>
    <w:rsid w:val="6C0A5AC5"/>
    <w:rsid w:val="6C103720"/>
    <w:rsid w:val="6C560CAE"/>
    <w:rsid w:val="6C576495"/>
    <w:rsid w:val="6D903FF5"/>
    <w:rsid w:val="6DA955B8"/>
    <w:rsid w:val="6DE346AB"/>
    <w:rsid w:val="6DE5391A"/>
    <w:rsid w:val="6EFD1324"/>
    <w:rsid w:val="6F5A53AC"/>
    <w:rsid w:val="6FAC003D"/>
    <w:rsid w:val="6FE55E12"/>
    <w:rsid w:val="6FE56C72"/>
    <w:rsid w:val="6FFB2E76"/>
    <w:rsid w:val="703D085C"/>
    <w:rsid w:val="708F6F7F"/>
    <w:rsid w:val="70D94BD3"/>
    <w:rsid w:val="71C34D91"/>
    <w:rsid w:val="72DB435C"/>
    <w:rsid w:val="72E2613A"/>
    <w:rsid w:val="72F771F4"/>
    <w:rsid w:val="73934AD2"/>
    <w:rsid w:val="74365CEE"/>
    <w:rsid w:val="750837F0"/>
    <w:rsid w:val="751F2C26"/>
    <w:rsid w:val="754758CF"/>
    <w:rsid w:val="764F62AB"/>
    <w:rsid w:val="765C45EC"/>
    <w:rsid w:val="768A7619"/>
    <w:rsid w:val="772E1EBA"/>
    <w:rsid w:val="77B70EF4"/>
    <w:rsid w:val="781926BC"/>
    <w:rsid w:val="781F6A99"/>
    <w:rsid w:val="796C5667"/>
    <w:rsid w:val="796D60A4"/>
    <w:rsid w:val="79A031D5"/>
    <w:rsid w:val="7A1525F7"/>
    <w:rsid w:val="7A2B3E1B"/>
    <w:rsid w:val="7B420052"/>
    <w:rsid w:val="7B8239E9"/>
    <w:rsid w:val="7BD06A28"/>
    <w:rsid w:val="7C3A7C0B"/>
    <w:rsid w:val="7C5248E4"/>
    <w:rsid w:val="7C566698"/>
    <w:rsid w:val="7C5866A3"/>
    <w:rsid w:val="7D7406BB"/>
    <w:rsid w:val="7DE94331"/>
    <w:rsid w:val="7DF40751"/>
    <w:rsid w:val="7DFE2CF1"/>
    <w:rsid w:val="7ED73DE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5066</Words>
  <Characters>5760</Characters>
  <Lines>190</Lines>
  <Paragraphs>53</Paragraphs>
  <TotalTime>3</TotalTime>
  <ScaleCrop>false</ScaleCrop>
  <LinksUpToDate>false</LinksUpToDate>
  <CharactersWithSpaces>5991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萝卜</cp:lastModifiedBy>
  <dcterms:modified xsi:type="dcterms:W3CDTF">2024-10-19T02:00:33Z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