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35BCD">
      <w:pPr>
        <w:pStyle w:val="6"/>
        <w:keepNext w:val="0"/>
        <w:keepLines w:val="0"/>
        <w:pageBreakBefore w:val="0"/>
        <w:widowControl/>
        <w:kinsoku/>
        <w:overflowPunct/>
        <w:autoSpaceDN/>
        <w:bidi w:val="0"/>
        <w:adjustRightInd/>
        <w:spacing w:before="0" w:beforeAutospacing="0" w:after="0" w:afterAutospacing="0" w:line="560" w:lineRule="exact"/>
        <w:jc w:val="center"/>
        <w:textAlignment w:val="auto"/>
        <w:rPr>
          <w:rFonts w:hint="default" w:ascii="Times New Roman" w:hAnsi="Times New Roman" w:eastAsia="方正小标宋_GBK" w:cs="Times New Roman"/>
          <w:color w:val="auto"/>
          <w:sz w:val="36"/>
          <w:szCs w:val="36"/>
          <w:highlight w:val="none"/>
          <w:shd w:val="clear" w:color="auto" w:fill="FFFFFF"/>
        </w:rPr>
      </w:pPr>
      <w:bookmarkStart w:id="0" w:name="_GoBack"/>
      <w:r>
        <w:rPr>
          <w:rFonts w:hint="default" w:ascii="Times New Roman" w:hAnsi="Times New Roman" w:eastAsia="方正小标宋_GBK" w:cs="Times New Roman"/>
          <w:color w:val="auto"/>
          <w:sz w:val="36"/>
          <w:szCs w:val="36"/>
          <w:highlight w:val="none"/>
        </w:rPr>
        <w:t>重庆市石柱土家族自治县经济和信息化行政执法支队</w:t>
      </w:r>
      <w:r>
        <w:rPr>
          <w:rFonts w:hint="default" w:ascii="Times New Roman" w:hAnsi="Times New Roman" w:eastAsia="方正小标宋_GBK" w:cs="Times New Roman"/>
          <w:color w:val="auto"/>
          <w:sz w:val="36"/>
          <w:szCs w:val="36"/>
          <w:highlight w:val="none"/>
          <w:shd w:val="clear" w:color="auto" w:fill="FFFFFF"/>
        </w:rPr>
        <w:t>2023年度决算公开说明</w:t>
      </w:r>
    </w:p>
    <w:p w14:paraId="050E1266">
      <w:pPr>
        <w:pStyle w:val="6"/>
        <w:keepNext w:val="0"/>
        <w:keepLines w:val="0"/>
        <w:pageBreakBefore w:val="0"/>
        <w:widowControl/>
        <w:shd w:val="clear" w:color="auto" w:fill="FFFFFF"/>
        <w:kinsoku/>
        <w:overflowPunct/>
        <w:autoSpaceDN/>
        <w:bidi w:val="0"/>
        <w:adjustRightInd/>
        <w:spacing w:beforeAutospacing="0" w:after="0" w:afterAutospacing="0" w:line="560" w:lineRule="exact"/>
        <w:ind w:firstLine="640" w:firstLineChars="200"/>
        <w:textAlignment w:val="auto"/>
        <w:rPr>
          <w:rStyle w:val="10"/>
          <w:rFonts w:hint="default" w:ascii="Times New Roman" w:hAnsi="Times New Roman" w:eastAsia="方正黑体_GBK" w:cs="Times New Roman"/>
          <w:b w:val="0"/>
          <w:bCs/>
          <w:color w:val="auto"/>
          <w:sz w:val="32"/>
          <w:szCs w:val="32"/>
          <w:highlight w:val="none"/>
          <w:shd w:val="clear" w:color="auto" w:fill="FFFFFF"/>
        </w:rPr>
      </w:pPr>
      <w:r>
        <w:rPr>
          <w:rStyle w:val="10"/>
          <w:rFonts w:hint="default" w:ascii="Times New Roman" w:hAnsi="Times New Roman" w:eastAsia="方正黑体_GBK" w:cs="Times New Roman"/>
          <w:b w:val="0"/>
          <w:bCs/>
          <w:color w:val="auto"/>
          <w:sz w:val="32"/>
          <w:szCs w:val="32"/>
          <w:highlight w:val="none"/>
          <w:shd w:val="clear" w:color="auto" w:fill="FFFFFF"/>
        </w:rPr>
        <w:t>一、单位基本情况</w:t>
      </w:r>
    </w:p>
    <w:p w14:paraId="45CE82FF">
      <w:pPr>
        <w:keepNext w:val="0"/>
        <w:keepLines w:val="0"/>
        <w:pageBreakBefore w:val="0"/>
        <w:widowControl/>
        <w:suppressLineNumbers w:val="0"/>
        <w:kinsoku/>
        <w:wordWrap w:val="0"/>
        <w:overflowPunct/>
        <w:topLinePunct/>
        <w:autoSpaceDE w:val="0"/>
        <w:autoSpaceDN/>
        <w:bidi w:val="0"/>
        <w:adjustRightInd/>
        <w:spacing w:beforeAutospacing="0" w:afterAutospacing="0" w:line="560" w:lineRule="exact"/>
        <w:ind w:left="0" w:firstLine="640" w:firstLineChars="200"/>
        <w:textAlignment w:val="auto"/>
        <w:rPr>
          <w:rFonts w:hint="default" w:ascii="Times New Roman" w:hAnsi="Times New Roman" w:eastAsia="方正楷体_GBK" w:cs="Times New Roman"/>
          <w:b w:val="0"/>
          <w:bCs/>
          <w:color w:val="auto"/>
          <w:kern w:val="0"/>
          <w:sz w:val="32"/>
          <w:szCs w:val="32"/>
          <w:highlight w:val="none"/>
        </w:rPr>
      </w:pPr>
      <w:r>
        <w:rPr>
          <w:rFonts w:hint="default" w:ascii="Times New Roman" w:hAnsi="Times New Roman" w:eastAsia="方正楷体_GBK" w:cs="Times New Roman"/>
          <w:b w:val="0"/>
          <w:bCs/>
          <w:color w:val="auto"/>
          <w:kern w:val="0"/>
          <w:sz w:val="32"/>
          <w:szCs w:val="32"/>
          <w:highlight w:val="none"/>
        </w:rPr>
        <w:t>（一）职能职责</w:t>
      </w:r>
    </w:p>
    <w:p w14:paraId="20560982">
      <w:pPr>
        <w:keepNext w:val="0"/>
        <w:keepLines w:val="0"/>
        <w:pageBreakBefore w:val="0"/>
        <w:widowControl/>
        <w:suppressLineNumbers w:val="0"/>
        <w:kinsoku/>
        <w:wordWrap w:val="0"/>
        <w:overflowPunct/>
        <w:topLinePunct/>
        <w:autoSpaceDE w:val="0"/>
        <w:autoSpaceDN/>
        <w:bidi w:val="0"/>
        <w:adjustRightInd/>
        <w:spacing w:beforeAutospacing="0" w:afterAutospacing="0" w:line="560" w:lineRule="exact"/>
        <w:ind w:left="0" w:firstLine="640" w:firstLineChars="200"/>
        <w:textAlignment w:val="auto"/>
        <w:rPr>
          <w:rFonts w:hint="default" w:ascii="Times New Roman" w:hAnsi="Times New Roman" w:eastAsia="方正仿宋_GBK" w:cs="Times New Roman"/>
          <w:b w:val="0"/>
          <w:bCs/>
          <w:color w:val="auto"/>
          <w:kern w:val="0"/>
          <w:sz w:val="32"/>
          <w:szCs w:val="32"/>
          <w:highlight w:val="none"/>
        </w:rPr>
      </w:pPr>
      <w:r>
        <w:rPr>
          <w:rFonts w:hint="default" w:ascii="Times New Roman" w:hAnsi="Times New Roman" w:eastAsia="方正仿宋_GBK" w:cs="Times New Roman"/>
          <w:b w:val="0"/>
          <w:bCs/>
          <w:color w:val="auto"/>
          <w:kern w:val="0"/>
          <w:sz w:val="32"/>
          <w:szCs w:val="32"/>
          <w:highlight w:val="none"/>
        </w:rPr>
        <w:t>县经济和信息化行政执法支队为石柱土家族自治县经济和信息化委员会管理的副科级行政执法机构。</w:t>
      </w:r>
    </w:p>
    <w:p w14:paraId="39D121BC">
      <w:pPr>
        <w:keepNext w:val="0"/>
        <w:keepLines w:val="0"/>
        <w:pageBreakBefore w:val="0"/>
        <w:widowControl/>
        <w:suppressLineNumbers w:val="0"/>
        <w:kinsoku/>
        <w:wordWrap w:val="0"/>
        <w:overflowPunct/>
        <w:topLinePunct/>
        <w:autoSpaceDE w:val="0"/>
        <w:autoSpaceDN/>
        <w:bidi w:val="0"/>
        <w:adjustRightInd/>
        <w:spacing w:beforeAutospacing="0" w:afterAutospacing="0" w:line="560" w:lineRule="exact"/>
        <w:ind w:left="0" w:firstLine="640" w:firstLineChars="200"/>
        <w:jc w:val="left"/>
        <w:textAlignment w:val="auto"/>
        <w:rPr>
          <w:rFonts w:hint="default" w:ascii="Times New Roman" w:hAnsi="Times New Roman" w:eastAsia="方正楷体_GBK" w:cs="Times New Roman"/>
          <w:b w:val="0"/>
          <w:bCs/>
          <w:color w:val="auto"/>
          <w:kern w:val="0"/>
          <w:sz w:val="32"/>
          <w:szCs w:val="32"/>
          <w:highlight w:val="none"/>
        </w:rPr>
      </w:pPr>
      <w:r>
        <w:rPr>
          <w:rFonts w:hint="default" w:ascii="Times New Roman" w:hAnsi="Times New Roman" w:eastAsia="方正楷体_GBK" w:cs="Times New Roman"/>
          <w:b w:val="0"/>
          <w:bCs/>
          <w:color w:val="auto"/>
          <w:kern w:val="0"/>
          <w:sz w:val="32"/>
          <w:szCs w:val="32"/>
          <w:highlight w:val="none"/>
        </w:rPr>
        <w:t>（二）单位构成</w:t>
      </w:r>
    </w:p>
    <w:p w14:paraId="3FB1B900">
      <w:pPr>
        <w:keepNext w:val="0"/>
        <w:keepLines w:val="0"/>
        <w:pageBreakBefore w:val="0"/>
        <w:widowControl/>
        <w:suppressLineNumbers w:val="0"/>
        <w:kinsoku/>
        <w:wordWrap w:val="0"/>
        <w:overflowPunct/>
        <w:topLinePunct/>
        <w:autoSpaceDE w:val="0"/>
        <w:autoSpaceDN/>
        <w:bidi w:val="0"/>
        <w:adjustRightInd/>
        <w:spacing w:beforeAutospacing="0" w:afterAutospacing="0" w:line="560" w:lineRule="exact"/>
        <w:ind w:left="0" w:firstLine="640" w:firstLineChars="200"/>
        <w:textAlignment w:val="auto"/>
        <w:rPr>
          <w:rFonts w:hint="default" w:ascii="Times New Roman" w:hAnsi="Times New Roman" w:eastAsia="方正仿宋_GBK" w:cs="Times New Roman"/>
          <w:b w:val="0"/>
          <w:bCs/>
          <w:color w:val="auto"/>
          <w:kern w:val="0"/>
          <w:sz w:val="32"/>
          <w:szCs w:val="32"/>
          <w:highlight w:val="none"/>
        </w:rPr>
      </w:pPr>
      <w:r>
        <w:rPr>
          <w:rFonts w:hint="default" w:ascii="Times New Roman" w:hAnsi="Times New Roman" w:eastAsia="方正仿宋_GBK" w:cs="Times New Roman"/>
          <w:b w:val="0"/>
          <w:bCs/>
          <w:color w:val="auto"/>
          <w:kern w:val="0"/>
          <w:sz w:val="32"/>
          <w:szCs w:val="32"/>
          <w:highlight w:val="none"/>
        </w:rPr>
        <w:t>县经济和信息化行政执法支队承担电力、天然气、压缩天然气、液化天然气、民用爆破器材、盐业、液化石油气、醇基燃料、无线电、信息化等行业以及工业投资、工业节能的行政执法工作。核定财政全额拨款事业编制5名，实有3名。</w:t>
      </w:r>
    </w:p>
    <w:p w14:paraId="4C979576">
      <w:pPr>
        <w:pStyle w:val="6"/>
        <w:keepNext w:val="0"/>
        <w:keepLines w:val="0"/>
        <w:pageBreakBefore w:val="0"/>
        <w:widowControl/>
        <w:shd w:val="clear" w:color="auto" w:fill="FFFFFF"/>
        <w:kinsoku/>
        <w:overflowPunct/>
        <w:autoSpaceDN/>
        <w:bidi w:val="0"/>
        <w:adjustRightInd/>
        <w:spacing w:beforeAutospacing="0" w:after="0" w:afterAutospacing="0" w:line="560" w:lineRule="exact"/>
        <w:ind w:firstLine="640" w:firstLineChars="200"/>
        <w:textAlignment w:val="auto"/>
        <w:rPr>
          <w:rStyle w:val="10"/>
          <w:rFonts w:hint="default" w:ascii="Times New Roman" w:hAnsi="Times New Roman" w:eastAsia="方正黑体_GBK" w:cs="Times New Roman"/>
          <w:b w:val="0"/>
          <w:bCs/>
          <w:color w:val="auto"/>
          <w:sz w:val="32"/>
          <w:szCs w:val="32"/>
          <w:highlight w:val="none"/>
          <w:shd w:val="clear" w:color="auto" w:fill="FFFFFF"/>
        </w:rPr>
      </w:pPr>
      <w:r>
        <w:rPr>
          <w:rStyle w:val="10"/>
          <w:rFonts w:hint="default" w:ascii="Times New Roman" w:hAnsi="Times New Roman" w:eastAsia="方正黑体_GBK" w:cs="Times New Roman"/>
          <w:b w:val="0"/>
          <w:bCs/>
          <w:color w:val="auto"/>
          <w:sz w:val="32"/>
          <w:szCs w:val="32"/>
          <w:highlight w:val="none"/>
          <w:shd w:val="clear" w:color="auto" w:fill="FFFFFF"/>
        </w:rPr>
        <w:t>二、单位决算情况说明</w:t>
      </w:r>
    </w:p>
    <w:p w14:paraId="4684E03E">
      <w:pPr>
        <w:pStyle w:val="11"/>
        <w:keepNext w:val="0"/>
        <w:keepLines w:val="0"/>
        <w:pageBreakBefore w:val="0"/>
        <w:widowControl/>
        <w:kinsoku/>
        <w:overflowPunct/>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（一）收入支出决算总体情况说明。</w:t>
      </w:r>
    </w:p>
    <w:p w14:paraId="28B2D875">
      <w:pPr>
        <w:pStyle w:val="6"/>
        <w:keepNext w:val="0"/>
        <w:keepLines w:val="0"/>
        <w:pageBreakBefore w:val="0"/>
        <w:widowControl/>
        <w:shd w:val="clear" w:color="auto" w:fill="FFFFFF"/>
        <w:kinsoku/>
        <w:overflowPunct/>
        <w:autoSpaceDN/>
        <w:bidi w:val="0"/>
        <w:adjustRightInd/>
        <w:spacing w:beforeAutospacing="0" w:after="0" w:afterAutospacing="0" w:line="560" w:lineRule="exact"/>
        <w:ind w:firstLine="643" w:firstLineChars="200"/>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1.总体情况。</w:t>
      </w:r>
      <w:r>
        <w:rPr>
          <w:rFonts w:hint="default" w:ascii="Times New Roman" w:hAnsi="Times New Roman" w:eastAsia="方正仿宋_GBK" w:cs="Times New Roman"/>
          <w:color w:val="auto"/>
          <w:sz w:val="32"/>
          <w:szCs w:val="32"/>
          <w:highlight w:val="none"/>
          <w:shd w:val="clear" w:color="auto" w:fill="FFFFFF"/>
        </w:rPr>
        <w:t>2023年度收入总计75.30万元，支出总计</w:t>
      </w:r>
      <w:r>
        <w:rPr>
          <w:rFonts w:hint="default" w:ascii="Times New Roman" w:hAnsi="Times New Roman" w:eastAsia="方正仿宋_GBK" w:cs="Times New Roman"/>
          <w:color w:val="auto"/>
          <w:sz w:val="32"/>
          <w:szCs w:val="32"/>
          <w:highlight w:val="none"/>
        </w:rPr>
        <w:t>75.30</w:t>
      </w:r>
      <w:r>
        <w:rPr>
          <w:rFonts w:hint="default" w:ascii="Times New Roman" w:hAnsi="Times New Roman" w:eastAsia="方正仿宋_GBK" w:cs="Times New Roman"/>
          <w:color w:val="auto"/>
          <w:sz w:val="32"/>
          <w:szCs w:val="32"/>
          <w:highlight w:val="none"/>
          <w:shd w:val="clear" w:color="auto" w:fill="FFFFFF"/>
        </w:rPr>
        <w:t>万元。收支较上年决算数减少12.99万元，下降14.71%，主要原因是</w:t>
      </w:r>
      <w:r>
        <w:rPr>
          <w:rFonts w:hint="default" w:ascii="Times New Roman" w:hAnsi="Times New Roman" w:eastAsia="方正仿宋_GBK" w:cs="Times New Roman"/>
          <w:color w:val="auto"/>
          <w:sz w:val="32"/>
          <w:szCs w:val="32"/>
          <w:highlight w:val="none"/>
          <w:shd w:val="clear" w:color="auto" w:fill="FFFFFF"/>
          <w:lang w:val="en-US" w:eastAsia="zh-CN"/>
        </w:rPr>
        <w:t>本年度年中</w:t>
      </w:r>
      <w:r>
        <w:rPr>
          <w:rFonts w:hint="default" w:ascii="Times New Roman" w:hAnsi="Times New Roman" w:eastAsia="方正仿宋_GBK" w:cs="Times New Roman"/>
          <w:color w:val="auto"/>
          <w:sz w:val="32"/>
          <w:highlight w:val="none"/>
          <w:lang w:eastAsia="zh-CN"/>
        </w:rPr>
        <w:t>人员</w:t>
      </w:r>
      <w:r>
        <w:rPr>
          <w:rFonts w:hint="default" w:ascii="Times New Roman" w:hAnsi="Times New Roman" w:eastAsia="方正仿宋_GBK" w:cs="Times New Roman"/>
          <w:color w:val="auto"/>
          <w:sz w:val="32"/>
          <w:highlight w:val="none"/>
          <w:lang w:val="en-US" w:eastAsia="zh-CN"/>
        </w:rPr>
        <w:t>变动，导致人员相关</w:t>
      </w:r>
      <w:r>
        <w:rPr>
          <w:rFonts w:hint="default" w:ascii="Times New Roman" w:hAnsi="Times New Roman" w:eastAsia="方正仿宋_GBK" w:cs="Times New Roman"/>
          <w:color w:val="auto"/>
          <w:sz w:val="32"/>
          <w:highlight w:val="none"/>
          <w:lang w:eastAsia="zh-CN"/>
        </w:rPr>
        <w:t>工资</w:t>
      </w:r>
      <w:r>
        <w:rPr>
          <w:rFonts w:hint="default" w:ascii="Times New Roman" w:hAnsi="Times New Roman" w:eastAsia="方正仿宋_GBK" w:cs="Times New Roman"/>
          <w:color w:val="auto"/>
          <w:sz w:val="32"/>
          <w:highlight w:val="none"/>
          <w:lang w:val="en-US" w:eastAsia="zh-CN"/>
        </w:rPr>
        <w:t>福利</w:t>
      </w:r>
      <w:r>
        <w:rPr>
          <w:rFonts w:hint="default" w:ascii="Times New Roman" w:hAnsi="Times New Roman" w:eastAsia="方正仿宋_GBK" w:cs="Times New Roman"/>
          <w:color w:val="auto"/>
          <w:sz w:val="32"/>
          <w:highlight w:val="none"/>
          <w:lang w:eastAsia="zh-CN"/>
        </w:rPr>
        <w:t>、社保、公积金</w:t>
      </w:r>
      <w:r>
        <w:rPr>
          <w:rFonts w:hint="default" w:ascii="Times New Roman" w:hAnsi="Times New Roman" w:eastAsia="方正仿宋_GBK" w:cs="Times New Roman"/>
          <w:color w:val="auto"/>
          <w:sz w:val="32"/>
          <w:highlight w:val="none"/>
          <w:lang w:val="en-US" w:eastAsia="zh-CN"/>
        </w:rPr>
        <w:t>等支出变动</w:t>
      </w:r>
      <w:r>
        <w:rPr>
          <w:rFonts w:hint="default" w:ascii="Times New Roman" w:hAnsi="Times New Roman" w:eastAsia="方正仿宋_GBK" w:cs="Times New Roman"/>
          <w:color w:val="auto"/>
          <w:sz w:val="32"/>
          <w:highlight w:val="none"/>
        </w:rPr>
        <w:t>。</w:t>
      </w:r>
    </w:p>
    <w:p w14:paraId="60AB77DD">
      <w:pPr>
        <w:pStyle w:val="6"/>
        <w:keepNext w:val="0"/>
        <w:keepLines w:val="0"/>
        <w:pageBreakBefore w:val="0"/>
        <w:widowControl/>
        <w:shd w:val="clear" w:color="auto" w:fill="FFFFFF"/>
        <w:kinsoku/>
        <w:overflowPunct/>
        <w:autoSpaceDN/>
        <w:bidi w:val="0"/>
        <w:adjustRightInd/>
        <w:spacing w:beforeAutospacing="0" w:after="0" w:afterAutospacing="0" w:line="560" w:lineRule="exact"/>
        <w:ind w:firstLine="643" w:firstLineChars="200"/>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2.收入情况。</w:t>
      </w:r>
      <w:r>
        <w:rPr>
          <w:rFonts w:hint="default" w:ascii="Times New Roman" w:hAnsi="Times New Roman" w:eastAsia="方正仿宋_GBK" w:cs="Times New Roman"/>
          <w:color w:val="auto"/>
          <w:sz w:val="32"/>
          <w:szCs w:val="32"/>
          <w:highlight w:val="none"/>
          <w:shd w:val="clear" w:color="auto" w:fill="FFFFFF"/>
        </w:rPr>
        <w:t>2023年度收入合计75.30万元，较上年决算数减少12.99万元，下降14.71%，主要原因是</w:t>
      </w:r>
      <w:r>
        <w:rPr>
          <w:rFonts w:hint="default" w:ascii="Times New Roman" w:hAnsi="Times New Roman" w:eastAsia="方正仿宋_GBK" w:cs="Times New Roman"/>
          <w:color w:val="auto"/>
          <w:sz w:val="32"/>
          <w:szCs w:val="32"/>
          <w:highlight w:val="none"/>
          <w:shd w:val="clear" w:color="auto" w:fill="FFFFFF"/>
          <w:lang w:val="en-US" w:eastAsia="zh-CN"/>
        </w:rPr>
        <w:t>本年度年中</w:t>
      </w:r>
      <w:r>
        <w:rPr>
          <w:rFonts w:hint="default" w:ascii="Times New Roman" w:hAnsi="Times New Roman" w:eastAsia="方正仿宋_GBK" w:cs="Times New Roman"/>
          <w:color w:val="auto"/>
          <w:sz w:val="32"/>
          <w:highlight w:val="none"/>
          <w:lang w:eastAsia="zh-CN"/>
        </w:rPr>
        <w:t>人员</w:t>
      </w:r>
      <w:r>
        <w:rPr>
          <w:rFonts w:hint="default" w:ascii="Times New Roman" w:hAnsi="Times New Roman" w:eastAsia="方正仿宋_GBK" w:cs="Times New Roman"/>
          <w:color w:val="auto"/>
          <w:sz w:val="32"/>
          <w:highlight w:val="none"/>
          <w:lang w:val="en-US" w:eastAsia="zh-CN"/>
        </w:rPr>
        <w:t>变动，导致人员相关</w:t>
      </w:r>
      <w:r>
        <w:rPr>
          <w:rFonts w:hint="default" w:ascii="Times New Roman" w:hAnsi="Times New Roman" w:eastAsia="方正仿宋_GBK" w:cs="Times New Roman"/>
          <w:color w:val="auto"/>
          <w:sz w:val="32"/>
          <w:highlight w:val="none"/>
          <w:lang w:eastAsia="zh-CN"/>
        </w:rPr>
        <w:t>工资</w:t>
      </w:r>
      <w:r>
        <w:rPr>
          <w:rFonts w:hint="default" w:ascii="Times New Roman" w:hAnsi="Times New Roman" w:eastAsia="方正仿宋_GBK" w:cs="Times New Roman"/>
          <w:color w:val="auto"/>
          <w:sz w:val="32"/>
          <w:highlight w:val="none"/>
          <w:lang w:val="en-US" w:eastAsia="zh-CN"/>
        </w:rPr>
        <w:t>福利</w:t>
      </w:r>
      <w:r>
        <w:rPr>
          <w:rFonts w:hint="default" w:ascii="Times New Roman" w:hAnsi="Times New Roman" w:eastAsia="方正仿宋_GBK" w:cs="Times New Roman"/>
          <w:color w:val="auto"/>
          <w:sz w:val="32"/>
          <w:highlight w:val="none"/>
          <w:lang w:eastAsia="zh-CN"/>
        </w:rPr>
        <w:t>、社保、公积金</w:t>
      </w:r>
      <w:r>
        <w:rPr>
          <w:rFonts w:hint="default" w:ascii="Times New Roman" w:hAnsi="Times New Roman" w:eastAsia="方正仿宋_GBK" w:cs="Times New Roman"/>
          <w:color w:val="auto"/>
          <w:sz w:val="32"/>
          <w:highlight w:val="none"/>
          <w:lang w:val="en-US" w:eastAsia="zh-CN"/>
        </w:rPr>
        <w:t>等支出变动</w:t>
      </w:r>
      <w:r>
        <w:rPr>
          <w:rFonts w:hint="default" w:ascii="Times New Roman" w:hAnsi="Times New Roman" w:eastAsia="方正仿宋_GBK" w:cs="Times New Roman"/>
          <w:color w:val="auto"/>
          <w:sz w:val="32"/>
          <w:highlight w:val="none"/>
        </w:rPr>
        <w:t>。</w:t>
      </w:r>
      <w:r>
        <w:rPr>
          <w:rFonts w:hint="default" w:ascii="Times New Roman" w:hAnsi="Times New Roman" w:eastAsia="方正仿宋_GBK" w:cs="Times New Roman"/>
          <w:color w:val="auto"/>
          <w:sz w:val="32"/>
          <w:szCs w:val="32"/>
          <w:highlight w:val="none"/>
          <w:shd w:val="clear" w:color="auto" w:fill="FFFFFF"/>
        </w:rPr>
        <w:t>其中：财政拨款收入</w:t>
      </w:r>
      <w:r>
        <w:rPr>
          <w:rFonts w:hint="default" w:ascii="Times New Roman" w:hAnsi="Times New Roman" w:eastAsia="方正仿宋_GBK" w:cs="Times New Roman"/>
          <w:color w:val="auto"/>
          <w:sz w:val="32"/>
          <w:szCs w:val="32"/>
          <w:highlight w:val="none"/>
        </w:rPr>
        <w:t>75.30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100.00</w:t>
      </w:r>
      <w:r>
        <w:rPr>
          <w:rFonts w:hint="default" w:ascii="Times New Roman" w:hAnsi="Times New Roman" w:eastAsia="方正仿宋_GBK" w:cs="Times New Roman"/>
          <w:color w:val="auto"/>
          <w:sz w:val="32"/>
          <w:szCs w:val="32"/>
          <w:highlight w:val="none"/>
          <w:shd w:val="clear" w:color="auto" w:fill="FFFFFF"/>
        </w:rPr>
        <w:t>%；事业收入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万元，占0.00%；经营收入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万元，占0.00%；其他收入</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万元，占0.00%。此外，使用非财政拨款结余和专用结余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万元，年初结转和结余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14:paraId="2104B5F5">
      <w:pPr>
        <w:pStyle w:val="6"/>
        <w:keepNext w:val="0"/>
        <w:keepLines w:val="0"/>
        <w:pageBreakBefore w:val="0"/>
        <w:widowControl/>
        <w:shd w:val="clear" w:color="auto" w:fill="FFFFFF"/>
        <w:kinsoku/>
        <w:overflowPunct/>
        <w:autoSpaceDN/>
        <w:bidi w:val="0"/>
        <w:adjustRightInd/>
        <w:spacing w:beforeAutospacing="0" w:after="0" w:afterAutospacing="0" w:line="560" w:lineRule="exact"/>
        <w:ind w:firstLine="643" w:firstLineChars="200"/>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3.支出情况。</w:t>
      </w:r>
      <w:r>
        <w:rPr>
          <w:rFonts w:hint="default" w:ascii="Times New Roman" w:hAnsi="Times New Roman" w:eastAsia="方正仿宋_GBK" w:cs="Times New Roman"/>
          <w:color w:val="auto"/>
          <w:sz w:val="32"/>
          <w:szCs w:val="32"/>
          <w:highlight w:val="none"/>
          <w:shd w:val="clear" w:color="auto" w:fill="FFFFFF"/>
        </w:rPr>
        <w:t>2023年度支出合计</w:t>
      </w:r>
      <w:r>
        <w:rPr>
          <w:rFonts w:hint="default" w:ascii="Times New Roman" w:hAnsi="Times New Roman" w:eastAsia="方正仿宋_GBK" w:cs="Times New Roman"/>
          <w:color w:val="auto"/>
          <w:sz w:val="32"/>
          <w:szCs w:val="32"/>
          <w:highlight w:val="none"/>
        </w:rPr>
        <w:t>75.30</w:t>
      </w:r>
      <w:r>
        <w:rPr>
          <w:rFonts w:hint="default" w:ascii="Times New Roman" w:hAnsi="Times New Roman" w:eastAsia="方正仿宋_GBK" w:cs="Times New Roman"/>
          <w:color w:val="auto"/>
          <w:sz w:val="32"/>
          <w:szCs w:val="32"/>
          <w:highlight w:val="none"/>
          <w:shd w:val="clear" w:color="auto" w:fill="FFFFFF"/>
        </w:rPr>
        <w:t>万元，较上年决算数减少12.99万元，下降14.71%，主要原因是</w:t>
      </w:r>
      <w:r>
        <w:rPr>
          <w:rFonts w:hint="default" w:ascii="Times New Roman" w:hAnsi="Times New Roman" w:eastAsia="方正仿宋_GBK" w:cs="Times New Roman"/>
          <w:color w:val="auto"/>
          <w:sz w:val="32"/>
          <w:highlight w:val="none"/>
          <w:lang w:eastAsia="zh-CN"/>
        </w:rPr>
        <w:t>人员工资、公积金社保基数调整</w:t>
      </w:r>
      <w:r>
        <w:rPr>
          <w:rFonts w:hint="default" w:ascii="Times New Roman" w:hAnsi="Times New Roman" w:eastAsia="方正仿宋_GBK" w:cs="Times New Roman"/>
          <w:color w:val="auto"/>
          <w:sz w:val="32"/>
          <w:highlight w:val="none"/>
        </w:rPr>
        <w:t>。</w:t>
      </w:r>
      <w:r>
        <w:rPr>
          <w:rFonts w:hint="default" w:ascii="Times New Roman" w:hAnsi="Times New Roman" w:eastAsia="方正仿宋_GBK" w:cs="Times New Roman"/>
          <w:color w:val="auto"/>
          <w:sz w:val="32"/>
          <w:szCs w:val="32"/>
          <w:highlight w:val="none"/>
          <w:shd w:val="clear" w:color="auto" w:fill="FFFFFF"/>
        </w:rPr>
        <w:t>其中：基本支出</w:t>
      </w:r>
      <w:r>
        <w:rPr>
          <w:rFonts w:hint="default" w:ascii="Times New Roman" w:hAnsi="Times New Roman" w:eastAsia="方正仿宋_GBK" w:cs="Times New Roman"/>
          <w:color w:val="auto"/>
          <w:sz w:val="32"/>
          <w:szCs w:val="32"/>
          <w:highlight w:val="none"/>
        </w:rPr>
        <w:t>75.30</w:t>
      </w:r>
      <w:r>
        <w:rPr>
          <w:rFonts w:hint="default" w:ascii="Times New Roman" w:hAnsi="Times New Roman" w:eastAsia="方正仿宋_GBK" w:cs="Times New Roman"/>
          <w:color w:val="auto"/>
          <w:sz w:val="32"/>
          <w:szCs w:val="32"/>
          <w:highlight w:val="none"/>
          <w:shd w:val="clear" w:color="auto" w:fill="FFFFFF"/>
        </w:rPr>
        <w:t>万元，占100.00%；项目支出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万元，占0.00%；经营支出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万元，占0.00%。此外，结余分配</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14:paraId="33A9EF0B">
      <w:pPr>
        <w:keepNext w:val="0"/>
        <w:keepLines w:val="0"/>
        <w:pageBreakBefore w:val="0"/>
        <w:widowControl/>
        <w:suppressLineNumbers w:val="0"/>
        <w:shd w:val="clear" w:fill="FFFFFF"/>
        <w:kinsoku/>
        <w:overflowPunct/>
        <w:topLinePunct/>
        <w:autoSpaceDE w:val="0"/>
        <w:autoSpaceDN/>
        <w:bidi w:val="0"/>
        <w:adjustRightInd/>
        <w:snapToGrid w:val="0"/>
        <w:spacing w:beforeAutospacing="0" w:afterAutospacing="0" w:line="560" w:lineRule="exact"/>
        <w:ind w:left="0" w:firstLine="643" w:firstLineChars="200"/>
        <w:textAlignment w:val="auto"/>
        <w:rPr>
          <w:rFonts w:hint="default" w:ascii="Times New Roman" w:hAnsi="Times New Roman" w:eastAsia="方正仿宋_GBK" w:cs="Times New Roman"/>
          <w:b w:val="0"/>
          <w:bCs/>
          <w:color w:val="auto"/>
          <w:kern w:val="0"/>
          <w:sz w:val="32"/>
          <w:szCs w:val="32"/>
          <w:highlight w:val="none"/>
          <w:shd w:val="clear" w:fill="FFFFFF"/>
        </w:rPr>
      </w:pPr>
      <w:r>
        <w:rPr>
          <w:rStyle w:val="10"/>
          <w:rFonts w:hint="default" w:ascii="Times New Roman" w:hAnsi="Times New Roman" w:eastAsia="方正仿宋_GBK" w:cs="Times New Roman"/>
          <w:color w:val="auto"/>
          <w:sz w:val="32"/>
          <w:szCs w:val="32"/>
          <w:highlight w:val="none"/>
          <w:shd w:val="clear" w:color="auto" w:fill="FFFFFF"/>
        </w:rPr>
        <w:t>4.结转结余情况。</w:t>
      </w:r>
      <w:r>
        <w:rPr>
          <w:rFonts w:hint="default" w:ascii="Times New Roman" w:hAnsi="Times New Roman" w:eastAsia="方正仿宋_GBK" w:cs="Times New Roman"/>
          <w:b w:val="0"/>
          <w:bCs/>
          <w:color w:val="auto"/>
          <w:kern w:val="0"/>
          <w:sz w:val="32"/>
          <w:szCs w:val="32"/>
          <w:highlight w:val="none"/>
          <w:shd w:val="clear" w:fill="FFFFFF"/>
        </w:rPr>
        <w:t>本部门202</w:t>
      </w:r>
      <w:r>
        <w:rPr>
          <w:rFonts w:hint="default" w:ascii="Times New Roman" w:hAnsi="Times New Roman" w:eastAsia="方正仿宋_GBK" w:cs="Times New Roman"/>
          <w:b w:val="0"/>
          <w:bCs/>
          <w:color w:val="auto"/>
          <w:kern w:val="0"/>
          <w:sz w:val="32"/>
          <w:szCs w:val="32"/>
          <w:highlight w:val="none"/>
          <w:shd w:val="clear" w:fill="FFFFFF"/>
          <w:lang w:val="en-US" w:eastAsia="zh-CN"/>
        </w:rPr>
        <w:t>3</w:t>
      </w:r>
      <w:r>
        <w:rPr>
          <w:rFonts w:hint="default" w:ascii="Times New Roman" w:hAnsi="Times New Roman" w:eastAsia="方正仿宋_GBK" w:cs="Times New Roman"/>
          <w:b w:val="0"/>
          <w:bCs/>
          <w:color w:val="auto"/>
          <w:kern w:val="0"/>
          <w:sz w:val="32"/>
          <w:szCs w:val="32"/>
          <w:highlight w:val="none"/>
          <w:shd w:val="clear" w:fill="FFFFFF"/>
        </w:rPr>
        <w:t>年度年末无结转和结余资金。</w:t>
      </w:r>
    </w:p>
    <w:p w14:paraId="4CD5B3A5">
      <w:pPr>
        <w:pStyle w:val="11"/>
        <w:keepNext w:val="0"/>
        <w:keepLines w:val="0"/>
        <w:pageBreakBefore w:val="0"/>
        <w:widowControl/>
        <w:kinsoku/>
        <w:overflowPunct/>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（二）财政拨款收入支出决算总体情况说明</w:t>
      </w:r>
    </w:p>
    <w:p w14:paraId="2AD93826">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2023年度财政拨款收、支总计75.30万元。与2022年相比，财政拨款收、支总计各减少12.99万元，下降14.71%。主要原因是</w:t>
      </w:r>
      <w:r>
        <w:rPr>
          <w:rFonts w:hint="default" w:ascii="Times New Roman" w:hAnsi="Times New Roman" w:eastAsia="方正仿宋_GBK" w:cs="Times New Roman"/>
          <w:color w:val="auto"/>
          <w:sz w:val="32"/>
          <w:szCs w:val="32"/>
          <w:highlight w:val="none"/>
          <w:shd w:val="clear" w:color="auto" w:fill="FFFFFF"/>
          <w:lang w:val="en-US" w:eastAsia="zh-CN"/>
        </w:rPr>
        <w:t>本年度年中</w:t>
      </w:r>
      <w:r>
        <w:rPr>
          <w:rFonts w:hint="default" w:ascii="Times New Roman" w:hAnsi="Times New Roman" w:eastAsia="方正仿宋_GBK" w:cs="Times New Roman"/>
          <w:color w:val="auto"/>
          <w:sz w:val="32"/>
          <w:highlight w:val="none"/>
          <w:lang w:eastAsia="zh-CN"/>
        </w:rPr>
        <w:t>人员</w:t>
      </w:r>
      <w:r>
        <w:rPr>
          <w:rFonts w:hint="default" w:ascii="Times New Roman" w:hAnsi="Times New Roman" w:eastAsia="方正仿宋_GBK" w:cs="Times New Roman"/>
          <w:color w:val="auto"/>
          <w:sz w:val="32"/>
          <w:highlight w:val="none"/>
          <w:lang w:val="en-US" w:eastAsia="zh-CN"/>
        </w:rPr>
        <w:t>变动，导致人员相关</w:t>
      </w:r>
      <w:r>
        <w:rPr>
          <w:rFonts w:hint="default" w:ascii="Times New Roman" w:hAnsi="Times New Roman" w:eastAsia="方正仿宋_GBK" w:cs="Times New Roman"/>
          <w:color w:val="auto"/>
          <w:sz w:val="32"/>
          <w:highlight w:val="none"/>
          <w:lang w:eastAsia="zh-CN"/>
        </w:rPr>
        <w:t>工资</w:t>
      </w:r>
      <w:r>
        <w:rPr>
          <w:rFonts w:hint="default" w:ascii="Times New Roman" w:hAnsi="Times New Roman" w:eastAsia="方正仿宋_GBK" w:cs="Times New Roman"/>
          <w:color w:val="auto"/>
          <w:sz w:val="32"/>
          <w:highlight w:val="none"/>
          <w:lang w:val="en-US" w:eastAsia="zh-CN"/>
        </w:rPr>
        <w:t>福利</w:t>
      </w:r>
      <w:r>
        <w:rPr>
          <w:rFonts w:hint="default" w:ascii="Times New Roman" w:hAnsi="Times New Roman" w:eastAsia="方正仿宋_GBK" w:cs="Times New Roman"/>
          <w:color w:val="auto"/>
          <w:sz w:val="32"/>
          <w:highlight w:val="none"/>
          <w:lang w:eastAsia="zh-CN"/>
        </w:rPr>
        <w:t>、社保、公积金</w:t>
      </w:r>
      <w:r>
        <w:rPr>
          <w:rFonts w:hint="default" w:ascii="Times New Roman" w:hAnsi="Times New Roman" w:eastAsia="方正仿宋_GBK" w:cs="Times New Roman"/>
          <w:color w:val="auto"/>
          <w:sz w:val="32"/>
          <w:highlight w:val="none"/>
          <w:lang w:val="en-US" w:eastAsia="zh-CN"/>
        </w:rPr>
        <w:t>等支出变动</w:t>
      </w:r>
      <w:r>
        <w:rPr>
          <w:rFonts w:hint="default" w:ascii="Times New Roman" w:hAnsi="Times New Roman" w:eastAsia="方正仿宋_GBK" w:cs="Times New Roman"/>
          <w:color w:val="auto"/>
          <w:sz w:val="32"/>
          <w:highlight w:val="none"/>
        </w:rPr>
        <w:t>。</w:t>
      </w:r>
    </w:p>
    <w:p w14:paraId="6E6887B1">
      <w:pPr>
        <w:pStyle w:val="11"/>
        <w:keepNext w:val="0"/>
        <w:keepLines w:val="0"/>
        <w:pageBreakBefore w:val="0"/>
        <w:widowControl/>
        <w:kinsoku/>
        <w:overflowPunct/>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（三）一般公共预算财政拨款收入支出决算情况说明</w:t>
      </w:r>
    </w:p>
    <w:p w14:paraId="4D1C094B">
      <w:pPr>
        <w:pStyle w:val="6"/>
        <w:keepNext w:val="0"/>
        <w:keepLines w:val="0"/>
        <w:pageBreakBefore w:val="0"/>
        <w:widowControl/>
        <w:kinsoku/>
        <w:overflowPunct/>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1.收入情况。</w:t>
      </w:r>
      <w:r>
        <w:rPr>
          <w:rFonts w:hint="default" w:ascii="Times New Roman" w:hAnsi="Times New Roman" w:eastAsia="方正仿宋_GBK" w:cs="Times New Roman"/>
          <w:color w:val="auto"/>
          <w:sz w:val="32"/>
          <w:szCs w:val="32"/>
          <w:highlight w:val="none"/>
          <w:shd w:val="clear" w:color="auto" w:fill="FFFFFF"/>
        </w:rPr>
        <w:t>2023年度一般公共预算财政拨款收入</w:t>
      </w:r>
      <w:r>
        <w:rPr>
          <w:rFonts w:hint="default" w:ascii="Times New Roman" w:hAnsi="Times New Roman" w:eastAsia="方正仿宋_GBK" w:cs="Times New Roman"/>
          <w:color w:val="auto"/>
          <w:sz w:val="32"/>
          <w:szCs w:val="32"/>
          <w:highlight w:val="none"/>
        </w:rPr>
        <w:t>75.30</w:t>
      </w:r>
      <w:r>
        <w:rPr>
          <w:rFonts w:hint="default" w:ascii="Times New Roman" w:hAnsi="Times New Roman" w:eastAsia="方正仿宋_GBK" w:cs="Times New Roman"/>
          <w:color w:val="auto"/>
          <w:sz w:val="32"/>
          <w:szCs w:val="32"/>
          <w:highlight w:val="none"/>
          <w:shd w:val="clear" w:color="auto" w:fill="FFFFFF"/>
        </w:rPr>
        <w:t>万元，较上年决算数减少12.99万元，下降14.71%。主要原因是</w:t>
      </w:r>
      <w:r>
        <w:rPr>
          <w:rFonts w:hint="default" w:ascii="Times New Roman" w:hAnsi="Times New Roman" w:eastAsia="方正仿宋_GBK" w:cs="Times New Roman"/>
          <w:color w:val="auto"/>
          <w:sz w:val="32"/>
          <w:szCs w:val="32"/>
          <w:highlight w:val="none"/>
          <w:shd w:val="clear" w:color="auto" w:fill="FFFFFF"/>
          <w:lang w:val="en-US" w:eastAsia="zh-CN"/>
        </w:rPr>
        <w:t>本年度年中</w:t>
      </w:r>
      <w:r>
        <w:rPr>
          <w:rFonts w:hint="default" w:ascii="Times New Roman" w:hAnsi="Times New Roman" w:eastAsia="方正仿宋_GBK" w:cs="Times New Roman"/>
          <w:color w:val="auto"/>
          <w:sz w:val="32"/>
          <w:highlight w:val="none"/>
          <w:lang w:eastAsia="zh-CN"/>
        </w:rPr>
        <w:t>人员</w:t>
      </w:r>
      <w:r>
        <w:rPr>
          <w:rFonts w:hint="default" w:ascii="Times New Roman" w:hAnsi="Times New Roman" w:eastAsia="方正仿宋_GBK" w:cs="Times New Roman"/>
          <w:color w:val="auto"/>
          <w:sz w:val="32"/>
          <w:highlight w:val="none"/>
          <w:lang w:val="en-US" w:eastAsia="zh-CN"/>
        </w:rPr>
        <w:t>变动，导致人员相关</w:t>
      </w:r>
      <w:r>
        <w:rPr>
          <w:rFonts w:hint="default" w:ascii="Times New Roman" w:hAnsi="Times New Roman" w:eastAsia="方正仿宋_GBK" w:cs="Times New Roman"/>
          <w:color w:val="auto"/>
          <w:sz w:val="32"/>
          <w:highlight w:val="none"/>
          <w:lang w:eastAsia="zh-CN"/>
        </w:rPr>
        <w:t>工资</w:t>
      </w:r>
      <w:r>
        <w:rPr>
          <w:rFonts w:hint="default" w:ascii="Times New Roman" w:hAnsi="Times New Roman" w:eastAsia="方正仿宋_GBK" w:cs="Times New Roman"/>
          <w:color w:val="auto"/>
          <w:sz w:val="32"/>
          <w:highlight w:val="none"/>
          <w:lang w:val="en-US" w:eastAsia="zh-CN"/>
        </w:rPr>
        <w:t>福利</w:t>
      </w:r>
      <w:r>
        <w:rPr>
          <w:rFonts w:hint="default" w:ascii="Times New Roman" w:hAnsi="Times New Roman" w:eastAsia="方正仿宋_GBK" w:cs="Times New Roman"/>
          <w:color w:val="auto"/>
          <w:sz w:val="32"/>
          <w:highlight w:val="none"/>
          <w:lang w:eastAsia="zh-CN"/>
        </w:rPr>
        <w:t>、社保、公积金</w:t>
      </w:r>
      <w:r>
        <w:rPr>
          <w:rFonts w:hint="default" w:ascii="Times New Roman" w:hAnsi="Times New Roman" w:eastAsia="方正仿宋_GBK" w:cs="Times New Roman"/>
          <w:color w:val="auto"/>
          <w:sz w:val="32"/>
          <w:highlight w:val="none"/>
          <w:lang w:val="en-US" w:eastAsia="zh-CN"/>
        </w:rPr>
        <w:t>等支出变动</w:t>
      </w:r>
      <w:r>
        <w:rPr>
          <w:rFonts w:hint="default" w:ascii="Times New Roman" w:hAnsi="Times New Roman" w:eastAsia="方正仿宋_GBK" w:cs="Times New Roman"/>
          <w:color w:val="auto"/>
          <w:sz w:val="32"/>
          <w:highlight w:val="none"/>
        </w:rPr>
        <w:t>。</w:t>
      </w:r>
      <w:r>
        <w:rPr>
          <w:rFonts w:hint="default" w:ascii="Times New Roman" w:hAnsi="Times New Roman" w:eastAsia="方正仿宋_GBK" w:cs="Times New Roman"/>
          <w:color w:val="auto"/>
          <w:sz w:val="32"/>
          <w:szCs w:val="32"/>
          <w:highlight w:val="none"/>
          <w:shd w:val="clear" w:color="auto" w:fill="FFFFFF"/>
        </w:rPr>
        <w:t>较年初预算数减少1.39万元，下降1.81%。主要原因</w:t>
      </w:r>
      <w:r>
        <w:rPr>
          <w:rFonts w:hint="default" w:ascii="Times New Roman" w:hAnsi="Times New Roman" w:eastAsia="方正仿宋_GBK" w:cs="Times New Roman"/>
          <w:color w:val="auto"/>
          <w:sz w:val="32"/>
          <w:szCs w:val="32"/>
          <w:highlight w:val="none"/>
          <w:shd w:val="clear" w:color="auto" w:fill="FFFFFF"/>
          <w:lang w:val="en-US" w:eastAsia="zh-CN"/>
        </w:rPr>
        <w:t>年中</w:t>
      </w:r>
      <w:r>
        <w:rPr>
          <w:rFonts w:hint="default" w:ascii="Times New Roman" w:hAnsi="Times New Roman" w:eastAsia="方正仿宋_GBK" w:cs="Times New Roman"/>
          <w:color w:val="auto"/>
          <w:sz w:val="32"/>
          <w:highlight w:val="none"/>
          <w:lang w:eastAsia="zh-CN"/>
        </w:rPr>
        <w:t>人员</w:t>
      </w:r>
      <w:r>
        <w:rPr>
          <w:rFonts w:hint="default" w:ascii="Times New Roman" w:hAnsi="Times New Roman" w:eastAsia="方正仿宋_GBK" w:cs="Times New Roman"/>
          <w:color w:val="auto"/>
          <w:sz w:val="32"/>
          <w:highlight w:val="none"/>
          <w:lang w:val="en-US" w:eastAsia="zh-CN"/>
        </w:rPr>
        <w:t>变动，导致人员相关</w:t>
      </w:r>
      <w:r>
        <w:rPr>
          <w:rFonts w:hint="default" w:ascii="Times New Roman" w:hAnsi="Times New Roman" w:eastAsia="方正仿宋_GBK" w:cs="Times New Roman"/>
          <w:color w:val="auto"/>
          <w:sz w:val="32"/>
          <w:highlight w:val="none"/>
          <w:lang w:eastAsia="zh-CN"/>
        </w:rPr>
        <w:t>工资</w:t>
      </w:r>
      <w:r>
        <w:rPr>
          <w:rFonts w:hint="default" w:ascii="Times New Roman" w:hAnsi="Times New Roman" w:eastAsia="方正仿宋_GBK" w:cs="Times New Roman"/>
          <w:color w:val="auto"/>
          <w:sz w:val="32"/>
          <w:highlight w:val="none"/>
          <w:lang w:val="en-US" w:eastAsia="zh-CN"/>
        </w:rPr>
        <w:t>福利</w:t>
      </w:r>
      <w:r>
        <w:rPr>
          <w:rFonts w:hint="default" w:ascii="Times New Roman" w:hAnsi="Times New Roman" w:eastAsia="方正仿宋_GBK" w:cs="Times New Roman"/>
          <w:color w:val="auto"/>
          <w:sz w:val="32"/>
          <w:highlight w:val="none"/>
          <w:lang w:eastAsia="zh-CN"/>
        </w:rPr>
        <w:t>、社保、公积金</w:t>
      </w:r>
      <w:r>
        <w:rPr>
          <w:rFonts w:hint="default" w:ascii="Times New Roman" w:hAnsi="Times New Roman" w:eastAsia="方正仿宋_GBK" w:cs="Times New Roman"/>
          <w:color w:val="auto"/>
          <w:sz w:val="32"/>
          <w:highlight w:val="none"/>
          <w:lang w:val="en-US" w:eastAsia="zh-CN"/>
        </w:rPr>
        <w:t>等支出变动</w:t>
      </w:r>
      <w:r>
        <w:rPr>
          <w:rFonts w:hint="default" w:ascii="Times New Roman" w:hAnsi="Times New Roman" w:eastAsia="方正仿宋_GBK" w:cs="Times New Roman"/>
          <w:color w:val="auto"/>
          <w:sz w:val="32"/>
          <w:highlight w:val="none"/>
        </w:rPr>
        <w:t>。</w:t>
      </w:r>
      <w:r>
        <w:rPr>
          <w:rFonts w:hint="default" w:ascii="Times New Roman" w:hAnsi="Times New Roman" w:eastAsia="方正仿宋_GBK" w:cs="Times New Roman"/>
          <w:color w:val="auto"/>
          <w:sz w:val="32"/>
          <w:szCs w:val="32"/>
          <w:highlight w:val="none"/>
          <w:shd w:val="clear" w:color="auto" w:fill="FFFFFF"/>
        </w:rPr>
        <w:t>此外，年初财政拨款结转和结余</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p>
    <w:p w14:paraId="6BEE80EE">
      <w:pPr>
        <w:pStyle w:val="6"/>
        <w:keepNext w:val="0"/>
        <w:keepLines w:val="0"/>
        <w:pageBreakBefore w:val="0"/>
        <w:widowControl/>
        <w:kinsoku/>
        <w:overflowPunct/>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b/>
          <w:bCs w:val="0"/>
          <w:color w:val="auto"/>
          <w:sz w:val="32"/>
          <w:szCs w:val="32"/>
          <w:highlight w:val="none"/>
          <w:shd w:val="clear" w:color="auto" w:fill="FFFFFF"/>
        </w:rPr>
        <w:t>2.支出情况。</w:t>
      </w:r>
      <w:r>
        <w:rPr>
          <w:rFonts w:hint="default" w:ascii="Times New Roman" w:hAnsi="Times New Roman" w:eastAsia="方正仿宋_GBK" w:cs="Times New Roman"/>
          <w:color w:val="auto"/>
          <w:sz w:val="32"/>
          <w:szCs w:val="32"/>
          <w:highlight w:val="none"/>
          <w:shd w:val="clear" w:color="auto" w:fill="FFFFFF"/>
        </w:rPr>
        <w:t>2023年度一般公共预算财政拨款支出</w:t>
      </w:r>
      <w:r>
        <w:rPr>
          <w:rFonts w:hint="default" w:ascii="Times New Roman" w:hAnsi="Times New Roman" w:eastAsia="方正仿宋_GBK" w:cs="Times New Roman"/>
          <w:color w:val="auto"/>
          <w:sz w:val="32"/>
          <w:szCs w:val="32"/>
          <w:highlight w:val="none"/>
        </w:rPr>
        <w:t>75.30</w:t>
      </w:r>
      <w:r>
        <w:rPr>
          <w:rFonts w:hint="default" w:ascii="Times New Roman" w:hAnsi="Times New Roman" w:eastAsia="方正仿宋_GBK" w:cs="Times New Roman"/>
          <w:color w:val="auto"/>
          <w:sz w:val="32"/>
          <w:szCs w:val="32"/>
          <w:highlight w:val="none"/>
          <w:shd w:val="clear" w:color="auto" w:fill="FFFFFF"/>
        </w:rPr>
        <w:t>万元，较上年决算数减少12.99万元，下降14.71%。主要原因是</w:t>
      </w:r>
      <w:r>
        <w:rPr>
          <w:rFonts w:hint="default" w:ascii="Times New Roman" w:hAnsi="Times New Roman" w:eastAsia="方正仿宋_GBK" w:cs="Times New Roman"/>
          <w:color w:val="auto"/>
          <w:sz w:val="32"/>
          <w:szCs w:val="32"/>
          <w:highlight w:val="none"/>
          <w:shd w:val="clear" w:color="auto" w:fill="FFFFFF"/>
          <w:lang w:val="en-US" w:eastAsia="zh-CN"/>
        </w:rPr>
        <w:t>本年度年中</w:t>
      </w:r>
      <w:r>
        <w:rPr>
          <w:rFonts w:hint="default" w:ascii="Times New Roman" w:hAnsi="Times New Roman" w:eastAsia="方正仿宋_GBK" w:cs="Times New Roman"/>
          <w:color w:val="auto"/>
          <w:sz w:val="32"/>
          <w:highlight w:val="none"/>
          <w:lang w:eastAsia="zh-CN"/>
        </w:rPr>
        <w:t>人员</w:t>
      </w:r>
      <w:r>
        <w:rPr>
          <w:rFonts w:hint="default" w:ascii="Times New Roman" w:hAnsi="Times New Roman" w:eastAsia="方正仿宋_GBK" w:cs="Times New Roman"/>
          <w:color w:val="auto"/>
          <w:sz w:val="32"/>
          <w:highlight w:val="none"/>
          <w:lang w:val="en-US" w:eastAsia="zh-CN"/>
        </w:rPr>
        <w:t>变动，导致人员相关</w:t>
      </w:r>
      <w:r>
        <w:rPr>
          <w:rFonts w:hint="default" w:ascii="Times New Roman" w:hAnsi="Times New Roman" w:eastAsia="方正仿宋_GBK" w:cs="Times New Roman"/>
          <w:color w:val="auto"/>
          <w:sz w:val="32"/>
          <w:highlight w:val="none"/>
          <w:lang w:eastAsia="zh-CN"/>
        </w:rPr>
        <w:t>工资</w:t>
      </w:r>
      <w:r>
        <w:rPr>
          <w:rFonts w:hint="default" w:ascii="Times New Roman" w:hAnsi="Times New Roman" w:eastAsia="方正仿宋_GBK" w:cs="Times New Roman"/>
          <w:color w:val="auto"/>
          <w:sz w:val="32"/>
          <w:highlight w:val="none"/>
          <w:lang w:val="en-US" w:eastAsia="zh-CN"/>
        </w:rPr>
        <w:t>福利</w:t>
      </w:r>
      <w:r>
        <w:rPr>
          <w:rFonts w:hint="default" w:ascii="Times New Roman" w:hAnsi="Times New Roman" w:eastAsia="方正仿宋_GBK" w:cs="Times New Roman"/>
          <w:color w:val="auto"/>
          <w:sz w:val="32"/>
          <w:highlight w:val="none"/>
          <w:lang w:eastAsia="zh-CN"/>
        </w:rPr>
        <w:t>、社保、公积金</w:t>
      </w:r>
      <w:r>
        <w:rPr>
          <w:rFonts w:hint="default" w:ascii="Times New Roman" w:hAnsi="Times New Roman" w:eastAsia="方正仿宋_GBK" w:cs="Times New Roman"/>
          <w:color w:val="auto"/>
          <w:sz w:val="32"/>
          <w:highlight w:val="none"/>
          <w:lang w:val="en-US" w:eastAsia="zh-CN"/>
        </w:rPr>
        <w:t>等支出变动</w:t>
      </w:r>
      <w:r>
        <w:rPr>
          <w:rFonts w:hint="default" w:ascii="Times New Roman" w:hAnsi="Times New Roman" w:eastAsia="方正仿宋_GBK" w:cs="Times New Roman"/>
          <w:color w:val="auto"/>
          <w:sz w:val="32"/>
          <w:highlight w:val="none"/>
        </w:rPr>
        <w:t>。</w:t>
      </w:r>
      <w:r>
        <w:rPr>
          <w:rFonts w:hint="default" w:ascii="Times New Roman" w:hAnsi="Times New Roman" w:eastAsia="方正仿宋_GBK" w:cs="Times New Roman"/>
          <w:color w:val="auto"/>
          <w:sz w:val="32"/>
          <w:szCs w:val="32"/>
          <w:highlight w:val="none"/>
          <w:shd w:val="clear" w:color="auto" w:fill="FFFFFF"/>
        </w:rPr>
        <w:t>较年初预算数减少1.39万元，下降1.81%。主要原因是</w:t>
      </w:r>
      <w:r>
        <w:rPr>
          <w:rFonts w:hint="default" w:ascii="Times New Roman" w:hAnsi="Times New Roman" w:eastAsia="方正仿宋_GBK" w:cs="Times New Roman"/>
          <w:color w:val="auto"/>
          <w:sz w:val="32"/>
          <w:szCs w:val="32"/>
          <w:highlight w:val="none"/>
          <w:shd w:val="clear" w:color="auto" w:fill="FFFFFF"/>
          <w:lang w:val="en-US" w:eastAsia="zh-CN"/>
        </w:rPr>
        <w:t>本年度</w:t>
      </w:r>
      <w:r>
        <w:rPr>
          <w:rFonts w:hint="default" w:ascii="Times New Roman" w:hAnsi="Times New Roman" w:eastAsia="方正仿宋_GBK" w:cs="Times New Roman"/>
          <w:color w:val="auto"/>
          <w:sz w:val="32"/>
          <w:highlight w:val="none"/>
          <w:lang w:eastAsia="zh-CN"/>
        </w:rPr>
        <w:t>人员</w:t>
      </w:r>
      <w:r>
        <w:rPr>
          <w:rFonts w:hint="default" w:ascii="Times New Roman" w:hAnsi="Times New Roman" w:eastAsia="方正仿宋_GBK" w:cs="Times New Roman"/>
          <w:color w:val="auto"/>
          <w:sz w:val="32"/>
          <w:highlight w:val="none"/>
          <w:lang w:val="en-US" w:eastAsia="zh-CN"/>
        </w:rPr>
        <w:t>变动，导致人员相关</w:t>
      </w:r>
      <w:r>
        <w:rPr>
          <w:rFonts w:hint="default" w:ascii="Times New Roman" w:hAnsi="Times New Roman" w:eastAsia="方正仿宋_GBK" w:cs="Times New Roman"/>
          <w:color w:val="auto"/>
          <w:sz w:val="32"/>
          <w:highlight w:val="none"/>
          <w:lang w:eastAsia="zh-CN"/>
        </w:rPr>
        <w:t>工资</w:t>
      </w:r>
      <w:r>
        <w:rPr>
          <w:rFonts w:hint="default" w:ascii="Times New Roman" w:hAnsi="Times New Roman" w:eastAsia="方正仿宋_GBK" w:cs="Times New Roman"/>
          <w:color w:val="auto"/>
          <w:sz w:val="32"/>
          <w:highlight w:val="none"/>
          <w:lang w:val="en-US" w:eastAsia="zh-CN"/>
        </w:rPr>
        <w:t>福利</w:t>
      </w:r>
      <w:r>
        <w:rPr>
          <w:rFonts w:hint="default" w:ascii="Times New Roman" w:hAnsi="Times New Roman" w:eastAsia="方正仿宋_GBK" w:cs="Times New Roman"/>
          <w:color w:val="auto"/>
          <w:sz w:val="32"/>
          <w:highlight w:val="none"/>
          <w:lang w:eastAsia="zh-CN"/>
        </w:rPr>
        <w:t>、社保、公积金</w:t>
      </w:r>
      <w:r>
        <w:rPr>
          <w:rFonts w:hint="default" w:ascii="Times New Roman" w:hAnsi="Times New Roman" w:eastAsia="方正仿宋_GBK" w:cs="Times New Roman"/>
          <w:color w:val="auto"/>
          <w:sz w:val="32"/>
          <w:highlight w:val="none"/>
          <w:lang w:val="en-US" w:eastAsia="zh-CN"/>
        </w:rPr>
        <w:t>等支出变动</w:t>
      </w:r>
      <w:r>
        <w:rPr>
          <w:rFonts w:hint="default" w:ascii="Times New Roman" w:hAnsi="Times New Roman" w:eastAsia="方正仿宋_GBK" w:cs="Times New Roman"/>
          <w:color w:val="auto"/>
          <w:sz w:val="32"/>
          <w:highlight w:val="none"/>
        </w:rPr>
        <w:t>。</w:t>
      </w:r>
    </w:p>
    <w:p w14:paraId="4E4F64BD">
      <w:pPr>
        <w:pStyle w:val="6"/>
        <w:keepNext w:val="0"/>
        <w:keepLines w:val="0"/>
        <w:pageBreakBefore w:val="0"/>
        <w:widowControl/>
        <w:kinsoku/>
        <w:overflowPunct/>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3.结转结余情况。</w:t>
      </w:r>
      <w:r>
        <w:rPr>
          <w:rFonts w:hint="default" w:ascii="Times New Roman" w:hAnsi="Times New Roman" w:eastAsia="方正仿宋_GBK" w:cs="Times New Roman"/>
          <w:b w:val="0"/>
          <w:bCs/>
          <w:color w:val="auto"/>
          <w:kern w:val="0"/>
          <w:sz w:val="32"/>
          <w:szCs w:val="32"/>
          <w:highlight w:val="none"/>
          <w:shd w:val="clear" w:fill="FFFFFF"/>
        </w:rPr>
        <w:t>202</w:t>
      </w:r>
      <w:r>
        <w:rPr>
          <w:rFonts w:hint="default" w:ascii="Times New Roman" w:hAnsi="Times New Roman" w:eastAsia="方正仿宋_GBK" w:cs="Times New Roman"/>
          <w:b w:val="0"/>
          <w:bCs/>
          <w:color w:val="auto"/>
          <w:kern w:val="0"/>
          <w:sz w:val="32"/>
          <w:szCs w:val="32"/>
          <w:highlight w:val="none"/>
          <w:shd w:val="clear" w:fill="FFFFFF"/>
          <w:lang w:val="en-US" w:eastAsia="zh-CN"/>
        </w:rPr>
        <w:t>3</w:t>
      </w:r>
      <w:r>
        <w:rPr>
          <w:rFonts w:hint="default" w:ascii="Times New Roman" w:hAnsi="Times New Roman" w:eastAsia="方正仿宋_GBK" w:cs="Times New Roman"/>
          <w:b w:val="0"/>
          <w:bCs/>
          <w:color w:val="auto"/>
          <w:kern w:val="0"/>
          <w:sz w:val="32"/>
          <w:szCs w:val="32"/>
          <w:highlight w:val="none"/>
          <w:shd w:val="clear" w:fill="FFFFFF"/>
        </w:rPr>
        <w:t>年度年末一般公共预算财政拨款结转和结余为0，较上年决算数无增减变动。</w:t>
      </w:r>
    </w:p>
    <w:p w14:paraId="31B85691">
      <w:pPr>
        <w:pStyle w:val="6"/>
        <w:keepNext w:val="0"/>
        <w:keepLines w:val="0"/>
        <w:pageBreakBefore w:val="0"/>
        <w:widowControl/>
        <w:kinsoku/>
        <w:overflowPunct/>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 xml:space="preserve"> 4.比较情况。</w:t>
      </w:r>
      <w:r>
        <w:rPr>
          <w:rFonts w:hint="default" w:ascii="Times New Roman" w:hAnsi="Times New Roman" w:eastAsia="方正仿宋_GBK" w:cs="Times New Roman"/>
          <w:color w:val="auto"/>
          <w:sz w:val="32"/>
          <w:szCs w:val="32"/>
          <w:highlight w:val="none"/>
          <w:shd w:val="clear" w:color="auto" w:fill="FFFFFF"/>
        </w:rPr>
        <w:t>本单位2023年度一般公共预算财政拨款支出主要用于以下几个方面：</w:t>
      </w:r>
    </w:p>
    <w:p w14:paraId="25402C87">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kern w:val="0"/>
          <w:sz w:val="32"/>
          <w:szCs w:val="32"/>
          <w:highlight w:val="none"/>
          <w:shd w:val="clear" w:fill="FFFFFF"/>
        </w:rPr>
      </w:pPr>
      <w:r>
        <w:rPr>
          <w:rFonts w:hint="default" w:ascii="Times New Roman" w:hAnsi="Times New Roman" w:eastAsia="方正仿宋_GBK" w:cs="Times New Roman"/>
          <w:color w:val="auto"/>
          <w:sz w:val="32"/>
          <w:szCs w:val="32"/>
          <w:highlight w:val="none"/>
          <w:shd w:val="clear" w:color="auto" w:fill="FFFFFF"/>
        </w:rPr>
        <w:t>（1）一般公共服务支出</w:t>
      </w:r>
      <w:r>
        <w:rPr>
          <w:rFonts w:hint="default" w:ascii="Times New Roman" w:hAnsi="Times New Roman" w:eastAsia="方正仿宋_GBK" w:cs="Times New Roman"/>
          <w:color w:val="auto"/>
          <w:sz w:val="32"/>
          <w:szCs w:val="32"/>
          <w:highlight w:val="none"/>
        </w:rPr>
        <w:t>60.30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80.08</w:t>
      </w:r>
      <w:r>
        <w:rPr>
          <w:rFonts w:hint="default" w:ascii="Times New Roman" w:hAnsi="Times New Roman" w:eastAsia="方正仿宋_GBK" w:cs="Times New Roman"/>
          <w:color w:val="auto"/>
          <w:sz w:val="32"/>
          <w:szCs w:val="32"/>
          <w:highlight w:val="none"/>
          <w:shd w:val="clear" w:color="auto" w:fill="FFFFFF"/>
        </w:rPr>
        <w:t>%，较年初预算数减少1.40万元，下降2.27%，</w:t>
      </w:r>
      <w:r>
        <w:rPr>
          <w:rFonts w:hint="default" w:ascii="Times New Roman" w:hAnsi="Times New Roman" w:eastAsia="方正仿宋_GBK" w:cs="Times New Roman"/>
          <w:b w:val="0"/>
          <w:bCs w:val="0"/>
          <w:color w:val="auto"/>
          <w:kern w:val="0"/>
          <w:sz w:val="32"/>
          <w:szCs w:val="32"/>
          <w:highlight w:val="none"/>
          <w:shd w:val="clear" w:fill="FFFFFF"/>
        </w:rPr>
        <w:t>主要原因是人员调整、退休、工资福利政策变动等，导致相应支出变动。</w:t>
      </w:r>
    </w:p>
    <w:p w14:paraId="09D4026D">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3</w:t>
      </w:r>
      <w:r>
        <w:rPr>
          <w:rFonts w:hint="default" w:ascii="Times New Roman" w:hAnsi="Times New Roman" w:eastAsia="方正仿宋_GBK" w:cs="Times New Roman"/>
          <w:color w:val="auto"/>
          <w:sz w:val="32"/>
          <w:szCs w:val="32"/>
          <w:highlight w:val="none"/>
          <w:shd w:val="clear" w:color="auto" w:fill="FFFFFF"/>
        </w:rPr>
        <w:t>）社会保障与就业支出</w:t>
      </w:r>
      <w:r>
        <w:rPr>
          <w:rFonts w:hint="default" w:ascii="Times New Roman" w:hAnsi="Times New Roman" w:eastAsia="方正仿宋_GBK" w:cs="Times New Roman"/>
          <w:color w:val="auto"/>
          <w:sz w:val="32"/>
          <w:szCs w:val="32"/>
          <w:highlight w:val="none"/>
        </w:rPr>
        <w:t>7.47</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9.92</w:t>
      </w:r>
      <w:r>
        <w:rPr>
          <w:rFonts w:hint="default" w:ascii="Times New Roman" w:hAnsi="Times New Roman" w:eastAsia="方正仿宋_GBK" w:cs="Times New Roman"/>
          <w:color w:val="auto"/>
          <w:sz w:val="32"/>
          <w:szCs w:val="32"/>
          <w:highlight w:val="none"/>
          <w:shd w:val="clear" w:color="auto" w:fill="FFFFFF"/>
        </w:rPr>
        <w:t>%，较年初预算数无增减，主要原因是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严格执行预算支出</w:t>
      </w:r>
      <w:r>
        <w:rPr>
          <w:rFonts w:hint="default" w:ascii="Times New Roman" w:hAnsi="Times New Roman" w:eastAsia="方正仿宋_GBK" w:cs="Times New Roman"/>
          <w:color w:val="auto"/>
          <w:sz w:val="32"/>
          <w:szCs w:val="32"/>
          <w:highlight w:val="none"/>
          <w:shd w:val="clear" w:color="auto" w:fill="FFFFFF"/>
        </w:rPr>
        <w:t>。</w:t>
      </w:r>
    </w:p>
    <w:p w14:paraId="61AD0105">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4</w:t>
      </w:r>
      <w:r>
        <w:rPr>
          <w:rFonts w:hint="default" w:ascii="Times New Roman" w:hAnsi="Times New Roman" w:eastAsia="方正仿宋_GBK" w:cs="Times New Roman"/>
          <w:color w:val="auto"/>
          <w:sz w:val="32"/>
          <w:szCs w:val="32"/>
          <w:highlight w:val="none"/>
          <w:shd w:val="clear" w:color="auto" w:fill="FFFFFF"/>
        </w:rPr>
        <w:t>）卫生健康支出</w:t>
      </w:r>
      <w:r>
        <w:rPr>
          <w:rFonts w:hint="default" w:ascii="Times New Roman" w:hAnsi="Times New Roman" w:eastAsia="方正仿宋_GBK" w:cs="Times New Roman"/>
          <w:color w:val="auto"/>
          <w:sz w:val="32"/>
          <w:szCs w:val="32"/>
          <w:highlight w:val="none"/>
        </w:rPr>
        <w:t>3.80</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5.04</w:t>
      </w:r>
      <w:r>
        <w:rPr>
          <w:rFonts w:hint="default" w:ascii="Times New Roman" w:hAnsi="Times New Roman" w:eastAsia="方正仿宋_GBK" w:cs="Times New Roman"/>
          <w:color w:val="auto"/>
          <w:sz w:val="32"/>
          <w:szCs w:val="32"/>
          <w:highlight w:val="none"/>
          <w:shd w:val="clear" w:color="auto" w:fill="FFFFFF"/>
        </w:rPr>
        <w:t>%，较年初预算数无增减，主要原因是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严格执行预算支出</w:t>
      </w:r>
      <w:r>
        <w:rPr>
          <w:rFonts w:hint="default" w:ascii="Times New Roman" w:hAnsi="Times New Roman" w:eastAsia="方正仿宋_GBK" w:cs="Times New Roman"/>
          <w:color w:val="auto"/>
          <w:sz w:val="32"/>
          <w:szCs w:val="32"/>
          <w:highlight w:val="none"/>
          <w:shd w:val="clear" w:color="auto" w:fill="FFFFFF"/>
        </w:rPr>
        <w:t>。</w:t>
      </w:r>
    </w:p>
    <w:p w14:paraId="304455C2">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shd w:val="clear" w:color="auto" w:fill="FFFFFF"/>
          <w:lang w:val="en-US" w:eastAsia="zh-CN"/>
        </w:rPr>
        <w:t>5</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highlight w:val="none"/>
        </w:rPr>
        <w:t>住房保障支出3.73</w:t>
      </w:r>
      <w:r>
        <w:rPr>
          <w:rFonts w:hint="default" w:ascii="Times New Roman" w:hAnsi="Times New Roman" w:eastAsia="方正仿宋_GBK" w:cs="Times New Roman"/>
          <w:color w:val="auto"/>
          <w:sz w:val="32"/>
          <w:szCs w:val="32"/>
          <w:highlight w:val="none"/>
          <w:shd w:val="clear" w:color="auto" w:fill="FFFFFF"/>
        </w:rPr>
        <w:t>万元，占</w:t>
      </w:r>
      <w:r>
        <w:rPr>
          <w:rFonts w:hint="default" w:ascii="Times New Roman" w:hAnsi="Times New Roman" w:eastAsia="方正仿宋_GBK" w:cs="Times New Roman"/>
          <w:color w:val="auto"/>
          <w:sz w:val="32"/>
          <w:szCs w:val="32"/>
          <w:highlight w:val="none"/>
        </w:rPr>
        <w:t>4.96</w:t>
      </w:r>
      <w:r>
        <w:rPr>
          <w:rFonts w:hint="default" w:ascii="Times New Roman" w:hAnsi="Times New Roman" w:eastAsia="方正仿宋_GBK" w:cs="Times New Roman"/>
          <w:color w:val="auto"/>
          <w:sz w:val="32"/>
          <w:szCs w:val="32"/>
          <w:highlight w:val="none"/>
          <w:shd w:val="clear" w:color="auto" w:fill="FFFFFF"/>
        </w:rPr>
        <w:t>%，较年初预算数无增减，主要原因是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严格执行预算支出</w:t>
      </w:r>
      <w:r>
        <w:rPr>
          <w:rFonts w:hint="default" w:ascii="Times New Roman" w:hAnsi="Times New Roman" w:eastAsia="方正仿宋_GBK" w:cs="Times New Roman"/>
          <w:color w:val="auto"/>
          <w:sz w:val="32"/>
          <w:szCs w:val="32"/>
          <w:highlight w:val="none"/>
          <w:shd w:val="clear" w:color="auto" w:fill="FFFFFF"/>
        </w:rPr>
        <w:t>。</w:t>
      </w:r>
    </w:p>
    <w:p w14:paraId="0617594F">
      <w:pPr>
        <w:pStyle w:val="11"/>
        <w:keepNext w:val="0"/>
        <w:keepLines w:val="0"/>
        <w:pageBreakBefore w:val="0"/>
        <w:widowControl/>
        <w:kinsoku/>
        <w:overflowPunct/>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（四）一般公共预算财政拨款基本支出决算情况说明</w:t>
      </w:r>
    </w:p>
    <w:p w14:paraId="31A6018E">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2023年度一般公共财政拨款基本支出</w:t>
      </w:r>
      <w:r>
        <w:rPr>
          <w:rFonts w:hint="default" w:ascii="Times New Roman" w:hAnsi="Times New Roman" w:eastAsia="方正仿宋_GBK" w:cs="Times New Roman"/>
          <w:color w:val="auto"/>
          <w:sz w:val="32"/>
          <w:szCs w:val="32"/>
          <w:highlight w:val="none"/>
        </w:rPr>
        <w:t>75.30</w:t>
      </w:r>
      <w:r>
        <w:rPr>
          <w:rFonts w:hint="default" w:ascii="Times New Roman" w:hAnsi="Times New Roman" w:eastAsia="方正仿宋_GBK" w:cs="Times New Roman"/>
          <w:color w:val="auto"/>
          <w:sz w:val="32"/>
          <w:szCs w:val="32"/>
          <w:highlight w:val="none"/>
          <w:shd w:val="clear" w:color="auto" w:fill="FFFFFF"/>
        </w:rPr>
        <w:t>万元。其中：人员经费</w:t>
      </w:r>
      <w:r>
        <w:rPr>
          <w:rFonts w:hint="default" w:ascii="Times New Roman" w:hAnsi="Times New Roman" w:eastAsia="方正仿宋_GBK" w:cs="Times New Roman"/>
          <w:color w:val="auto"/>
          <w:sz w:val="32"/>
          <w:szCs w:val="32"/>
          <w:highlight w:val="none"/>
        </w:rPr>
        <w:t>59.68</w:t>
      </w:r>
      <w:r>
        <w:rPr>
          <w:rFonts w:hint="default" w:ascii="Times New Roman" w:hAnsi="Times New Roman" w:eastAsia="方正仿宋_GBK" w:cs="Times New Roman"/>
          <w:color w:val="auto"/>
          <w:sz w:val="32"/>
          <w:szCs w:val="32"/>
          <w:highlight w:val="none"/>
          <w:shd w:val="clear" w:color="auto" w:fill="FFFFFF"/>
        </w:rPr>
        <w:t>万元，较上年决算数减少13.45万元，下降18.39%，主要原因是</w:t>
      </w:r>
      <w:r>
        <w:rPr>
          <w:rFonts w:hint="default" w:ascii="Times New Roman" w:hAnsi="Times New Roman" w:eastAsia="方正仿宋_GBK" w:cs="Times New Roman"/>
          <w:color w:val="auto"/>
          <w:sz w:val="32"/>
          <w:szCs w:val="32"/>
          <w:highlight w:val="none"/>
          <w:shd w:val="clear" w:color="auto" w:fill="FFFFFF"/>
          <w:lang w:val="en-US" w:eastAsia="zh-CN"/>
        </w:rPr>
        <w:t>本年度年中</w:t>
      </w:r>
      <w:r>
        <w:rPr>
          <w:rFonts w:hint="default" w:ascii="Times New Roman" w:hAnsi="Times New Roman" w:eastAsia="方正仿宋_GBK" w:cs="Times New Roman"/>
          <w:color w:val="auto"/>
          <w:sz w:val="32"/>
          <w:highlight w:val="none"/>
          <w:lang w:eastAsia="zh-CN"/>
        </w:rPr>
        <w:t>人员</w:t>
      </w:r>
      <w:r>
        <w:rPr>
          <w:rFonts w:hint="default" w:ascii="Times New Roman" w:hAnsi="Times New Roman" w:eastAsia="方正仿宋_GBK" w:cs="Times New Roman"/>
          <w:color w:val="auto"/>
          <w:sz w:val="32"/>
          <w:highlight w:val="none"/>
          <w:lang w:val="en-US" w:eastAsia="zh-CN"/>
        </w:rPr>
        <w:t>变动，导致人员相关</w:t>
      </w:r>
      <w:r>
        <w:rPr>
          <w:rFonts w:hint="default" w:ascii="Times New Roman" w:hAnsi="Times New Roman" w:eastAsia="方正仿宋_GBK" w:cs="Times New Roman"/>
          <w:color w:val="auto"/>
          <w:sz w:val="32"/>
          <w:highlight w:val="none"/>
          <w:lang w:eastAsia="zh-CN"/>
        </w:rPr>
        <w:t>工资</w:t>
      </w:r>
      <w:r>
        <w:rPr>
          <w:rFonts w:hint="default" w:ascii="Times New Roman" w:hAnsi="Times New Roman" w:eastAsia="方正仿宋_GBK" w:cs="Times New Roman"/>
          <w:color w:val="auto"/>
          <w:sz w:val="32"/>
          <w:highlight w:val="none"/>
          <w:lang w:val="en-US" w:eastAsia="zh-CN"/>
        </w:rPr>
        <w:t>福利</w:t>
      </w:r>
      <w:r>
        <w:rPr>
          <w:rFonts w:hint="default" w:ascii="Times New Roman" w:hAnsi="Times New Roman" w:eastAsia="方正仿宋_GBK" w:cs="Times New Roman"/>
          <w:color w:val="auto"/>
          <w:sz w:val="32"/>
          <w:highlight w:val="none"/>
          <w:lang w:eastAsia="zh-CN"/>
        </w:rPr>
        <w:t>、社保、公积金</w:t>
      </w:r>
      <w:r>
        <w:rPr>
          <w:rFonts w:hint="default" w:ascii="Times New Roman" w:hAnsi="Times New Roman" w:eastAsia="方正仿宋_GBK" w:cs="Times New Roman"/>
          <w:color w:val="auto"/>
          <w:sz w:val="32"/>
          <w:highlight w:val="none"/>
          <w:lang w:val="en-US" w:eastAsia="zh-CN"/>
        </w:rPr>
        <w:t>等支出变动</w:t>
      </w:r>
      <w:r>
        <w:rPr>
          <w:rFonts w:hint="default" w:ascii="Times New Roman" w:hAnsi="Times New Roman" w:eastAsia="方正仿宋_GBK" w:cs="Times New Roman"/>
          <w:color w:val="auto"/>
          <w:sz w:val="32"/>
          <w:highlight w:val="none"/>
        </w:rPr>
        <w:t>。</w:t>
      </w:r>
      <w:r>
        <w:rPr>
          <w:rFonts w:hint="default" w:ascii="Times New Roman" w:hAnsi="Times New Roman" w:eastAsia="方正仿宋_GBK" w:cs="Times New Roman"/>
          <w:b w:val="0"/>
          <w:bCs w:val="0"/>
          <w:color w:val="auto"/>
          <w:kern w:val="0"/>
          <w:sz w:val="32"/>
          <w:szCs w:val="32"/>
          <w:highlight w:val="none"/>
          <w:shd w:val="clear" w:fill="FFFFFF"/>
        </w:rPr>
        <w:t>人员经费用途主要包括在职人员基本工资、津贴补贴、基础绩效、社会保障缴费等相关开支。</w:t>
      </w:r>
      <w:r>
        <w:rPr>
          <w:rFonts w:hint="default" w:ascii="Times New Roman" w:hAnsi="Times New Roman" w:eastAsia="方正仿宋_GBK" w:cs="Times New Roman"/>
          <w:color w:val="auto"/>
          <w:sz w:val="32"/>
          <w:szCs w:val="32"/>
          <w:highlight w:val="none"/>
          <w:shd w:val="clear" w:color="auto" w:fill="FFFFFF"/>
        </w:rPr>
        <w:t>公用经费</w:t>
      </w:r>
      <w:r>
        <w:rPr>
          <w:rFonts w:hint="default" w:ascii="Times New Roman" w:hAnsi="Times New Roman" w:eastAsia="方正仿宋_GBK" w:cs="Times New Roman"/>
          <w:color w:val="auto"/>
          <w:sz w:val="32"/>
          <w:szCs w:val="32"/>
          <w:highlight w:val="none"/>
        </w:rPr>
        <w:t>15.62</w:t>
      </w:r>
      <w:r>
        <w:rPr>
          <w:rFonts w:hint="default" w:ascii="Times New Roman" w:hAnsi="Times New Roman" w:eastAsia="方正仿宋_GBK" w:cs="Times New Roman"/>
          <w:color w:val="auto"/>
          <w:sz w:val="32"/>
          <w:szCs w:val="32"/>
          <w:highlight w:val="none"/>
          <w:shd w:val="clear" w:color="auto" w:fill="FFFFFF"/>
        </w:rPr>
        <w:t>万元，较上年决算数增加0.47万元，增长3.10%，主要原因是</w:t>
      </w:r>
      <w:r>
        <w:rPr>
          <w:rFonts w:hint="default" w:ascii="Times New Roman" w:hAnsi="Times New Roman" w:eastAsia="方正仿宋_GBK" w:cs="Times New Roman"/>
          <w:color w:val="auto"/>
          <w:sz w:val="32"/>
          <w:szCs w:val="32"/>
          <w:highlight w:val="none"/>
          <w:shd w:val="clear" w:color="auto" w:fill="FFFFFF"/>
          <w:lang w:val="en-US" w:eastAsia="zh-CN"/>
        </w:rPr>
        <w:t>本年度机关办公楼搬迁，劳务办公经费增加等因素导致公用经费增加</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b w:val="0"/>
          <w:bCs/>
          <w:color w:val="auto"/>
          <w:kern w:val="0"/>
          <w:sz w:val="32"/>
          <w:szCs w:val="32"/>
          <w:highlight w:val="none"/>
          <w:shd w:val="clear" w:fill="FFFFFF"/>
        </w:rPr>
        <w:t>公用经费用途主要包括办公费、邮电费、差旅费、</w:t>
      </w:r>
      <w:r>
        <w:rPr>
          <w:rFonts w:hint="default" w:ascii="Times New Roman" w:hAnsi="Times New Roman" w:eastAsia="方正仿宋_GBK" w:cs="Times New Roman"/>
          <w:b w:val="0"/>
          <w:bCs/>
          <w:color w:val="auto"/>
          <w:kern w:val="0"/>
          <w:sz w:val="32"/>
          <w:szCs w:val="32"/>
          <w:highlight w:val="none"/>
          <w:shd w:val="clear" w:fill="FFFFFF"/>
          <w:lang w:val="en-US" w:eastAsia="zh-CN"/>
        </w:rPr>
        <w:t>培训</w:t>
      </w:r>
      <w:r>
        <w:rPr>
          <w:rFonts w:hint="default" w:ascii="Times New Roman" w:hAnsi="Times New Roman" w:eastAsia="方正仿宋_GBK" w:cs="Times New Roman"/>
          <w:b w:val="0"/>
          <w:bCs/>
          <w:color w:val="auto"/>
          <w:kern w:val="0"/>
          <w:sz w:val="32"/>
          <w:szCs w:val="32"/>
          <w:highlight w:val="none"/>
          <w:shd w:val="clear" w:fill="FFFFFF"/>
          <w:lang w:val="en-US" w:eastAsia="zh-CN"/>
        </w:rPr>
        <w:t>费</w:t>
      </w:r>
      <w:r>
        <w:rPr>
          <w:rFonts w:hint="default" w:ascii="Times New Roman" w:hAnsi="Times New Roman" w:eastAsia="方正仿宋_GBK" w:cs="Times New Roman"/>
          <w:b w:val="0"/>
          <w:bCs/>
          <w:color w:val="auto"/>
          <w:kern w:val="0"/>
          <w:sz w:val="32"/>
          <w:szCs w:val="32"/>
          <w:highlight w:val="none"/>
          <w:shd w:val="clear" w:fill="FFFFFF"/>
          <w:lang w:val="en-US" w:eastAsia="zh-CN"/>
        </w:rPr>
        <w:t>、</w:t>
      </w:r>
      <w:r>
        <w:rPr>
          <w:rFonts w:hint="default" w:ascii="Times New Roman" w:hAnsi="Times New Roman" w:eastAsia="方正仿宋_GBK" w:cs="Times New Roman"/>
          <w:b w:val="0"/>
          <w:bCs/>
          <w:color w:val="auto"/>
          <w:kern w:val="0"/>
          <w:sz w:val="32"/>
          <w:szCs w:val="32"/>
          <w:highlight w:val="none"/>
          <w:shd w:val="clear" w:fill="FFFFFF"/>
        </w:rPr>
        <w:t>公车运行维护费等相关开支。</w:t>
      </w:r>
    </w:p>
    <w:p w14:paraId="465C6964">
      <w:pPr>
        <w:pStyle w:val="11"/>
        <w:keepNext w:val="0"/>
        <w:keepLines w:val="0"/>
        <w:pageBreakBefore w:val="0"/>
        <w:widowControl/>
        <w:kinsoku/>
        <w:overflowPunct/>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（五）政府性基金预算收支决算情况说明</w:t>
      </w:r>
    </w:p>
    <w:p w14:paraId="7ADB7AA2">
      <w:pPr>
        <w:pStyle w:val="11"/>
        <w:keepNext w:val="0"/>
        <w:keepLines w:val="0"/>
        <w:pageBreakBefore w:val="0"/>
        <w:widowControl/>
        <w:kinsoku/>
        <w:overflowPunct/>
        <w:autoSpaceDE w:val="0"/>
        <w:autoSpaceDN/>
        <w:bidi w:val="0"/>
        <w:adjustRightInd/>
        <w:spacing w:beforeAutospacing="0" w:afterAutospacing="0" w:line="560" w:lineRule="exact"/>
        <w:ind w:firstLine="643"/>
        <w:textAlignment w:val="auto"/>
        <w:rPr>
          <w:rFonts w:hint="default" w:ascii="Times New Roman" w:hAnsi="Times New Roman" w:eastAsia="方正仿宋_GBK" w:cs="Times New Roman"/>
          <w:b w:val="0"/>
          <w:bCs w:val="0"/>
          <w:color w:val="auto"/>
          <w:kern w:val="0"/>
          <w:sz w:val="32"/>
          <w:szCs w:val="32"/>
          <w:highlight w:val="none"/>
          <w:shd w:val="clear" w:fill="FFFFFF"/>
        </w:rPr>
      </w:pPr>
      <w:r>
        <w:rPr>
          <w:rFonts w:hint="default" w:ascii="Times New Roman" w:hAnsi="Times New Roman" w:eastAsia="方正仿宋_GBK" w:cs="Times New Roman"/>
          <w:b w:val="0"/>
          <w:bCs w:val="0"/>
          <w:color w:val="auto"/>
          <w:kern w:val="0"/>
          <w:sz w:val="32"/>
          <w:szCs w:val="32"/>
          <w:highlight w:val="none"/>
          <w:shd w:val="clear" w:fill="FFFFFF"/>
        </w:rPr>
        <w:t>本部门202</w:t>
      </w:r>
      <w:r>
        <w:rPr>
          <w:rFonts w:hint="default" w:ascii="Times New Roman" w:hAnsi="Times New Roman" w:eastAsia="方正仿宋_GBK" w:cs="Times New Roman"/>
          <w:b w:val="0"/>
          <w:bCs w:val="0"/>
          <w:color w:val="auto"/>
          <w:kern w:val="0"/>
          <w:sz w:val="32"/>
          <w:szCs w:val="32"/>
          <w:highlight w:val="none"/>
          <w:shd w:val="clear" w:fill="FFFFFF"/>
          <w:lang w:val="en-US" w:eastAsia="zh-CN"/>
        </w:rPr>
        <w:t>3</w:t>
      </w:r>
      <w:r>
        <w:rPr>
          <w:rFonts w:hint="default" w:ascii="Times New Roman" w:hAnsi="Times New Roman" w:eastAsia="方正仿宋_GBK" w:cs="Times New Roman"/>
          <w:b w:val="0"/>
          <w:bCs w:val="0"/>
          <w:color w:val="auto"/>
          <w:kern w:val="0"/>
          <w:sz w:val="32"/>
          <w:szCs w:val="32"/>
          <w:highlight w:val="none"/>
          <w:shd w:val="clear" w:fill="FFFFFF"/>
        </w:rPr>
        <w:t>年度无政府性基金预算财政拨款收支</w:t>
      </w:r>
    </w:p>
    <w:p w14:paraId="5336883B">
      <w:pPr>
        <w:pStyle w:val="11"/>
        <w:keepNext w:val="0"/>
        <w:keepLines w:val="0"/>
        <w:pageBreakBefore w:val="0"/>
        <w:widowControl/>
        <w:kinsoku/>
        <w:overflowPunct/>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（六）国有资本经营预算财政拨款支出决算情况说明</w:t>
      </w:r>
    </w:p>
    <w:p w14:paraId="63C70CCA">
      <w:pPr>
        <w:pStyle w:val="6"/>
        <w:keepNext w:val="0"/>
        <w:keepLines w:val="0"/>
        <w:pageBreakBefore w:val="0"/>
        <w:widowControl/>
        <w:shd w:val="clear" w:color="auto" w:fill="FFFFFF"/>
        <w:kinsoku/>
        <w:overflowPunct/>
        <w:autoSpaceDN/>
        <w:bidi w:val="0"/>
        <w:adjustRightInd/>
        <w:spacing w:beforeAutospacing="0" w:after="0" w:afterAutospacing="0" w:line="56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shd w:val="clear" w:fill="FFFFFF"/>
        </w:rPr>
      </w:pPr>
      <w:r>
        <w:rPr>
          <w:rFonts w:hint="default" w:ascii="Times New Roman" w:hAnsi="Times New Roman" w:eastAsia="方正仿宋_GBK" w:cs="Times New Roman"/>
          <w:b w:val="0"/>
          <w:bCs w:val="0"/>
          <w:color w:val="auto"/>
          <w:kern w:val="0"/>
          <w:sz w:val="32"/>
          <w:szCs w:val="32"/>
          <w:highlight w:val="none"/>
          <w:shd w:val="clear" w:fill="FFFFFF"/>
        </w:rPr>
        <w:t>本部门202</w:t>
      </w:r>
      <w:r>
        <w:rPr>
          <w:rFonts w:hint="default" w:ascii="Times New Roman" w:hAnsi="Times New Roman" w:eastAsia="方正仿宋_GBK" w:cs="Times New Roman"/>
          <w:b w:val="0"/>
          <w:bCs w:val="0"/>
          <w:color w:val="auto"/>
          <w:kern w:val="0"/>
          <w:sz w:val="32"/>
          <w:szCs w:val="32"/>
          <w:highlight w:val="none"/>
          <w:shd w:val="clear" w:fill="FFFFFF"/>
          <w:lang w:val="en-US" w:eastAsia="zh-CN"/>
        </w:rPr>
        <w:t>3</w:t>
      </w:r>
      <w:r>
        <w:rPr>
          <w:rFonts w:hint="default" w:ascii="Times New Roman" w:hAnsi="Times New Roman" w:eastAsia="方正仿宋_GBK" w:cs="Times New Roman"/>
          <w:b w:val="0"/>
          <w:bCs w:val="0"/>
          <w:color w:val="auto"/>
          <w:kern w:val="0"/>
          <w:sz w:val="32"/>
          <w:szCs w:val="32"/>
          <w:highlight w:val="none"/>
          <w:shd w:val="clear" w:fill="FFFFFF"/>
        </w:rPr>
        <w:t>年度无国有资本经营预算财政拨款支出。</w:t>
      </w:r>
    </w:p>
    <w:p w14:paraId="57EC7246">
      <w:pPr>
        <w:pStyle w:val="6"/>
        <w:keepNext w:val="0"/>
        <w:keepLines w:val="0"/>
        <w:pageBreakBefore w:val="0"/>
        <w:widowControl/>
        <w:shd w:val="clear" w:color="auto" w:fill="FFFFFF"/>
        <w:kinsoku/>
        <w:overflowPunct/>
        <w:autoSpaceDN/>
        <w:bidi w:val="0"/>
        <w:adjustRightInd/>
        <w:spacing w:beforeAutospacing="0" w:after="0" w:afterAutospacing="0" w:line="560" w:lineRule="exact"/>
        <w:ind w:firstLine="640" w:firstLineChars="200"/>
        <w:textAlignment w:val="auto"/>
        <w:rPr>
          <w:rStyle w:val="10"/>
          <w:rFonts w:hint="default" w:ascii="Times New Roman" w:hAnsi="Times New Roman" w:eastAsia="方正黑体_GBK" w:cs="Times New Roman"/>
          <w:b w:val="0"/>
          <w:bCs/>
          <w:color w:val="auto"/>
          <w:sz w:val="32"/>
          <w:szCs w:val="32"/>
          <w:highlight w:val="none"/>
          <w:shd w:val="clear" w:color="auto" w:fill="FFFFFF"/>
        </w:rPr>
      </w:pPr>
      <w:r>
        <w:rPr>
          <w:rStyle w:val="10"/>
          <w:rFonts w:hint="default" w:ascii="Times New Roman" w:hAnsi="Times New Roman" w:eastAsia="方正黑体_GBK" w:cs="Times New Roman"/>
          <w:b w:val="0"/>
          <w:bCs/>
          <w:color w:val="auto"/>
          <w:sz w:val="32"/>
          <w:szCs w:val="32"/>
          <w:highlight w:val="none"/>
          <w:shd w:val="clear" w:color="auto" w:fill="FFFFFF"/>
        </w:rPr>
        <w:t>三、“三公”经费情况说明</w:t>
      </w:r>
    </w:p>
    <w:p w14:paraId="032946E0">
      <w:pPr>
        <w:pStyle w:val="11"/>
        <w:keepNext w:val="0"/>
        <w:keepLines w:val="0"/>
        <w:pageBreakBefore w:val="0"/>
        <w:widowControl/>
        <w:kinsoku/>
        <w:overflowPunct/>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color w:val="auto"/>
          <w:sz w:val="32"/>
          <w:szCs w:val="32"/>
          <w:highlight w:val="none"/>
          <w:shd w:val="clear" w:color="auto" w:fill="FFFFFF"/>
        </w:rPr>
      </w:pPr>
      <w:r>
        <w:rPr>
          <w:rFonts w:hint="default" w:ascii="Times New Roman" w:hAnsi="Times New Roman" w:eastAsia="楷体" w:cs="Times New Roman"/>
          <w:b/>
          <w:bCs/>
          <w:color w:val="auto"/>
          <w:sz w:val="32"/>
          <w:szCs w:val="32"/>
          <w:highlight w:val="none"/>
          <w:shd w:val="clear" w:color="auto" w:fill="FFFFFF"/>
        </w:rPr>
        <w:t xml:space="preserve"> </w:t>
      </w:r>
      <w:r>
        <w:rPr>
          <w:rFonts w:hint="default" w:ascii="Times New Roman" w:hAnsi="Times New Roman" w:eastAsia="方正楷体_GBK" w:cs="Times New Roman"/>
          <w:b w:val="0"/>
          <w:bCs w:val="0"/>
          <w:color w:val="auto"/>
          <w:sz w:val="32"/>
          <w:szCs w:val="32"/>
          <w:highlight w:val="none"/>
          <w:shd w:val="clear" w:color="auto" w:fill="FFFFFF"/>
        </w:rPr>
        <w:t>（一）“三公”经费支出总体情况说明</w:t>
      </w:r>
    </w:p>
    <w:p w14:paraId="41B008F3">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w:t>
      </w:r>
      <w:r>
        <w:rPr>
          <w:rFonts w:hint="default" w:ascii="Times New Roman" w:hAnsi="Times New Roman" w:eastAsia="方正仿宋_GBK" w:cs="Times New Roman"/>
          <w:color w:val="auto"/>
          <w:sz w:val="32"/>
          <w:szCs w:val="32"/>
          <w:highlight w:val="none"/>
          <w:shd w:val="clear" w:color="auto" w:fill="FFFFFF"/>
        </w:rPr>
        <w:t>“三公”</w:t>
      </w:r>
      <w:r>
        <w:rPr>
          <w:rFonts w:hint="default" w:ascii="Times New Roman" w:hAnsi="Times New Roman" w:eastAsia="方正仿宋_GBK" w:cs="Times New Roman"/>
          <w:color w:val="auto"/>
          <w:sz w:val="32"/>
          <w:szCs w:val="32"/>
          <w:highlight w:val="none"/>
          <w:shd w:val="clear" w:color="auto" w:fill="FFFFFF"/>
        </w:rPr>
        <w:t>经费支出共计</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万元，较年初预算数减少5.22万元，下降100.00%，</w:t>
      </w:r>
      <w:r>
        <w:rPr>
          <w:rFonts w:hint="default" w:ascii="Times New Roman" w:hAnsi="Times New Roman" w:eastAsia="方正仿宋_GBK" w:cs="Times New Roman"/>
          <w:b w:val="0"/>
          <w:bCs w:val="0"/>
          <w:color w:val="auto"/>
          <w:kern w:val="0"/>
          <w:sz w:val="32"/>
          <w:szCs w:val="32"/>
          <w:highlight w:val="none"/>
          <w:shd w:val="clear" w:fill="FFFFFF"/>
        </w:rPr>
        <w:t>主要原因是严格执行预算收支政策，确保不超预算开支</w:t>
      </w:r>
      <w:r>
        <w:rPr>
          <w:rFonts w:hint="default" w:ascii="Times New Roman" w:hAnsi="Times New Roman" w:eastAsia="方正仿宋_GBK" w:cs="Times New Roman"/>
          <w:color w:val="auto"/>
          <w:sz w:val="32"/>
          <w:szCs w:val="32"/>
          <w:highlight w:val="none"/>
          <w:shd w:val="clear" w:color="auto" w:fill="FFFFFF"/>
        </w:rPr>
        <w:t>。较上年支出数减少0.47万元，下降100.00%，</w:t>
      </w:r>
      <w:r>
        <w:rPr>
          <w:rFonts w:hint="default" w:ascii="Times New Roman" w:hAnsi="Times New Roman" w:eastAsia="方正仿宋_GBK" w:cs="Times New Roman"/>
          <w:b w:val="0"/>
          <w:bCs w:val="0"/>
          <w:color w:val="auto"/>
          <w:kern w:val="0"/>
          <w:sz w:val="32"/>
          <w:szCs w:val="32"/>
          <w:highlight w:val="none"/>
          <w:shd w:val="clear" w:fill="FFFFFF"/>
        </w:rPr>
        <w:t>主要原因</w:t>
      </w:r>
      <w:r>
        <w:rPr>
          <w:rFonts w:hint="default" w:ascii="Times New Roman" w:hAnsi="Times New Roman" w:eastAsia="方正仿宋_GBK" w:cs="Times New Roman"/>
          <w:b w:val="0"/>
          <w:bCs w:val="0"/>
          <w:color w:val="auto"/>
          <w:kern w:val="0"/>
          <w:sz w:val="32"/>
          <w:szCs w:val="32"/>
          <w:highlight w:val="none"/>
          <w:shd w:val="clear" w:fill="FFFFFF"/>
          <w:lang w:val="en-US" w:eastAsia="zh-CN"/>
        </w:rPr>
        <w:t>是落实财政过紧日子举措，缩减公车运行维护及公务接待等支出</w:t>
      </w:r>
      <w:r>
        <w:rPr>
          <w:rFonts w:hint="default" w:ascii="Times New Roman" w:hAnsi="Times New Roman" w:eastAsia="方正仿宋_GBK" w:cs="Times New Roman"/>
          <w:color w:val="auto"/>
          <w:sz w:val="32"/>
          <w:szCs w:val="32"/>
          <w:highlight w:val="none"/>
          <w:shd w:val="clear" w:color="auto" w:fill="FFFFFF"/>
        </w:rPr>
        <w:t>。</w:t>
      </w:r>
    </w:p>
    <w:p w14:paraId="247E88AC">
      <w:pPr>
        <w:pStyle w:val="11"/>
        <w:keepNext w:val="0"/>
        <w:keepLines w:val="0"/>
        <w:pageBreakBefore w:val="0"/>
        <w:widowControl/>
        <w:kinsoku/>
        <w:overflowPunct/>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（二）“三公”经费分项支出情况</w:t>
      </w:r>
    </w:p>
    <w:p w14:paraId="35590087">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2023年度本单位</w:t>
      </w:r>
      <w:r>
        <w:rPr>
          <w:rFonts w:hint="default" w:ascii="Times New Roman" w:hAnsi="Times New Roman" w:eastAsia="方正仿宋_GBK" w:cs="Times New Roman"/>
          <w:b w:val="0"/>
          <w:bCs w:val="0"/>
          <w:color w:val="auto"/>
          <w:kern w:val="0"/>
          <w:sz w:val="32"/>
          <w:szCs w:val="32"/>
          <w:highlight w:val="none"/>
          <w:shd w:val="clear" w:fill="FFFFFF"/>
        </w:rPr>
        <w:t>未发生因公出国（境）及公务车购置费用支出。</w:t>
      </w:r>
      <w:r>
        <w:rPr>
          <w:rFonts w:hint="default" w:ascii="Times New Roman" w:hAnsi="Times New Roman" w:eastAsia="方正仿宋_GBK" w:cs="Times New Roman"/>
          <w:color w:val="auto"/>
          <w:sz w:val="32"/>
          <w:szCs w:val="32"/>
          <w:highlight w:val="none"/>
          <w:shd w:val="clear" w:color="auto" w:fill="FFFFFF"/>
        </w:rPr>
        <w:t> </w:t>
      </w:r>
    </w:p>
    <w:p w14:paraId="1D9232A5">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仿宋_GBK" w:cs="Times New Roman"/>
          <w:color w:val="auto"/>
          <w:sz w:val="32"/>
          <w:szCs w:val="32"/>
          <w:highlight w:val="none"/>
          <w:shd w:val="clear" w:color="auto" w:fill="FFFFFF"/>
        </w:rPr>
        <w:t>公务车运行维护费</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b w:val="0"/>
          <w:bCs w:val="0"/>
          <w:color w:val="auto"/>
          <w:kern w:val="0"/>
          <w:sz w:val="32"/>
          <w:szCs w:val="32"/>
          <w:highlight w:val="none"/>
          <w:shd w:val="clear" w:fill="FFFFFF"/>
        </w:rPr>
        <w:t>主要用于市内因公出行所需车辆的燃料费、维修费、过桥过路费、保险费等</w:t>
      </w:r>
      <w:r>
        <w:rPr>
          <w:rFonts w:hint="default" w:ascii="Times New Roman" w:hAnsi="Times New Roman" w:eastAsia="方正仿宋_GBK" w:cs="Times New Roman"/>
          <w:color w:val="auto"/>
          <w:sz w:val="32"/>
          <w:szCs w:val="32"/>
          <w:highlight w:val="none"/>
          <w:shd w:val="clear" w:color="auto" w:fill="FFFFFF"/>
        </w:rPr>
        <w:t>。费用支出较年初预算数减少2.45万元，下降100.00%，主要原因是</w:t>
      </w:r>
      <w:r>
        <w:rPr>
          <w:rFonts w:hint="default" w:ascii="Times New Roman" w:hAnsi="Times New Roman" w:eastAsia="方正仿宋_GBK" w:cs="Times New Roman"/>
          <w:color w:val="auto"/>
          <w:sz w:val="32"/>
          <w:szCs w:val="32"/>
          <w:highlight w:val="none"/>
          <w:shd w:val="clear" w:color="auto" w:fill="FFFFFF"/>
          <w:lang w:val="en-US" w:eastAsia="zh-CN"/>
        </w:rPr>
        <w:t>同机关本级拉通使用公用经费，本二级预算单位未列支相关经费</w:t>
      </w:r>
      <w:r>
        <w:rPr>
          <w:rFonts w:hint="default" w:ascii="Times New Roman" w:hAnsi="Times New Roman" w:eastAsia="方正仿宋_GBK" w:cs="Times New Roman"/>
          <w:color w:val="auto"/>
          <w:sz w:val="32"/>
          <w:szCs w:val="32"/>
          <w:highlight w:val="none"/>
          <w:shd w:val="clear" w:color="auto" w:fill="FFFFFF"/>
        </w:rPr>
        <w:t>。</w:t>
      </w:r>
    </w:p>
    <w:p w14:paraId="63DB55B5">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rPr>
      </w:pPr>
      <w:r>
        <w:rPr>
          <w:rFonts w:hint="default" w:ascii="Times New Roman" w:hAnsi="Times New Roman" w:eastAsia="方正仿宋_GBK" w:cs="Times New Roman"/>
          <w:color w:val="auto"/>
          <w:sz w:val="32"/>
          <w:szCs w:val="32"/>
          <w:highlight w:val="none"/>
          <w:shd w:val="clear" w:color="auto" w:fill="FFFFFF"/>
        </w:rPr>
        <w:t> 公务接待费</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w:t>
      </w:r>
      <w:r>
        <w:rPr>
          <w:rFonts w:hint="default" w:ascii="Times New Roman" w:hAnsi="Times New Roman" w:eastAsia="方正仿宋_GBK" w:cs="Times New Roman"/>
          <w:b w:val="0"/>
          <w:bCs w:val="0"/>
          <w:color w:val="auto"/>
          <w:kern w:val="0"/>
          <w:sz w:val="32"/>
          <w:szCs w:val="32"/>
          <w:highlight w:val="none"/>
          <w:shd w:val="clear" w:fill="FFFFFF"/>
        </w:rPr>
        <w:t>主要用于招商引资</w:t>
      </w:r>
      <w:r>
        <w:rPr>
          <w:rFonts w:hint="default" w:ascii="Times New Roman" w:hAnsi="Times New Roman" w:eastAsia="方正仿宋_GBK" w:cs="Times New Roman"/>
          <w:b w:val="0"/>
          <w:bCs w:val="0"/>
          <w:color w:val="auto"/>
          <w:kern w:val="0"/>
          <w:sz w:val="32"/>
          <w:szCs w:val="32"/>
          <w:highlight w:val="none"/>
          <w:shd w:val="clear" w:fill="FFFFFF"/>
          <w:lang w:eastAsia="zh-CN"/>
        </w:rPr>
        <w:t>、</w:t>
      </w:r>
      <w:r>
        <w:rPr>
          <w:rFonts w:hint="default" w:ascii="Times New Roman" w:hAnsi="Times New Roman" w:eastAsia="方正仿宋_GBK" w:cs="Times New Roman"/>
          <w:b w:val="0"/>
          <w:bCs w:val="0"/>
          <w:color w:val="auto"/>
          <w:kern w:val="0"/>
          <w:sz w:val="32"/>
          <w:szCs w:val="32"/>
          <w:highlight w:val="none"/>
          <w:shd w:val="clear" w:fill="FFFFFF"/>
          <w:lang w:val="en-US" w:eastAsia="zh-CN"/>
        </w:rPr>
        <w:t>来访考察</w:t>
      </w:r>
      <w:r>
        <w:rPr>
          <w:rFonts w:hint="default" w:ascii="Times New Roman" w:hAnsi="Times New Roman" w:eastAsia="方正仿宋_GBK" w:cs="Times New Roman"/>
          <w:b w:val="0"/>
          <w:bCs w:val="0"/>
          <w:color w:val="auto"/>
          <w:kern w:val="0"/>
          <w:sz w:val="32"/>
          <w:szCs w:val="32"/>
          <w:highlight w:val="none"/>
          <w:shd w:val="clear" w:fill="FFFFFF"/>
        </w:rPr>
        <w:t>等接待开支</w:t>
      </w:r>
      <w:r>
        <w:rPr>
          <w:rFonts w:hint="default" w:ascii="Times New Roman" w:hAnsi="Times New Roman" w:eastAsia="方正仿宋_GBK" w:cs="Times New Roman"/>
          <w:color w:val="auto"/>
          <w:sz w:val="32"/>
          <w:szCs w:val="32"/>
          <w:highlight w:val="none"/>
          <w:shd w:val="clear" w:color="auto" w:fill="FFFFFF"/>
        </w:rPr>
        <w:t>。费用支出较年初预算数减少2.77万元，下降100.00%，</w:t>
      </w:r>
      <w:r>
        <w:rPr>
          <w:rFonts w:hint="default" w:ascii="Times New Roman" w:hAnsi="Times New Roman" w:eastAsia="方正仿宋_GBK" w:cs="Times New Roman"/>
          <w:b w:val="0"/>
          <w:bCs w:val="0"/>
          <w:color w:val="auto"/>
          <w:kern w:val="0"/>
          <w:sz w:val="32"/>
          <w:szCs w:val="32"/>
          <w:highlight w:val="none"/>
          <w:shd w:val="clear" w:fill="FFFFFF"/>
        </w:rPr>
        <w:t>主要原因是严格执行预算收支政策，确保不超预算开支</w:t>
      </w:r>
      <w:r>
        <w:rPr>
          <w:rFonts w:hint="default" w:ascii="Times New Roman" w:hAnsi="Times New Roman" w:eastAsia="方正仿宋_GBK" w:cs="Times New Roman"/>
          <w:color w:val="auto"/>
          <w:sz w:val="32"/>
          <w:szCs w:val="32"/>
          <w:highlight w:val="none"/>
          <w:shd w:val="clear" w:color="auto" w:fill="FFFFFF"/>
        </w:rPr>
        <w:t>。较上年支出数减少0.47万元，下降100.00%，主要原因是</w:t>
      </w:r>
      <w:r>
        <w:rPr>
          <w:rFonts w:hint="default" w:ascii="Times New Roman" w:hAnsi="Times New Roman" w:eastAsia="方正仿宋_GBK" w:cs="Times New Roman"/>
          <w:color w:val="auto"/>
          <w:sz w:val="32"/>
          <w:szCs w:val="32"/>
          <w:highlight w:val="none"/>
          <w:shd w:val="clear" w:color="auto" w:fill="FFFFFF"/>
          <w:lang w:val="en-US" w:eastAsia="zh-CN"/>
        </w:rPr>
        <w:t>机关本级拉通使用公用经费，本二级预算单位列支增加招商接待经费。</w:t>
      </w:r>
    </w:p>
    <w:p w14:paraId="0A50F2CE">
      <w:pPr>
        <w:pStyle w:val="11"/>
        <w:keepNext w:val="0"/>
        <w:keepLines w:val="0"/>
        <w:pageBreakBefore w:val="0"/>
        <w:widowControl/>
        <w:kinsoku/>
        <w:overflowPunct/>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（三）“三公”经费实物量情况</w:t>
      </w:r>
    </w:p>
    <w:p w14:paraId="79FDF541">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xml:space="preserve">  </w:t>
      </w:r>
      <w:r>
        <w:rPr>
          <w:rFonts w:hint="default" w:ascii="Times New Roman" w:hAnsi="Times New Roman" w:eastAsia="方正仿宋_GBK" w:cs="Times New Roman"/>
          <w:color w:val="auto"/>
          <w:sz w:val="32"/>
          <w:szCs w:val="32"/>
          <w:highlight w:val="none"/>
          <w:shd w:val="clear" w:color="auto" w:fill="FFFFFF"/>
        </w:rPr>
        <w:t>2023年度本单位因公出国（境）共计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个团组，</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人；公务用车购置</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辆，公务车保有量为</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辆；国内公务接待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人，其中：国内外事接待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人；国（境）外公务接待</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批次，</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人。2023年本单位人均接待费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元，车均购置费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万元，车均维护费</w:t>
      </w:r>
      <w:r>
        <w:rPr>
          <w:rFonts w:hint="default" w:ascii="Times New Roman" w:hAnsi="Times New Roman" w:eastAsia="方正仿宋_GBK" w:cs="Times New Roman"/>
          <w:color w:val="auto"/>
          <w:sz w:val="32"/>
          <w:szCs w:val="32"/>
          <w:highlight w:val="none"/>
        </w:rPr>
        <w:t>0</w:t>
      </w:r>
      <w:r>
        <w:rPr>
          <w:rFonts w:hint="default" w:ascii="Times New Roman" w:hAnsi="Times New Roman" w:eastAsia="方正仿宋_GBK" w:cs="Times New Roman"/>
          <w:color w:val="auto"/>
          <w:sz w:val="32"/>
          <w:szCs w:val="32"/>
          <w:highlight w:val="none"/>
          <w:shd w:val="clear" w:color="auto" w:fill="FFFFFF"/>
        </w:rPr>
        <w:t>万元。</w:t>
      </w:r>
    </w:p>
    <w:p w14:paraId="2972E7C9">
      <w:pPr>
        <w:pStyle w:val="6"/>
        <w:keepNext w:val="0"/>
        <w:keepLines w:val="0"/>
        <w:pageBreakBefore w:val="0"/>
        <w:widowControl/>
        <w:shd w:val="clear" w:color="auto" w:fill="FFFFFF"/>
        <w:kinsoku/>
        <w:overflowPunct/>
        <w:autoSpaceDN/>
        <w:bidi w:val="0"/>
        <w:adjustRightInd/>
        <w:spacing w:beforeAutospacing="0" w:after="0" w:afterAutospacing="0" w:line="560" w:lineRule="exact"/>
        <w:ind w:firstLine="640" w:firstLineChars="200"/>
        <w:textAlignment w:val="auto"/>
        <w:rPr>
          <w:rStyle w:val="10"/>
          <w:rFonts w:hint="default" w:ascii="Times New Roman" w:hAnsi="Times New Roman" w:eastAsia="方正黑体_GBK" w:cs="Times New Roman"/>
          <w:b w:val="0"/>
          <w:bCs/>
          <w:color w:val="auto"/>
          <w:sz w:val="32"/>
          <w:szCs w:val="32"/>
          <w:highlight w:val="none"/>
          <w:shd w:val="clear" w:color="auto" w:fill="FFFFFF"/>
        </w:rPr>
      </w:pPr>
      <w:r>
        <w:rPr>
          <w:rStyle w:val="10"/>
          <w:rFonts w:hint="default" w:ascii="Times New Roman" w:hAnsi="Times New Roman" w:eastAsia="方正黑体_GBK" w:cs="Times New Roman"/>
          <w:b w:val="0"/>
          <w:bCs/>
          <w:color w:val="auto"/>
          <w:sz w:val="32"/>
          <w:szCs w:val="32"/>
          <w:highlight w:val="none"/>
          <w:shd w:val="clear" w:color="auto" w:fill="FFFFFF"/>
        </w:rPr>
        <w:t>四、其他需要说明的事项</w:t>
      </w:r>
    </w:p>
    <w:p w14:paraId="15D5BCB2">
      <w:pPr>
        <w:pStyle w:val="11"/>
        <w:keepNext w:val="0"/>
        <w:keepLines w:val="0"/>
        <w:pageBreakBefore w:val="0"/>
        <w:widowControl/>
        <w:kinsoku/>
        <w:overflowPunct/>
        <w:autoSpaceDE w:val="0"/>
        <w:autoSpaceDN/>
        <w:bidi w:val="0"/>
        <w:adjustRightInd/>
        <w:spacing w:beforeAutospacing="0" w:afterAutospacing="0" w:line="560" w:lineRule="exact"/>
        <w:ind w:firstLine="643"/>
        <w:textAlignment w:val="auto"/>
        <w:rPr>
          <w:rFonts w:hint="default" w:ascii="Times New Roman" w:hAnsi="Times New Roman" w:eastAsia="楷体" w:cs="Times New Roman"/>
          <w:b/>
          <w:bCs/>
          <w:color w:val="auto"/>
          <w:sz w:val="32"/>
          <w:szCs w:val="32"/>
          <w:highlight w:val="none"/>
          <w:shd w:val="clear" w:color="auto" w:fill="FFFFFF"/>
        </w:rPr>
      </w:pPr>
      <w:r>
        <w:rPr>
          <w:rFonts w:hint="default" w:ascii="Times New Roman" w:hAnsi="Times New Roman" w:eastAsia="楷体" w:cs="Times New Roman"/>
          <w:b/>
          <w:bCs/>
          <w:color w:val="auto"/>
          <w:sz w:val="32"/>
          <w:szCs w:val="32"/>
          <w:highlight w:val="none"/>
          <w:shd w:val="clear" w:color="auto" w:fill="FFFFFF"/>
        </w:rPr>
        <w:t xml:space="preserve">  </w:t>
      </w:r>
      <w:r>
        <w:rPr>
          <w:rFonts w:hint="default" w:ascii="Times New Roman" w:hAnsi="Times New Roman" w:eastAsia="方正楷体_GBK" w:cs="Times New Roman"/>
          <w:b w:val="0"/>
          <w:bCs w:val="0"/>
          <w:color w:val="auto"/>
          <w:sz w:val="32"/>
          <w:szCs w:val="32"/>
          <w:highlight w:val="none"/>
          <w:shd w:val="clear" w:color="auto" w:fill="FFFFFF"/>
        </w:rPr>
        <w:t>（一）财政拨款会议费和培训费情况说明</w:t>
      </w:r>
    </w:p>
    <w:p w14:paraId="700FFD42">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仿宋_GBK" w:cs="Times New Roman"/>
          <w:color w:val="auto"/>
          <w:sz w:val="32"/>
          <w:szCs w:val="32"/>
          <w:highlight w:val="none"/>
          <w:shd w:val="clear" w:color="auto" w:fill="FFFFFF"/>
        </w:rPr>
        <w:t xml:space="preserve"> 本年度会议费支出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万元，较上年决算数无增减，主要原因是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本年未在此二级单位列支会议相关事项经费支出</w:t>
      </w:r>
      <w:r>
        <w:rPr>
          <w:rFonts w:hint="default" w:ascii="Times New Roman" w:hAnsi="Times New Roman" w:eastAsia="方正仿宋_GBK" w:cs="Times New Roman"/>
          <w:color w:val="auto"/>
          <w:sz w:val="32"/>
          <w:szCs w:val="32"/>
          <w:highlight w:val="none"/>
          <w:shd w:val="clear" w:color="auto" w:fill="FFFFFF"/>
        </w:rPr>
        <w:t>。本年度培训费支出</w:t>
      </w:r>
      <w:r>
        <w:rPr>
          <w:rFonts w:hint="default" w:ascii="Times New Roman" w:hAnsi="Times New Roman" w:eastAsia="方正仿宋_GBK" w:cs="Times New Roman"/>
          <w:color w:val="auto"/>
          <w:sz w:val="32"/>
          <w:szCs w:val="32"/>
          <w:highlight w:val="none"/>
        </w:rPr>
        <w:t>0.13</w:t>
      </w:r>
      <w:r>
        <w:rPr>
          <w:rFonts w:hint="default" w:ascii="Times New Roman" w:hAnsi="Times New Roman" w:eastAsia="方正仿宋_GBK" w:cs="Times New Roman"/>
          <w:color w:val="auto"/>
          <w:sz w:val="32"/>
          <w:szCs w:val="32"/>
          <w:highlight w:val="none"/>
          <w:shd w:val="clear" w:color="auto" w:fill="FFFFFF"/>
        </w:rPr>
        <w:t>万元，较上年决算数增加0.13万元，增长100.00%，主要原因是</w:t>
      </w:r>
      <w:r>
        <w:rPr>
          <w:rFonts w:hint="default" w:ascii="Times New Roman" w:hAnsi="Times New Roman" w:eastAsia="方正仿宋_GBK" w:cs="Times New Roman"/>
          <w:color w:val="auto"/>
          <w:sz w:val="32"/>
          <w:szCs w:val="32"/>
          <w:highlight w:val="none"/>
          <w:shd w:val="clear" w:color="auto" w:fill="FFFFFF"/>
          <w:lang w:val="en-US" w:eastAsia="zh-CN"/>
        </w:rPr>
        <w:t>本年增加在此二级单位的培训相关事项经费支出</w:t>
      </w:r>
      <w:r>
        <w:rPr>
          <w:rFonts w:hint="default" w:ascii="Times New Roman" w:hAnsi="Times New Roman" w:eastAsia="方正仿宋_GBK" w:cs="Times New Roman"/>
          <w:color w:val="auto"/>
          <w:sz w:val="32"/>
          <w:szCs w:val="32"/>
          <w:highlight w:val="none"/>
          <w:shd w:val="clear" w:color="auto" w:fill="FFFFFF"/>
        </w:rPr>
        <w:t>。</w:t>
      </w:r>
    </w:p>
    <w:p w14:paraId="487943D7">
      <w:pPr>
        <w:pStyle w:val="11"/>
        <w:keepNext w:val="0"/>
        <w:keepLines w:val="0"/>
        <w:pageBreakBefore w:val="0"/>
        <w:widowControl/>
        <w:kinsoku/>
        <w:overflowPunct/>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（二）机关运行经费情况说明</w:t>
      </w:r>
    </w:p>
    <w:p w14:paraId="1EA98DCD">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2023年度本单位机关运行经费支出</w:t>
      </w:r>
      <w:r>
        <w:rPr>
          <w:rFonts w:hint="default" w:ascii="Times New Roman" w:hAnsi="Times New Roman" w:eastAsia="方正仿宋_GBK" w:cs="Times New Roman"/>
          <w:color w:val="auto"/>
          <w:sz w:val="32"/>
          <w:szCs w:val="32"/>
          <w:highlight w:val="none"/>
        </w:rPr>
        <w:t>0.00</w:t>
      </w:r>
      <w:r>
        <w:rPr>
          <w:rFonts w:hint="default" w:ascii="Times New Roman" w:hAnsi="Times New Roman" w:eastAsia="方正仿宋_GBK" w:cs="Times New Roman"/>
          <w:color w:val="auto"/>
          <w:sz w:val="32"/>
          <w:szCs w:val="32"/>
          <w:highlight w:val="none"/>
          <w:shd w:val="clear" w:color="auto" w:fill="FFFFFF"/>
        </w:rPr>
        <w:t>万元，机关运行经费</w:t>
      </w:r>
      <w:r>
        <w:rPr>
          <w:rFonts w:hint="default" w:ascii="Times New Roman" w:hAnsi="Times New Roman" w:eastAsia="方正仿宋_GBK" w:cs="Times New Roman"/>
          <w:color w:val="auto"/>
          <w:sz w:val="32"/>
          <w:szCs w:val="32"/>
          <w:highlight w:val="none"/>
          <w:shd w:val="clear" w:fill="FFFFFF"/>
          <w:lang w:eastAsia="zh-CN"/>
        </w:rPr>
        <w:t>主要用于开支办公费、差旅费、驻村人员补贴等</w:t>
      </w:r>
      <w:r>
        <w:rPr>
          <w:rFonts w:hint="default" w:ascii="Times New Roman" w:hAnsi="Times New Roman" w:eastAsia="方正仿宋_GBK" w:cs="Times New Roman"/>
          <w:color w:val="auto"/>
          <w:sz w:val="32"/>
          <w:szCs w:val="32"/>
          <w:highlight w:val="none"/>
          <w:shd w:val="clear" w:color="auto" w:fill="FFFFFF"/>
        </w:rPr>
        <w:t>。机关运行经费较上年支出数无增减，主要原因是</w:t>
      </w:r>
      <w:r>
        <w:rPr>
          <w:rFonts w:hint="default" w:ascii="Times New Roman" w:hAnsi="Times New Roman" w:eastAsia="方正仿宋_GBK" w:cs="Times New Roman"/>
          <w:color w:val="auto"/>
          <w:sz w:val="32"/>
          <w:szCs w:val="32"/>
          <w:highlight w:val="none"/>
          <w:shd w:val="clear" w:color="auto" w:fill="FFFFFF"/>
          <w:lang w:val="en-US" w:eastAsia="zh-CN"/>
        </w:rPr>
        <w:t>本二级单位同本级机关及其他下属二级单位拉通使用机关运行经费</w:t>
      </w:r>
      <w:r>
        <w:rPr>
          <w:rFonts w:hint="default" w:ascii="Times New Roman" w:hAnsi="Times New Roman" w:eastAsia="方正仿宋_GBK" w:cs="Times New Roman"/>
          <w:color w:val="auto"/>
          <w:sz w:val="32"/>
          <w:szCs w:val="32"/>
          <w:highlight w:val="none"/>
          <w:shd w:val="clear" w:color="auto" w:fill="FFFFFF"/>
        </w:rPr>
        <w:t>。</w:t>
      </w:r>
    </w:p>
    <w:p w14:paraId="425C521D">
      <w:pPr>
        <w:pStyle w:val="11"/>
        <w:keepNext w:val="0"/>
        <w:keepLines w:val="0"/>
        <w:pageBreakBefore w:val="0"/>
        <w:widowControl/>
        <w:kinsoku/>
        <w:overflowPunct/>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（三）国有资产占用情况说明</w:t>
      </w:r>
    </w:p>
    <w:p w14:paraId="76FC4EC8">
      <w:pPr>
        <w:pStyle w:val="12"/>
        <w:keepNext w:val="0"/>
        <w:keepLines w:val="0"/>
        <w:pageBreakBefore w:val="0"/>
        <w:widowControl/>
        <w:suppressLineNumbers w:val="0"/>
        <w:kinsoku/>
        <w:overflowPunct/>
        <w:topLinePunct/>
        <w:autoSpaceDE w:val="0"/>
        <w:autoSpaceDN/>
        <w:bidi w:val="0"/>
        <w:adjustRightInd/>
        <w:spacing w:before="0" w:beforeAutospacing="0" w:after="0" w:afterAutospacing="0" w:line="560" w:lineRule="exact"/>
        <w:ind w:left="0" w:firstLine="640" w:firstLineChars="200"/>
        <w:jc w:val="left"/>
        <w:textAlignment w:val="auto"/>
        <w:rPr>
          <w:rFonts w:hint="default" w:ascii="Times New Roman" w:hAnsi="Times New Roman" w:eastAsia="方正仿宋_GBK" w:cs="Times New Roman"/>
          <w:b w:val="0"/>
          <w:bCs/>
          <w:color w:val="auto"/>
          <w:kern w:val="0"/>
          <w:sz w:val="32"/>
          <w:szCs w:val="32"/>
          <w:highlight w:val="none"/>
        </w:rPr>
      </w:pPr>
      <w:r>
        <w:rPr>
          <w:rFonts w:hint="default" w:ascii="Times New Roman" w:hAnsi="Times New Roman" w:eastAsia="方正仿宋_GBK" w:cs="Times New Roman"/>
          <w:b w:val="0"/>
          <w:bCs/>
          <w:color w:val="auto"/>
          <w:kern w:val="0"/>
          <w:sz w:val="32"/>
          <w:szCs w:val="32"/>
          <w:highlight w:val="none"/>
        </w:rPr>
        <w:t>因本二级预算单位同本级机关拉通使用资产，我单位资产未纳入部门决算报表。</w:t>
      </w:r>
    </w:p>
    <w:p w14:paraId="00ACF758">
      <w:pPr>
        <w:pStyle w:val="11"/>
        <w:keepNext w:val="0"/>
        <w:keepLines w:val="0"/>
        <w:pageBreakBefore w:val="0"/>
        <w:widowControl/>
        <w:kinsoku/>
        <w:overflowPunct/>
        <w:autoSpaceDE w:val="0"/>
        <w:autoSpaceDN/>
        <w:bidi w:val="0"/>
        <w:adjustRightInd/>
        <w:spacing w:beforeAutospacing="0" w:afterAutospacing="0" w:line="560" w:lineRule="exact"/>
        <w:ind w:firstLine="643"/>
        <w:textAlignment w:val="auto"/>
        <w:rPr>
          <w:rFonts w:hint="default" w:ascii="Times New Roman" w:hAnsi="Times New Roman" w:eastAsia="方正楷体_GBK" w:cs="Times New Roman"/>
          <w:b w:val="0"/>
          <w:bCs w:val="0"/>
          <w:color w:val="auto"/>
          <w:sz w:val="32"/>
          <w:szCs w:val="32"/>
          <w:highlight w:val="none"/>
          <w:shd w:val="clear" w:color="auto" w:fill="FFFFFF"/>
        </w:rPr>
      </w:pPr>
      <w:r>
        <w:rPr>
          <w:rFonts w:hint="default" w:ascii="Times New Roman" w:hAnsi="Times New Roman" w:eastAsia="方正楷体_GBK" w:cs="Times New Roman"/>
          <w:b w:val="0"/>
          <w:bCs w:val="0"/>
          <w:color w:val="auto"/>
          <w:sz w:val="32"/>
          <w:szCs w:val="32"/>
          <w:highlight w:val="none"/>
          <w:shd w:val="clear" w:color="auto" w:fill="FFFFFF"/>
        </w:rPr>
        <w:t>（四）政府采购支出情况说明</w:t>
      </w:r>
    </w:p>
    <w:p w14:paraId="76D00751">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color="auto" w:fill="FFFFFF"/>
        </w:rPr>
        <w:t>2023年度我单位未发生政府采购事项，无相关经费支出。</w:t>
      </w:r>
    </w:p>
    <w:p w14:paraId="3365970E">
      <w:pPr>
        <w:pStyle w:val="6"/>
        <w:keepNext w:val="0"/>
        <w:keepLines w:val="0"/>
        <w:pageBreakBefore w:val="0"/>
        <w:widowControl/>
        <w:shd w:val="clear" w:color="auto" w:fill="FFFFFF"/>
        <w:kinsoku/>
        <w:overflowPunct/>
        <w:autoSpaceDN/>
        <w:bidi w:val="0"/>
        <w:adjustRightInd/>
        <w:spacing w:beforeAutospacing="0" w:after="0" w:afterAutospacing="0" w:line="560" w:lineRule="exact"/>
        <w:ind w:firstLine="640" w:firstLineChars="200"/>
        <w:textAlignment w:val="auto"/>
        <w:rPr>
          <w:rStyle w:val="10"/>
          <w:rFonts w:hint="default" w:ascii="Times New Roman" w:hAnsi="Times New Roman" w:eastAsia="方正黑体_GBK" w:cs="Times New Roman"/>
          <w:b w:val="0"/>
          <w:bCs/>
          <w:color w:val="auto"/>
          <w:sz w:val="32"/>
          <w:szCs w:val="32"/>
          <w:highlight w:val="none"/>
          <w:shd w:val="clear" w:color="auto" w:fill="FFFFFF"/>
        </w:rPr>
      </w:pPr>
      <w:r>
        <w:rPr>
          <w:rStyle w:val="10"/>
          <w:rFonts w:hint="default" w:ascii="Times New Roman" w:hAnsi="Times New Roman" w:eastAsia="方正黑体_GBK" w:cs="Times New Roman"/>
          <w:b w:val="0"/>
          <w:bCs/>
          <w:color w:val="auto"/>
          <w:sz w:val="32"/>
          <w:szCs w:val="32"/>
          <w:highlight w:val="none"/>
          <w:shd w:val="clear" w:color="auto" w:fill="FFFFFF"/>
          <w:lang w:val="en-US" w:eastAsia="zh-CN"/>
        </w:rPr>
        <w:t>五、</w:t>
      </w:r>
      <w:r>
        <w:rPr>
          <w:rStyle w:val="10"/>
          <w:rFonts w:hint="default" w:ascii="Times New Roman" w:hAnsi="Times New Roman" w:eastAsia="方正黑体_GBK" w:cs="Times New Roman"/>
          <w:b w:val="0"/>
          <w:bCs/>
          <w:color w:val="auto"/>
          <w:sz w:val="32"/>
          <w:szCs w:val="32"/>
          <w:highlight w:val="none"/>
          <w:shd w:val="clear" w:color="auto" w:fill="FFFFFF"/>
        </w:rPr>
        <w:t>预算绩效管理情况说明</w:t>
      </w:r>
    </w:p>
    <w:p w14:paraId="2AAC70D8">
      <w:pPr>
        <w:pStyle w:val="12"/>
        <w:keepNext w:val="0"/>
        <w:keepLines w:val="0"/>
        <w:pageBreakBefore w:val="0"/>
        <w:widowControl/>
        <w:suppressLineNumbers w:val="0"/>
        <w:kinsoku/>
        <w:overflowPunct/>
        <w:topLinePunct/>
        <w:autoSpaceDE w:val="0"/>
        <w:autoSpaceDN/>
        <w:bidi w:val="0"/>
        <w:adjustRightInd/>
        <w:spacing w:before="0" w:beforeAutospacing="0" w:after="0" w:afterAutospacing="0" w:line="560" w:lineRule="exact"/>
        <w:ind w:left="0" w:firstLine="640" w:firstLineChars="200"/>
        <w:jc w:val="left"/>
        <w:textAlignment w:val="auto"/>
        <w:rPr>
          <w:rFonts w:hint="default" w:ascii="Times New Roman" w:hAnsi="Times New Roman" w:eastAsia="方正仿宋_GBK" w:cs="Times New Roman"/>
          <w:b w:val="0"/>
          <w:bCs/>
          <w:color w:val="auto"/>
          <w:kern w:val="0"/>
          <w:sz w:val="32"/>
          <w:szCs w:val="32"/>
          <w:highlight w:val="none"/>
        </w:rPr>
      </w:pPr>
      <w:r>
        <w:rPr>
          <w:rFonts w:hint="default" w:ascii="Times New Roman" w:hAnsi="Times New Roman" w:eastAsia="方正仿宋_GBK" w:cs="Times New Roman"/>
          <w:b w:val="0"/>
          <w:bCs/>
          <w:color w:val="auto"/>
          <w:kern w:val="0"/>
          <w:sz w:val="32"/>
          <w:szCs w:val="32"/>
          <w:highlight w:val="none"/>
        </w:rPr>
        <w:t>项目类支出均在机关本级统一核算，二级预算单位无独立预算项目。</w:t>
      </w:r>
    </w:p>
    <w:p w14:paraId="389ED727">
      <w:pPr>
        <w:pStyle w:val="6"/>
        <w:keepNext w:val="0"/>
        <w:keepLines w:val="0"/>
        <w:pageBreakBefore w:val="0"/>
        <w:widowControl/>
        <w:shd w:val="clear" w:color="auto" w:fill="FFFFFF"/>
        <w:kinsoku/>
        <w:overflowPunct/>
        <w:autoSpaceDN/>
        <w:bidi w:val="0"/>
        <w:adjustRightInd/>
        <w:spacing w:beforeAutospacing="0" w:after="0" w:afterAutospacing="0" w:line="560" w:lineRule="exact"/>
        <w:ind w:firstLine="640" w:firstLineChars="200"/>
        <w:textAlignment w:val="auto"/>
        <w:rPr>
          <w:rStyle w:val="10"/>
          <w:rFonts w:hint="default" w:ascii="Times New Roman" w:hAnsi="Times New Roman" w:eastAsia="方正黑体_GBK" w:cs="Times New Roman"/>
          <w:b w:val="0"/>
          <w:bCs/>
          <w:color w:val="auto"/>
          <w:sz w:val="32"/>
          <w:szCs w:val="32"/>
          <w:highlight w:val="none"/>
          <w:shd w:val="clear" w:color="auto" w:fill="FFFFFF"/>
        </w:rPr>
      </w:pPr>
      <w:r>
        <w:rPr>
          <w:rStyle w:val="10"/>
          <w:rFonts w:hint="default" w:ascii="Times New Roman" w:hAnsi="Times New Roman" w:eastAsia="方正黑体_GBK" w:cs="Times New Roman"/>
          <w:b w:val="0"/>
          <w:bCs/>
          <w:color w:val="auto"/>
          <w:sz w:val="32"/>
          <w:szCs w:val="32"/>
          <w:highlight w:val="none"/>
          <w:shd w:val="clear" w:color="auto" w:fill="FFFFFF"/>
        </w:rPr>
        <w:t>  六、专业名词解释</w:t>
      </w:r>
    </w:p>
    <w:p w14:paraId="06DAA62B">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 （一）财政拨款收入：</w:t>
      </w:r>
      <w:r>
        <w:rPr>
          <w:rFonts w:hint="default" w:ascii="Times New Roman" w:hAnsi="Times New Roman" w:eastAsia="方正仿宋_GBK" w:cs="Times New Roman"/>
          <w:color w:val="auto"/>
          <w:sz w:val="32"/>
          <w:szCs w:val="32"/>
          <w:highlight w:val="none"/>
          <w:shd w:val="clear" w:color="auto" w:fill="FFFFFF"/>
        </w:rPr>
        <w:t>指本年度从本级财政部门取得的财政拨款，包括一般公共预算财政拨款和政府性基金预算财政拨款。</w:t>
      </w:r>
    </w:p>
    <w:p w14:paraId="2BD2D99F">
      <w:pPr>
        <w:pStyle w:val="6"/>
        <w:keepNext w:val="0"/>
        <w:keepLines w:val="0"/>
        <w:pageBreakBefore w:val="0"/>
        <w:widowControl/>
        <w:kinsoku/>
        <w:overflowPunct/>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（二）事业收入：</w:t>
      </w:r>
      <w:r>
        <w:rPr>
          <w:rFonts w:hint="default" w:ascii="Times New Roman" w:hAnsi="Times New Roman" w:eastAsia="方正仿宋_GBK" w:cs="Times New Roman"/>
          <w:color w:val="auto"/>
          <w:sz w:val="32"/>
          <w:szCs w:val="32"/>
          <w:highlight w:val="none"/>
          <w:shd w:val="clear" w:color="auto" w:fill="FFFFFF"/>
        </w:rPr>
        <w:t>指事业单位开展专业业务活动及其辅助活动取得的现金流入；事业单位收到的财政专户实际核拨的教育收费等资金在此反映。</w:t>
      </w:r>
    </w:p>
    <w:p w14:paraId="6ED116C1">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 （三）经营收入：</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指事业单位在专业业务活动及其辅助活动之外开展非独立核算经营活动取得的现金流入。</w:t>
      </w:r>
    </w:p>
    <w:p w14:paraId="0234D954">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 （四）其他收入：</w:t>
      </w:r>
      <w:r>
        <w:rPr>
          <w:rFonts w:hint="default" w:ascii="Times New Roman" w:hAnsi="Times New Roman" w:eastAsia="方正仿宋_GBK" w:cs="Times New Roman"/>
          <w:color w:val="auto"/>
          <w:sz w:val="32"/>
          <w:szCs w:val="32"/>
          <w:highlight w:val="none"/>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48AADC4">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（五）使用非财政拨款结余：</w:t>
      </w:r>
      <w:r>
        <w:rPr>
          <w:rFonts w:hint="default" w:ascii="Times New Roman" w:hAnsi="Times New Roman" w:eastAsia="方正仿宋_GBK" w:cs="Times New Roman"/>
          <w:color w:val="auto"/>
          <w:sz w:val="32"/>
          <w:szCs w:val="32"/>
          <w:highlight w:val="none"/>
          <w:shd w:val="clear" w:color="auto" w:fill="FFFFFF"/>
        </w:rPr>
        <w:t>指单位在当年的“财政拨款收入”、“事业收入”、“经营收入”、“其他收入”等不足以安排当年支出的情况下，使用以前年度积累的非财政拨款结余弥补本年度收支缺口的资金。</w:t>
      </w:r>
    </w:p>
    <w:p w14:paraId="0B689CF4">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 （六）年初结转和结余：</w:t>
      </w:r>
      <w:r>
        <w:rPr>
          <w:rFonts w:hint="default" w:ascii="Times New Roman" w:hAnsi="Times New Roman" w:eastAsia="方正仿宋_GBK" w:cs="Times New Roman"/>
          <w:color w:val="auto"/>
          <w:sz w:val="32"/>
          <w:szCs w:val="32"/>
          <w:highlight w:val="none"/>
          <w:shd w:val="clear" w:color="auto" w:fill="FFFFFF"/>
        </w:rPr>
        <w:t>指单位上年结转本年使用的基本支出结转、项目支出结转和结余、经营结余。</w:t>
      </w:r>
    </w:p>
    <w:p w14:paraId="7C2486BD">
      <w:pPr>
        <w:pStyle w:val="6"/>
        <w:keepNext w:val="0"/>
        <w:keepLines w:val="0"/>
        <w:pageBreakBefore w:val="0"/>
        <w:widowControl/>
        <w:kinsoku/>
        <w:overflowPunct/>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（七）结余分配：</w:t>
      </w:r>
      <w:r>
        <w:rPr>
          <w:rFonts w:hint="default" w:ascii="Times New Roman" w:hAnsi="Times New Roman" w:eastAsia="方正仿宋_GBK" w:cs="Times New Roman"/>
          <w:color w:val="auto"/>
          <w:sz w:val="32"/>
          <w:szCs w:val="32"/>
          <w:highlight w:val="none"/>
          <w:shd w:val="clear" w:color="auto" w:fill="FFFFFF"/>
        </w:rPr>
        <w:t>指单位按照国家有关规定，缴纳所得税、提取专用基金、转入非财政拨款结余等当年结余的分配情况。</w:t>
      </w:r>
    </w:p>
    <w:p w14:paraId="40E0FA0C">
      <w:pPr>
        <w:pStyle w:val="6"/>
        <w:keepNext w:val="0"/>
        <w:keepLines w:val="0"/>
        <w:pageBreakBefore w:val="0"/>
        <w:widowControl/>
        <w:kinsoku/>
        <w:overflowPunct/>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（八）年末结转和结余：</w:t>
      </w:r>
      <w:r>
        <w:rPr>
          <w:rFonts w:hint="default" w:ascii="Times New Roman" w:hAnsi="Times New Roman" w:eastAsia="方正仿宋_GBK" w:cs="Times New Roman"/>
          <w:color w:val="auto"/>
          <w:sz w:val="32"/>
          <w:szCs w:val="32"/>
          <w:highlight w:val="none"/>
          <w:shd w:val="clear" w:color="auto" w:fill="FFFFFF"/>
        </w:rPr>
        <w:t>指单位结转下年的基本支出结转、项目支出结转和结余、经营结余。</w:t>
      </w:r>
    </w:p>
    <w:p w14:paraId="165CF705">
      <w:pPr>
        <w:pStyle w:val="6"/>
        <w:keepNext w:val="0"/>
        <w:keepLines w:val="0"/>
        <w:pageBreakBefore w:val="0"/>
        <w:widowControl/>
        <w:kinsoku/>
        <w:overflowPunct/>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（九）基本支出：</w:t>
      </w:r>
      <w:r>
        <w:rPr>
          <w:rFonts w:hint="default" w:ascii="Times New Roman" w:hAnsi="Times New Roman" w:eastAsia="方正仿宋_GBK" w:cs="Times New Roman"/>
          <w:color w:val="auto"/>
          <w:sz w:val="32"/>
          <w:szCs w:val="32"/>
          <w:highlight w:val="none"/>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0EFE6E5">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 （十）项目支出：</w:t>
      </w:r>
      <w:r>
        <w:rPr>
          <w:rFonts w:hint="default" w:ascii="Times New Roman" w:hAnsi="Times New Roman" w:eastAsia="方正仿宋_GBK" w:cs="Times New Roman"/>
          <w:color w:val="auto"/>
          <w:sz w:val="32"/>
          <w:szCs w:val="32"/>
          <w:highlight w:val="none"/>
          <w:shd w:val="clear" w:color="auto" w:fill="FFFFFF"/>
        </w:rPr>
        <w:t>指在基本支出之外为完成特定行政任务和事业发展目标所发生的支出。</w:t>
      </w:r>
    </w:p>
    <w:p w14:paraId="1A50EF17">
      <w:pPr>
        <w:pStyle w:val="6"/>
        <w:keepNext w:val="0"/>
        <w:keepLines w:val="0"/>
        <w:pageBreakBefore w:val="0"/>
        <w:widowControl/>
        <w:kinsoku/>
        <w:overflowPunct/>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（十一）经营支出：</w:t>
      </w:r>
      <w:r>
        <w:rPr>
          <w:rFonts w:hint="default" w:ascii="Times New Roman" w:hAnsi="Times New Roman" w:eastAsia="方正仿宋_GBK" w:cs="Times New Roman"/>
          <w:color w:val="auto"/>
          <w:sz w:val="32"/>
          <w:szCs w:val="32"/>
          <w:highlight w:val="none"/>
          <w:shd w:val="clear" w:color="auto" w:fill="FFFFFF"/>
        </w:rPr>
        <w:t>指事业单位在专业业务活动及其辅助活动之外开展非独立核算经营活动发生的支出。</w:t>
      </w:r>
    </w:p>
    <w:p w14:paraId="73DB6A62">
      <w:pPr>
        <w:pStyle w:val="6"/>
        <w:keepNext w:val="0"/>
        <w:keepLines w:val="0"/>
        <w:pageBreakBefore w:val="0"/>
        <w:widowControl/>
        <w:kinsoku/>
        <w:overflowPunct/>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（十二）“三公”经费：</w:t>
      </w:r>
      <w:r>
        <w:rPr>
          <w:rFonts w:hint="default" w:ascii="Times New Roman" w:hAnsi="Times New Roman" w:eastAsia="方正仿宋_GBK" w:cs="Times New Roman"/>
          <w:color w:val="auto"/>
          <w:sz w:val="32"/>
          <w:szCs w:val="32"/>
          <w:highlight w:val="none"/>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4EFE22A">
      <w:pPr>
        <w:pStyle w:val="6"/>
        <w:keepNext w:val="0"/>
        <w:keepLines w:val="0"/>
        <w:pageBreakBefore w:val="0"/>
        <w:widowControl/>
        <w:kinsoku/>
        <w:overflowPunct/>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（十三）机关运行经费：</w:t>
      </w:r>
      <w:r>
        <w:rPr>
          <w:rFonts w:hint="default" w:ascii="Times New Roman" w:hAnsi="Times New Roman" w:eastAsia="方正仿宋_GBK" w:cs="Times New Roman"/>
          <w:color w:val="auto"/>
          <w:sz w:val="32"/>
          <w:szCs w:val="32"/>
          <w:highlight w:val="none"/>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0FA6FCF">
      <w:pPr>
        <w:pStyle w:val="6"/>
        <w:keepNext w:val="0"/>
        <w:keepLines w:val="0"/>
        <w:pageBreakBefore w:val="0"/>
        <w:widowControl/>
        <w:kinsoku/>
        <w:overflowPunct/>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（十四）工资福利支出（支出经济分类科目类级）：</w:t>
      </w:r>
      <w:r>
        <w:rPr>
          <w:rFonts w:hint="default" w:ascii="Times New Roman" w:hAnsi="Times New Roman" w:eastAsia="方正仿宋_GBK" w:cs="Times New Roman"/>
          <w:color w:val="auto"/>
          <w:sz w:val="32"/>
          <w:szCs w:val="32"/>
          <w:highlight w:val="none"/>
          <w:shd w:val="clear" w:color="auto" w:fill="FFFFFF"/>
        </w:rPr>
        <w:t>反映单位开支的在职职工和编制外长期聘用人员的各类劳动报酬，以及为上述人员缴纳的各项社会保险费等。</w:t>
      </w:r>
    </w:p>
    <w:p w14:paraId="08740BEF">
      <w:pPr>
        <w:pStyle w:val="6"/>
        <w:keepNext w:val="0"/>
        <w:keepLines w:val="0"/>
        <w:pageBreakBefore w:val="0"/>
        <w:widowControl/>
        <w:kinsoku/>
        <w:overflowPunct/>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（十五）商品和服务支出（支出经济分类科目类级）：</w:t>
      </w:r>
      <w:r>
        <w:rPr>
          <w:rFonts w:hint="default" w:ascii="Times New Roman" w:hAnsi="Times New Roman" w:eastAsia="方正仿宋_GBK" w:cs="Times New Roman"/>
          <w:color w:val="auto"/>
          <w:sz w:val="32"/>
          <w:szCs w:val="32"/>
          <w:highlight w:val="none"/>
          <w:shd w:val="clear" w:color="auto" w:fill="FFFFFF"/>
        </w:rPr>
        <w:t>反映单位购买商品和服务的支出（不包括用于购置固定资产的支出、战略性和应急储备支出）。</w:t>
      </w:r>
    </w:p>
    <w:p w14:paraId="57C575F2">
      <w:pPr>
        <w:pStyle w:val="6"/>
        <w:keepNext w:val="0"/>
        <w:keepLines w:val="0"/>
        <w:pageBreakBefore w:val="0"/>
        <w:widowControl/>
        <w:kinsoku/>
        <w:overflowPunct/>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 （十六）对个人和家庭的补助（支出经济分类科目类级）：</w:t>
      </w:r>
      <w:r>
        <w:rPr>
          <w:rFonts w:hint="default" w:ascii="Times New Roman" w:hAnsi="Times New Roman" w:eastAsia="方正仿宋_GBK" w:cs="Times New Roman"/>
          <w:color w:val="auto"/>
          <w:sz w:val="32"/>
          <w:szCs w:val="32"/>
          <w:highlight w:val="none"/>
          <w:shd w:val="clear" w:color="auto" w:fill="FFFFFF"/>
        </w:rPr>
        <w:t>反映用于对个人和家庭的补助支出。</w:t>
      </w:r>
    </w:p>
    <w:p w14:paraId="0DBCF4B8">
      <w:pPr>
        <w:pStyle w:val="6"/>
        <w:keepNext w:val="0"/>
        <w:keepLines w:val="0"/>
        <w:pageBreakBefore w:val="0"/>
        <w:widowControl/>
        <w:kinsoku/>
        <w:overflowPunct/>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none"/>
        </w:rPr>
      </w:pPr>
      <w:r>
        <w:rPr>
          <w:rStyle w:val="10"/>
          <w:rFonts w:hint="default" w:ascii="Times New Roman" w:hAnsi="Times New Roman" w:eastAsia="方正仿宋_GBK" w:cs="Times New Roman"/>
          <w:color w:val="auto"/>
          <w:sz w:val="32"/>
          <w:szCs w:val="32"/>
          <w:highlight w:val="none"/>
          <w:shd w:val="clear" w:color="auto" w:fill="FFFFFF"/>
        </w:rPr>
        <w:t> </w:t>
      </w:r>
      <w:r>
        <w:rPr>
          <w:rFonts w:hint="default" w:ascii="Times New Roman" w:hAnsi="Times New Roman" w:eastAsia="方正楷体_GBK" w:cs="Times New Roman"/>
          <w:b w:val="0"/>
          <w:bCs w:val="0"/>
          <w:color w:val="auto"/>
          <w:sz w:val="32"/>
          <w:szCs w:val="32"/>
          <w:highlight w:val="none"/>
          <w:shd w:val="clear" w:color="auto" w:fill="FFFFFF"/>
          <w:lang w:val="en-US" w:eastAsia="zh-CN" w:bidi="ar-SA"/>
        </w:rPr>
        <w:t>（十七）其他资本性支出（支出经济分类科目类级）：</w:t>
      </w:r>
      <w:r>
        <w:rPr>
          <w:rFonts w:hint="default" w:ascii="Times New Roman" w:hAnsi="Times New Roman" w:eastAsia="方正仿宋_GBK" w:cs="Times New Roman"/>
          <w:color w:val="auto"/>
          <w:sz w:val="32"/>
          <w:szCs w:val="32"/>
          <w:highlight w:val="none"/>
          <w:shd w:val="clear" w:color="auto" w:fill="FFFFFF"/>
        </w:rPr>
        <w:t>反映非各级发展与改革部门集中安排的用于购置固定资产、战略性和应急性储备、土地和无形资产，以及构建基础设施、大型修缮和财政支持企业更新改造所发生的支出。</w:t>
      </w:r>
    </w:p>
    <w:p w14:paraId="4228F2A3">
      <w:pPr>
        <w:pStyle w:val="6"/>
        <w:keepNext w:val="0"/>
        <w:keepLines w:val="0"/>
        <w:pageBreakBefore w:val="0"/>
        <w:widowControl/>
        <w:shd w:val="clear" w:color="auto" w:fill="FFFFFF"/>
        <w:kinsoku/>
        <w:overflowPunct/>
        <w:autoSpaceDN/>
        <w:bidi w:val="0"/>
        <w:adjustRightInd/>
        <w:spacing w:beforeAutospacing="0" w:after="0" w:afterAutospacing="0" w:line="560" w:lineRule="exact"/>
        <w:textAlignment w:val="auto"/>
        <w:rPr>
          <w:rStyle w:val="10"/>
          <w:rFonts w:hint="default" w:ascii="Times New Roman" w:hAnsi="Times New Roman" w:eastAsia="方正黑体_GBK" w:cs="Times New Roman"/>
          <w:b w:val="0"/>
          <w:bCs/>
          <w:color w:val="auto"/>
          <w:sz w:val="32"/>
          <w:szCs w:val="32"/>
          <w:highlight w:val="none"/>
          <w:shd w:val="clear" w:color="auto" w:fill="FFFFFF"/>
        </w:rPr>
      </w:pPr>
      <w:r>
        <w:rPr>
          <w:rStyle w:val="10"/>
          <w:rFonts w:hint="default" w:ascii="Times New Roman" w:hAnsi="Times New Roman" w:eastAsia="方正仿宋_GBK" w:cs="Times New Roman"/>
          <w:color w:val="auto"/>
          <w:sz w:val="32"/>
          <w:szCs w:val="32"/>
          <w:highlight w:val="none"/>
          <w:shd w:val="clear" w:color="auto" w:fill="FFFFFF"/>
        </w:rPr>
        <w:t xml:space="preserve">  </w:t>
      </w:r>
      <w:r>
        <w:rPr>
          <w:rStyle w:val="10"/>
          <w:rFonts w:hint="default" w:ascii="Times New Roman" w:hAnsi="Times New Roman" w:eastAsia="方正黑体_GBK" w:cs="Times New Roman"/>
          <w:b w:val="0"/>
          <w:bCs/>
          <w:color w:val="auto"/>
          <w:sz w:val="32"/>
          <w:szCs w:val="32"/>
          <w:highlight w:val="none"/>
          <w:shd w:val="clear" w:color="auto" w:fill="FFFFFF"/>
        </w:rPr>
        <w:t>七、决算公开联系方式及信息反馈渠道</w:t>
      </w:r>
    </w:p>
    <w:p w14:paraId="5540033A">
      <w:pPr>
        <w:pStyle w:val="6"/>
        <w:keepNext w:val="0"/>
        <w:keepLines w:val="0"/>
        <w:pageBreakBefore w:val="0"/>
        <w:widowControl/>
        <w:shd w:val="clear" w:color="auto" w:fill="FFFFFF"/>
        <w:kinsoku/>
        <w:overflowPunct/>
        <w:autoSpaceDN/>
        <w:bidi w:val="0"/>
        <w:adjustRightInd/>
        <w:spacing w:beforeAutospacing="0" w:after="0" w:afterAutospacing="0" w:line="56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rPr>
      </w:pPr>
      <w:r>
        <w:rPr>
          <w:rFonts w:hint="default" w:ascii="Times New Roman" w:hAnsi="Times New Roman" w:eastAsia="方正仿宋_GBK" w:cs="Times New Roman"/>
          <w:color w:val="auto"/>
          <w:sz w:val="32"/>
          <w:szCs w:val="32"/>
          <w:highlight w:val="none"/>
          <w:shd w:val="clear" w:fill="FFFFFF"/>
          <w:lang w:eastAsia="zh-CN"/>
        </w:rPr>
        <w:t xml:space="preserve">本单位决算公开信息反馈和联系方式： </w:t>
      </w:r>
      <w:r>
        <w:rPr>
          <w:rFonts w:hint="default" w:ascii="Times New Roman" w:hAnsi="Times New Roman" w:eastAsia="方正仿宋_GBK" w:cs="Times New Roman"/>
          <w:color w:val="auto"/>
          <w:sz w:val="32"/>
          <w:szCs w:val="32"/>
          <w:highlight w:val="none"/>
          <w:shd w:val="clear" w:fill="FFFFFF"/>
          <w:lang w:val="en-US"/>
        </w:rPr>
        <w:t>02373332025</w:t>
      </w:r>
    </w:p>
    <w:p w14:paraId="31FFABBA">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highlight w:val="none"/>
          <w:shd w:val="clear" w:fill="FFFFFF"/>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color w:val="auto"/>
          <w:sz w:val="32"/>
          <w:szCs w:val="32"/>
          <w:highlight w:val="none"/>
          <w:shd w:val="clear" w:color="auto" w:fill="FFFFFF"/>
          <w:lang w:val="en-US" w:eastAsia="zh-CN"/>
        </w:rPr>
        <w:t xml:space="preserve"> </w:t>
      </w:r>
      <w:r>
        <w:rPr>
          <w:rFonts w:hint="default" w:ascii="Times New Roman" w:hAnsi="Times New Roman" w:eastAsia="方正仿宋_GBK" w:cs="Times New Roman"/>
          <w:color w:val="auto"/>
          <w:sz w:val="32"/>
          <w:szCs w:val="32"/>
          <w:highlight w:val="none"/>
          <w:shd w:val="clear" w:fill="FFFFFF"/>
          <w:lang w:eastAsia="zh-CN"/>
        </w:rPr>
        <w:t xml:space="preserve">  </w:t>
      </w:r>
      <w:r>
        <w:rPr>
          <w:rFonts w:hint="default" w:ascii="Times New Roman" w:hAnsi="Times New Roman" w:eastAsia="方正仿宋_GBK" w:cs="Times New Roman"/>
          <w:color w:val="auto"/>
          <w:sz w:val="32"/>
          <w:szCs w:val="32"/>
          <w:highlight w:val="none"/>
          <w:shd w:val="clear" w:fill="FFFFFF"/>
          <w:lang w:val="en-US" w:eastAsia="zh-CN"/>
        </w:rPr>
        <w:t xml:space="preserve"> </w:t>
      </w:r>
    </w:p>
    <w:p w14:paraId="628B1898">
      <w:pPr>
        <w:rPr>
          <w:rFonts w:hint="default" w:ascii="Times New Roman" w:hAnsi="Times New Roman" w:cs="Times New Roman"/>
          <w:color w:val="auto"/>
          <w:sz w:val="21"/>
          <w:szCs w:val="21"/>
          <w:highlight w:val="none"/>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3900810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85BA36C">
            <w:pPr>
              <w:spacing w:line="40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收入支出决算总表</w:t>
            </w:r>
          </w:p>
        </w:tc>
      </w:tr>
      <w:tr w14:paraId="2FF15701">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5800920">
            <w:pPr>
              <w:spacing w:line="200" w:lineRule="exact"/>
              <w:rPr>
                <w:rFonts w:hint="default" w:ascii="Times New Roman" w:hAnsi="Times New Roman" w:cs="Times New Roman"/>
                <w:color w:val="auto"/>
                <w:sz w:val="20"/>
                <w:szCs w:val="20"/>
                <w:highlight w:val="none"/>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148BDACD">
            <w:pPr>
              <w:spacing w:line="200" w:lineRule="exact"/>
              <w:jc w:val="right"/>
              <w:rPr>
                <w:rFonts w:hint="default" w:ascii="Times New Roman" w:hAnsi="Times New Roman" w:cs="Times New Roman"/>
                <w:color w:val="auto"/>
                <w:sz w:val="20"/>
                <w:szCs w:val="20"/>
                <w:highlight w:val="none"/>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42FDF8D">
            <w:pPr>
              <w:spacing w:line="200" w:lineRule="exact"/>
              <w:rPr>
                <w:rFonts w:hint="default" w:ascii="Times New Roman" w:hAnsi="Times New Roman" w:cs="Times New Roman"/>
                <w:color w:val="auto"/>
                <w:sz w:val="20"/>
                <w:szCs w:val="20"/>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8BB3F79">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公开01表</w:t>
            </w:r>
          </w:p>
        </w:tc>
      </w:tr>
      <w:tr w14:paraId="2B5108FA">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AAE0585">
            <w:pPr>
              <w:spacing w:line="200" w:lineRule="exact"/>
              <w:rPr>
                <w:rFonts w:hint="default" w:ascii="Times New Roman" w:hAnsi="Times New Roman" w:cs="Times New Roman"/>
                <w:color w:val="auto"/>
                <w:sz w:val="22"/>
                <w:szCs w:val="22"/>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重庆市石柱土家族自治县经济和信息化行政执法支队</w:t>
            </w:r>
          </w:p>
        </w:tc>
        <w:tc>
          <w:tcPr>
            <w:tcW w:w="1562" w:type="pct"/>
            <w:tcBorders>
              <w:top w:val="nil"/>
              <w:left w:val="nil"/>
              <w:bottom w:val="nil"/>
              <w:right w:val="nil"/>
            </w:tcBorders>
            <w:shd w:val="clear" w:color="auto" w:fill="auto"/>
            <w:noWrap/>
            <w:tcMar>
              <w:top w:w="15" w:type="dxa"/>
              <w:left w:w="15" w:type="dxa"/>
              <w:right w:w="15" w:type="dxa"/>
            </w:tcMar>
            <w:vAlign w:val="bottom"/>
          </w:tcPr>
          <w:p w14:paraId="38DE412F">
            <w:pPr>
              <w:spacing w:line="200" w:lineRule="exact"/>
              <w:rPr>
                <w:rFonts w:hint="default" w:ascii="Times New Roman" w:hAnsi="Times New Roman" w:cs="Times New Roman"/>
                <w:color w:val="auto"/>
                <w:sz w:val="22"/>
                <w:szCs w:val="22"/>
                <w:highlight w:val="none"/>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35BFB530">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14:paraId="72E81171">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C15FB">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4FADC06">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支出</w:t>
            </w:r>
          </w:p>
        </w:tc>
      </w:tr>
      <w:tr w14:paraId="21DC83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E5D91">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EAEFEC">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FDF271">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E7F9A6">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决算数</w:t>
            </w:r>
          </w:p>
        </w:tc>
      </w:tr>
      <w:tr w14:paraId="312E39C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3C5FB">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528E8">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75.30</w:t>
            </w: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5438E7">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C8D62">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60.30</w:t>
            </w:r>
            <w:r>
              <w:rPr>
                <w:rFonts w:hint="default" w:ascii="Times New Roman" w:hAnsi="Times New Roman" w:cs="Times New Roman"/>
                <w:color w:val="auto"/>
                <w:sz w:val="20"/>
                <w:highlight w:val="none"/>
                <w:u w:color="auto"/>
              </w:rPr>
              <w:t xml:space="preserve"> </w:t>
            </w:r>
          </w:p>
        </w:tc>
      </w:tr>
      <w:tr w14:paraId="4B15FC4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9FD40">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DC8A2">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778B2A">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BAE9F">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13986A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85C16">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F2877">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657B14">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30919">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5BA8E5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6E93C">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35D25">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D03E07">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671E3">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6D62BE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F6291">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78E88">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E31E1D">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9DD7A">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7CA73F1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CFA40">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AE510">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C450A3">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4CBAF">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5C039A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AA11B">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5E347">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E81C9D">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9F133">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3E0FEF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D2F52">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670AAE2">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8CF955">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87952">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7.47</w:t>
            </w:r>
            <w:r>
              <w:rPr>
                <w:rFonts w:hint="default" w:ascii="Times New Roman" w:hAnsi="Times New Roman" w:cs="Times New Roman"/>
                <w:color w:val="auto"/>
                <w:sz w:val="20"/>
                <w:highlight w:val="none"/>
                <w:u w:color="auto"/>
              </w:rPr>
              <w:t xml:space="preserve"> </w:t>
            </w:r>
          </w:p>
        </w:tc>
      </w:tr>
      <w:tr w14:paraId="76EA8E7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F7D58">
            <w:pPr>
              <w:spacing w:line="240" w:lineRule="exact"/>
              <w:rPr>
                <w:rFonts w:hint="default" w:ascii="Times New Roman" w:hAnsi="Times New Roman" w:cs="Times New Roman"/>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2847C8">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DC3913">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18171">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3.80</w:t>
            </w:r>
            <w:r>
              <w:rPr>
                <w:rFonts w:hint="default" w:ascii="Times New Roman" w:hAnsi="Times New Roman" w:cs="Times New Roman"/>
                <w:color w:val="auto"/>
                <w:sz w:val="20"/>
                <w:highlight w:val="none"/>
                <w:u w:color="auto"/>
              </w:rPr>
              <w:t xml:space="preserve"> </w:t>
            </w:r>
          </w:p>
        </w:tc>
      </w:tr>
      <w:tr w14:paraId="39CB352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CA06A">
            <w:pPr>
              <w:spacing w:line="240" w:lineRule="exact"/>
              <w:rPr>
                <w:rFonts w:hint="default" w:ascii="Times New Roman" w:hAnsi="Times New Roman" w:cs="Times New Roman"/>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94A5F6">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7DD193">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F1FC0">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5C48E0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FB819">
            <w:pPr>
              <w:spacing w:line="240" w:lineRule="exact"/>
              <w:rPr>
                <w:rFonts w:hint="default" w:ascii="Times New Roman" w:hAnsi="Times New Roman" w:cs="Times New Roman"/>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92A353">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B9FA1E">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CB6E5">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6514DA5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D7024">
            <w:pPr>
              <w:spacing w:line="240" w:lineRule="exact"/>
              <w:rPr>
                <w:rFonts w:hint="default" w:ascii="Times New Roman" w:hAnsi="Times New Roman" w:cs="Times New Roman"/>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1601DC">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B11B33">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C91FF">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5F72D9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7229CF">
            <w:pPr>
              <w:spacing w:line="240" w:lineRule="exact"/>
              <w:rPr>
                <w:rFonts w:hint="default" w:ascii="Times New Roman" w:hAnsi="Times New Roman" w:cs="Times New Roman"/>
                <w:color w:val="auto"/>
                <w:sz w:val="20"/>
                <w:szCs w:val="20"/>
                <w:highlight w:val="none"/>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E22C1">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1359A6">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44460">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09A976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87022">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A9617">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8A37E3">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038E5">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667F2F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3F267">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D597B">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206E4E">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E253C">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359F1E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AB19F">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0FD24">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6291F1">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5CF76">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03BA4B9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BC86B">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EA181">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7A8067">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52415">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6F9121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20A2E">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19230">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EDEE4B">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9D4AA">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90A31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DF650">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D39EF">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A865F5">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D5C9F">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3.73</w:t>
            </w:r>
            <w:r>
              <w:rPr>
                <w:rFonts w:hint="default" w:ascii="Times New Roman" w:hAnsi="Times New Roman" w:cs="Times New Roman"/>
                <w:color w:val="auto"/>
                <w:sz w:val="20"/>
                <w:highlight w:val="none"/>
                <w:u w:color="auto"/>
              </w:rPr>
              <w:t xml:space="preserve"> </w:t>
            </w:r>
          </w:p>
        </w:tc>
      </w:tr>
      <w:tr w14:paraId="7AC9670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304F3">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971B7">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49756D">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81F847">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5622986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55700">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0CBCB">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1D3AD8">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746BE">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64E019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1AA524">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161BD">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64736F">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4BD38">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200BA7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6593E">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1A090">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B3CA50">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1EA2B">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0ED2DA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56BFB">
            <w:pPr>
              <w:spacing w:line="240" w:lineRule="exact"/>
              <w:jc w:val="center"/>
              <w:rPr>
                <w:rFonts w:hint="default" w:ascii="Times New Roman" w:hAnsi="Times New Roman" w:cs="Times New Roman"/>
                <w:b/>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48B01">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DF12F2">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6A1E7">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53F279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7721C">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701D2">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44B877">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C4628">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54B01D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8DC57">
            <w:pPr>
              <w:spacing w:line="240" w:lineRule="exact"/>
              <w:rPr>
                <w:rFonts w:hint="default" w:ascii="Times New Roman" w:hAnsi="Times New Roman" w:cs="Times New Roman"/>
                <w:color w:val="auto"/>
                <w:sz w:val="20"/>
                <w:szCs w:val="20"/>
                <w:highlight w:val="none"/>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A830F">
            <w:pPr>
              <w:spacing w:line="240" w:lineRule="exact"/>
              <w:jc w:val="right"/>
              <w:rPr>
                <w:rFonts w:hint="default" w:ascii="Times New Roman" w:hAnsi="Times New Roman" w:cs="Times New Roman"/>
                <w:color w:val="auto"/>
                <w:sz w:val="20"/>
                <w:szCs w:val="20"/>
                <w:highlight w:val="none"/>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ED662B">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0FAF8">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3F2FCB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F77EE">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60979">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75.30</w:t>
            </w: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C98D31">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DA012">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75.30</w:t>
            </w:r>
            <w:r>
              <w:rPr>
                <w:rFonts w:hint="default" w:ascii="Times New Roman" w:hAnsi="Times New Roman" w:cs="Times New Roman"/>
                <w:color w:val="auto"/>
                <w:sz w:val="20"/>
                <w:highlight w:val="none"/>
                <w:u w:color="auto"/>
              </w:rPr>
              <w:t xml:space="preserve"> </w:t>
            </w:r>
          </w:p>
        </w:tc>
      </w:tr>
      <w:tr w14:paraId="28FA6F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1054E">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5214A">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CFBDC7">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957F5">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55A2724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93347">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2BEEB">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C9CF60">
            <w:pPr>
              <w:spacing w:line="240" w:lineRule="exac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32C06EC">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0A851C28">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7E269">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D404">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75.30</w:t>
            </w:r>
            <w:r>
              <w:rPr>
                <w:rFonts w:hint="default" w:ascii="Times New Roman" w:hAnsi="Times New Roman" w:cs="Times New Roman"/>
                <w:color w:val="auto"/>
                <w:sz w:val="20"/>
                <w:highlight w:val="none"/>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B5656D4">
            <w:pPr>
              <w:spacing w:line="240" w:lineRule="exact"/>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482E8D">
            <w:pPr>
              <w:spacing w:line="240" w:lineRule="exact"/>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75.30</w:t>
            </w:r>
            <w:r>
              <w:rPr>
                <w:rFonts w:hint="default" w:ascii="Times New Roman" w:hAnsi="Times New Roman" w:cs="Times New Roman"/>
                <w:color w:val="auto"/>
                <w:sz w:val="20"/>
                <w:highlight w:val="none"/>
                <w:u w:color="auto"/>
              </w:rPr>
              <w:t xml:space="preserve"> </w:t>
            </w:r>
          </w:p>
        </w:tc>
      </w:tr>
    </w:tbl>
    <w:p w14:paraId="6D0C0AF1">
      <w:pPr>
        <w:spacing w:line="24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2000819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14EA6F9">
            <w:pPr>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收入决算表</w:t>
            </w:r>
          </w:p>
        </w:tc>
      </w:tr>
      <w:tr w14:paraId="6BB360EE">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AADDF79">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公开单位：</w:t>
            </w:r>
            <w:r>
              <w:rPr>
                <w:rFonts w:hint="default" w:ascii="Times New Roman" w:hAnsi="Times New Roman" w:cs="Times New Roman"/>
                <w:color w:val="auto"/>
                <w:sz w:val="20"/>
                <w:highlight w:val="none"/>
                <w:u w:color="auto"/>
              </w:rPr>
              <w:t>重庆市石柱土家族自治县经济和信息化行政执法支队</w:t>
            </w:r>
          </w:p>
        </w:tc>
        <w:tc>
          <w:tcPr>
            <w:tcW w:w="401" w:type="pct"/>
            <w:tcBorders>
              <w:top w:val="nil"/>
              <w:left w:val="nil"/>
              <w:bottom w:val="nil"/>
              <w:right w:val="nil"/>
            </w:tcBorders>
            <w:shd w:val="clear" w:color="auto" w:fill="auto"/>
            <w:noWrap/>
            <w:tcMar>
              <w:top w:w="15" w:type="dxa"/>
              <w:left w:w="15" w:type="dxa"/>
              <w:right w:w="15" w:type="dxa"/>
            </w:tcMar>
            <w:vAlign w:val="bottom"/>
          </w:tcPr>
          <w:p w14:paraId="12BFDD7E">
            <w:pPr>
              <w:rPr>
                <w:rFonts w:hint="default" w:ascii="Times New Roman" w:hAnsi="Times New Roman" w:cs="Times New Roman"/>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B6E83C7">
            <w:pPr>
              <w:rPr>
                <w:rFonts w:hint="default" w:ascii="Times New Roman" w:hAnsi="Times New Roman" w:cs="Times New Roman"/>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5DA2735">
            <w:pPr>
              <w:rPr>
                <w:rFonts w:hint="default" w:ascii="Times New Roman" w:hAnsi="Times New Roman" w:cs="Times New Roman"/>
                <w:color w:val="auto"/>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18AE00D">
            <w:pPr>
              <w:rPr>
                <w:rFonts w:hint="default" w:ascii="Times New Roman" w:hAnsi="Times New Roman" w:cs="Times New Roman"/>
                <w:color w:val="auto"/>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1296854B">
            <w:pPr>
              <w:rPr>
                <w:rFonts w:hint="default" w:ascii="Times New Roman" w:hAnsi="Times New Roman" w:cs="Times New Roman"/>
                <w:color w:val="auto"/>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99930A5">
            <w:pPr>
              <w:rPr>
                <w:rFonts w:hint="default" w:ascii="Times New Roman" w:hAnsi="Times New Roman" w:cs="Times New Roman"/>
                <w:color w:val="auto"/>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B45166C">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公开02表</w:t>
            </w:r>
          </w:p>
        </w:tc>
      </w:tr>
      <w:tr w14:paraId="2154A127">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69AE7E67">
            <w:pPr>
              <w:rPr>
                <w:rFonts w:hint="default" w:ascii="Times New Roman" w:hAnsi="Times New Roman" w:cs="Times New Roman"/>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9900E61">
            <w:pPr>
              <w:rPr>
                <w:rFonts w:hint="default" w:ascii="Times New Roman" w:hAnsi="Times New Roman" w:cs="Times New Roman"/>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9B2FCF3">
            <w:pPr>
              <w:rPr>
                <w:rFonts w:hint="default" w:ascii="Times New Roman" w:hAnsi="Times New Roman" w:cs="Times New Roman"/>
                <w:color w:val="auto"/>
                <w:sz w:val="20"/>
                <w:szCs w:val="20"/>
                <w:highlight w:val="none"/>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2549039">
            <w:pPr>
              <w:rPr>
                <w:rFonts w:hint="default" w:ascii="Times New Roman" w:hAnsi="Times New Roman" w:cs="Times New Roman"/>
                <w:color w:val="auto"/>
                <w:sz w:val="20"/>
                <w:szCs w:val="20"/>
                <w:highlight w:val="none"/>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54C1143">
            <w:pPr>
              <w:rPr>
                <w:rFonts w:hint="default" w:ascii="Times New Roman" w:hAnsi="Times New Roman" w:cs="Times New Roman"/>
                <w:color w:val="auto"/>
                <w:sz w:val="20"/>
                <w:szCs w:val="20"/>
                <w:highlight w:val="none"/>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165BA3F">
            <w:pPr>
              <w:rPr>
                <w:rFonts w:hint="default" w:ascii="Times New Roman" w:hAnsi="Times New Roman" w:cs="Times New Roman"/>
                <w:color w:val="auto"/>
                <w:sz w:val="20"/>
                <w:szCs w:val="20"/>
                <w:highlight w:val="none"/>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65434268">
            <w:pPr>
              <w:rPr>
                <w:rFonts w:hint="default" w:ascii="Times New Roman" w:hAnsi="Times New Roman" w:cs="Times New Roman"/>
                <w:color w:val="auto"/>
                <w:sz w:val="20"/>
                <w:szCs w:val="20"/>
                <w:highlight w:val="none"/>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109907A">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14:paraId="7282B765">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B89B516">
            <w:pPr>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6A91E">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18F9B">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D8ABD">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DD591C">
            <w:pPr>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97213">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CAEF83">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4A376">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其他收入</w:t>
            </w:r>
          </w:p>
        </w:tc>
      </w:tr>
      <w:tr w14:paraId="1BC358EC">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5B043">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552381B">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D39BFE">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24736">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14D35B">
            <w:pPr>
              <w:jc w:val="center"/>
              <w:rPr>
                <w:rFonts w:hint="default" w:ascii="Times New Roman" w:hAnsi="Times New Roman" w:cs="Times New Roman"/>
                <w:b/>
                <w:color w:val="auto"/>
                <w:sz w:val="20"/>
                <w:szCs w:val="20"/>
                <w:highlight w:val="none"/>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9C118">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B8E88">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DECFA">
            <w:pPr>
              <w:jc w:val="center"/>
              <w:rPr>
                <w:rFonts w:hint="default" w:ascii="Times New Roman" w:hAnsi="Times New Roman" w:cs="Times New Roman"/>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C31C56">
            <w:pPr>
              <w:jc w:val="center"/>
              <w:rPr>
                <w:rFonts w:hint="default" w:ascii="Times New Roman" w:hAnsi="Times New Roman" w:cs="Times New Roman"/>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AD589">
            <w:pPr>
              <w:jc w:val="center"/>
              <w:rPr>
                <w:rFonts w:hint="default" w:ascii="Times New Roman" w:hAnsi="Times New Roman" w:cs="Times New Roman"/>
                <w:b/>
                <w:color w:val="auto"/>
                <w:sz w:val="20"/>
                <w:szCs w:val="20"/>
                <w:highlight w:val="none"/>
              </w:rPr>
            </w:pPr>
          </w:p>
        </w:tc>
      </w:tr>
      <w:tr w14:paraId="65A1D336">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3FD0B">
            <w:pPr>
              <w:jc w:val="center"/>
              <w:rPr>
                <w:rFonts w:hint="default" w:ascii="Times New Roman" w:hAnsi="Times New Roman" w:cs="Times New Roman"/>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A1286AA">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0D941">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6DE4B">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69C07">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8B26E5">
            <w:pPr>
              <w:jc w:val="center"/>
              <w:rPr>
                <w:rFonts w:hint="default" w:ascii="Times New Roman" w:hAnsi="Times New Roman" w:cs="Times New Roman"/>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DD33E1">
            <w:pPr>
              <w:jc w:val="center"/>
              <w:rPr>
                <w:rFonts w:hint="default" w:ascii="Times New Roman" w:hAnsi="Times New Roman" w:cs="Times New Roman"/>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C270FA">
            <w:pPr>
              <w:jc w:val="center"/>
              <w:rPr>
                <w:rFonts w:hint="default" w:ascii="Times New Roman" w:hAnsi="Times New Roman" w:cs="Times New Roman"/>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7F8F0">
            <w:pPr>
              <w:jc w:val="center"/>
              <w:rPr>
                <w:rFonts w:hint="default" w:ascii="Times New Roman" w:hAnsi="Times New Roman" w:cs="Times New Roman"/>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F32A5">
            <w:pPr>
              <w:jc w:val="center"/>
              <w:rPr>
                <w:rFonts w:hint="default" w:ascii="Times New Roman" w:hAnsi="Times New Roman" w:cs="Times New Roman"/>
                <w:b/>
                <w:color w:val="auto"/>
                <w:sz w:val="20"/>
                <w:szCs w:val="20"/>
                <w:highlight w:val="none"/>
              </w:rPr>
            </w:pPr>
          </w:p>
        </w:tc>
      </w:tr>
      <w:tr w14:paraId="0171697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9CE66">
            <w:pPr>
              <w:jc w:val="center"/>
              <w:rPr>
                <w:rFonts w:hint="default" w:ascii="Times New Roman" w:hAnsi="Times New Roman" w:cs="Times New Roman"/>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32284D7">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9EBF3">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73898">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609B2">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41F4B">
            <w:pPr>
              <w:jc w:val="center"/>
              <w:rPr>
                <w:rFonts w:hint="default" w:ascii="Times New Roman" w:hAnsi="Times New Roman" w:cs="Times New Roman"/>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A2AC8">
            <w:pPr>
              <w:jc w:val="center"/>
              <w:rPr>
                <w:rFonts w:hint="default" w:ascii="Times New Roman" w:hAnsi="Times New Roman" w:cs="Times New Roman"/>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BBF23">
            <w:pPr>
              <w:jc w:val="center"/>
              <w:rPr>
                <w:rFonts w:hint="default" w:ascii="Times New Roman" w:hAnsi="Times New Roman" w:cs="Times New Roman"/>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F80B6">
            <w:pPr>
              <w:jc w:val="center"/>
              <w:rPr>
                <w:rFonts w:hint="default" w:ascii="Times New Roman" w:hAnsi="Times New Roman" w:cs="Times New Roman"/>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F07D7">
            <w:pPr>
              <w:jc w:val="center"/>
              <w:rPr>
                <w:rFonts w:hint="default" w:ascii="Times New Roman" w:hAnsi="Times New Roman" w:cs="Times New Roman"/>
                <w:b/>
                <w:color w:val="auto"/>
                <w:sz w:val="20"/>
                <w:szCs w:val="20"/>
                <w:highlight w:val="none"/>
              </w:rPr>
            </w:pPr>
          </w:p>
        </w:tc>
      </w:tr>
      <w:tr w14:paraId="7A2D4C0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CAE4F">
            <w:pPr>
              <w:jc w:val="center"/>
              <w:rPr>
                <w:rFonts w:hint="default" w:ascii="Times New Roman" w:hAnsi="Times New Roman" w:cs="Times New Roman"/>
                <w:b/>
                <w:color w:val="auto"/>
                <w:sz w:val="20"/>
                <w:szCs w:val="20"/>
                <w:highlight w:val="none"/>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2231841">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A11443">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ED5196">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2F27B">
            <w:pPr>
              <w:jc w:val="center"/>
              <w:rPr>
                <w:rFonts w:hint="default" w:ascii="Times New Roman" w:hAnsi="Times New Roman" w:cs="Times New Roman"/>
                <w:b/>
                <w:color w:val="auto"/>
                <w:sz w:val="20"/>
                <w:szCs w:val="20"/>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3B907">
            <w:pPr>
              <w:jc w:val="center"/>
              <w:rPr>
                <w:rFonts w:hint="default" w:ascii="Times New Roman" w:hAnsi="Times New Roman" w:cs="Times New Roman"/>
                <w:b/>
                <w:color w:val="auto"/>
                <w:sz w:val="20"/>
                <w:szCs w:val="20"/>
                <w:highlight w:val="none"/>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84AD3">
            <w:pPr>
              <w:jc w:val="center"/>
              <w:rPr>
                <w:rFonts w:hint="default" w:ascii="Times New Roman" w:hAnsi="Times New Roman" w:cs="Times New Roman"/>
                <w:b/>
                <w:color w:val="auto"/>
                <w:sz w:val="20"/>
                <w:szCs w:val="20"/>
                <w:highlight w:val="none"/>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6B6F6">
            <w:pPr>
              <w:jc w:val="center"/>
              <w:rPr>
                <w:rFonts w:hint="default" w:ascii="Times New Roman" w:hAnsi="Times New Roman" w:cs="Times New Roman"/>
                <w:b/>
                <w:color w:val="auto"/>
                <w:sz w:val="20"/>
                <w:szCs w:val="20"/>
                <w:highlight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A5757">
            <w:pPr>
              <w:jc w:val="center"/>
              <w:rPr>
                <w:rFonts w:hint="default" w:ascii="Times New Roman" w:hAnsi="Times New Roman" w:cs="Times New Roman"/>
                <w:b/>
                <w:color w:val="auto"/>
                <w:sz w:val="20"/>
                <w:szCs w:val="20"/>
                <w:highlight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E76E4">
            <w:pPr>
              <w:jc w:val="center"/>
              <w:rPr>
                <w:rFonts w:hint="default" w:ascii="Times New Roman" w:hAnsi="Times New Roman" w:cs="Times New Roman"/>
                <w:b/>
                <w:color w:val="auto"/>
                <w:sz w:val="20"/>
                <w:szCs w:val="20"/>
                <w:highlight w:val="none"/>
              </w:rPr>
            </w:pPr>
          </w:p>
        </w:tc>
      </w:tr>
      <w:tr w14:paraId="01531535">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D6206">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5755D">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75.30</w:t>
            </w:r>
            <w:r>
              <w:rPr>
                <w:rFonts w:hint="default" w:ascii="Times New Roman" w:hAnsi="Times New Roman" w:cs="Times New Roman"/>
                <w:b/>
                <w:color w:val="auto"/>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68B28">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75.30</w:t>
            </w:r>
            <w:r>
              <w:rPr>
                <w:rFonts w:hint="default" w:ascii="Times New Roman" w:hAnsi="Times New Roman" w:cs="Times New Roman"/>
                <w:b/>
                <w:color w:val="auto"/>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6E12B">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70E85">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D4970">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75B73">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D1DF8">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27319">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14:paraId="0573446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46C2C">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74CF5">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0A3F1">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60.30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ACBC">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60.30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35544">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8B84">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F79E">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C8FE4">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6DE5B">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0E0F0">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1E0E82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B7CD7">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C1082">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04E18">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60.30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6C34">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60.30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A605">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DC92">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6930">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A33B3">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666F6">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E6E01">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65C8223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7FAD7">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2011350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36494">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98C0A">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60.30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C01EA">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60.30</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08F3B">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8A957">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9A2D">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2A965">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CCE09">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BAAC">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099F30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118E">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FE16F">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A0036">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7.47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F23A">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7.47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B2CC">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416D">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3F2E2">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6BA1F">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AA648">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F25B">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13BD25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498FD">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02C7B">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8347">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7.47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BB70">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7.47</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FDCD">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2AF0D">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5F445">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4E3C4">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589A">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5854">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52132F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C7237">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0BF82">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7DA6">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4.98</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D1FD7">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4.98</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B6662">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55633">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75881">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7D63E">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373C1">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4C05">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67167E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E681A">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AF310">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21016">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2.49</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8C242">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2.49</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34A89">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C135">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1BF16">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F99D1">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FEA6A">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B4E7">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73648F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121B">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5A76E">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7C68">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3.80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BBF50">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3.80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543F6">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1601">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A041">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8B680">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F7C07">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4EFB3">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2915A73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95D7">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22EA3">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E18B">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3.80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F4637">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3.80</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F612A">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B7966">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79B38">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86E45">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741F">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B814C">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134001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FE4E">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96AB4">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8685">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2.96</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9741">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2.96</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FD85">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5EBA6">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5B528">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70B5C">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086A7">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CD3FC">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0AF740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40500">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2ED01">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2892">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010F6">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A8EB">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65812">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0F9E8">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B42A6">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74D50">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F2960">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D18E0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55E7">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DE858">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5B004">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3.73</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821A">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3.73</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65FBA">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080B3">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CC5F5">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521A8">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948F6">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2F902">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28F0911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9F84">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F2FF7">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43FC1">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3.73</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7988C">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3.73</w:t>
            </w:r>
            <w:r>
              <w:rPr>
                <w:rFonts w:hint="default" w:ascii="Times New Roman" w:hAnsi="Times New Roman" w:cs="Times New Roman"/>
                <w:b/>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5BA6">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F3160">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7FB21">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0B5CE">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3DE6">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AA0B">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055C262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B949">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FA9C8">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BBC08">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3.73</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48EB2">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3.73</w:t>
            </w: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0212">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362A">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D99D">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8DF34">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1E96A">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3FA14">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14:paraId="7687D1CB">
      <w:pPr>
        <w:ind w:left="600" w:hanging="600" w:hangingChars="300"/>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备注：1.本表反映单位本年度取得的各项收入情况。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14:paraId="581F1D1E">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5CE204A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4D80B46">
            <w:pPr>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支出决算表</w:t>
            </w:r>
          </w:p>
        </w:tc>
      </w:tr>
      <w:tr w14:paraId="6670189E">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D9517CC">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 xml:space="preserve">重庆市石柱土家族自治县经济和信息化行政执法支队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BF061BA">
            <w:pPr>
              <w:rPr>
                <w:rFonts w:hint="default" w:ascii="Times New Roman" w:hAnsi="Times New Roman" w:cs="Times New Roman"/>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62E8941">
            <w:pPr>
              <w:rPr>
                <w:rFonts w:hint="default" w:ascii="Times New Roman" w:hAnsi="Times New Roman" w:cs="Times New Roman"/>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F933203">
            <w:pPr>
              <w:rPr>
                <w:rFonts w:hint="default" w:ascii="Times New Roman" w:hAnsi="Times New Roman" w:cs="Times New Roman"/>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F80DCF3">
            <w:pPr>
              <w:rPr>
                <w:rFonts w:hint="default" w:ascii="Times New Roman" w:hAnsi="Times New Roman" w:cs="Times New Roman"/>
                <w:color w:val="auto"/>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C73AF90">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公开03表</w:t>
            </w:r>
          </w:p>
        </w:tc>
      </w:tr>
      <w:tr w14:paraId="61B6FB8C">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F000C39">
            <w:pPr>
              <w:rPr>
                <w:rFonts w:hint="default" w:ascii="Times New Roman" w:hAnsi="Times New Roman" w:cs="Times New Roman"/>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5A1A74D">
            <w:pPr>
              <w:rPr>
                <w:rFonts w:hint="default" w:ascii="Times New Roman" w:hAnsi="Times New Roman" w:cs="Times New Roman"/>
                <w:color w:val="auto"/>
                <w:sz w:val="20"/>
                <w:szCs w:val="20"/>
                <w:highlight w:val="none"/>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424621B">
            <w:pPr>
              <w:rPr>
                <w:rFonts w:hint="default" w:ascii="Times New Roman" w:hAnsi="Times New Roman" w:cs="Times New Roman"/>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B0018AA">
            <w:pPr>
              <w:rPr>
                <w:rFonts w:hint="default" w:ascii="Times New Roman" w:hAnsi="Times New Roman" w:cs="Times New Roman"/>
                <w:color w:val="auto"/>
                <w:sz w:val="20"/>
                <w:szCs w:val="20"/>
                <w:highlight w:val="none"/>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9E8B200">
            <w:pPr>
              <w:rPr>
                <w:rFonts w:hint="default" w:ascii="Times New Roman" w:hAnsi="Times New Roman" w:cs="Times New Roman"/>
                <w:color w:val="auto"/>
                <w:sz w:val="20"/>
                <w:szCs w:val="20"/>
                <w:highlight w:val="none"/>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09ECA25">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14:paraId="1B1B7D8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FD9F1C">
            <w:pPr>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9CEA8">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4A9A3">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E5AB11">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1D206">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1F1E2">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8FA57">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对附属单位补助支出</w:t>
            </w:r>
          </w:p>
        </w:tc>
      </w:tr>
      <w:tr w14:paraId="08123D96">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ED6273">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5A26823">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3CC08">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0E9D7">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5F5B80">
            <w:pPr>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F1891">
            <w:pPr>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42CE2">
            <w:pPr>
              <w:jc w:val="center"/>
              <w:rPr>
                <w:rFonts w:hint="default" w:ascii="Times New Roman" w:hAnsi="Times New Roman" w:cs="Times New Roman"/>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B564B">
            <w:pPr>
              <w:jc w:val="center"/>
              <w:rPr>
                <w:rFonts w:hint="default" w:ascii="Times New Roman" w:hAnsi="Times New Roman" w:cs="Times New Roman"/>
                <w:b/>
                <w:color w:val="auto"/>
                <w:sz w:val="20"/>
                <w:szCs w:val="20"/>
                <w:highlight w:val="none"/>
              </w:rPr>
            </w:pPr>
          </w:p>
        </w:tc>
      </w:tr>
      <w:tr w14:paraId="127C1C7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5F111C">
            <w:pPr>
              <w:jc w:val="center"/>
              <w:rPr>
                <w:rFonts w:hint="default" w:ascii="Times New Roman" w:hAnsi="Times New Roman" w:cs="Times New Roman"/>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70A8504">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ECB1E">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E4B2A">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D41E2">
            <w:pPr>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DD955">
            <w:pPr>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0161A">
            <w:pPr>
              <w:jc w:val="center"/>
              <w:rPr>
                <w:rFonts w:hint="default" w:ascii="Times New Roman" w:hAnsi="Times New Roman" w:cs="Times New Roman"/>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31494">
            <w:pPr>
              <w:jc w:val="center"/>
              <w:rPr>
                <w:rFonts w:hint="default" w:ascii="Times New Roman" w:hAnsi="Times New Roman" w:cs="Times New Roman"/>
                <w:b/>
                <w:color w:val="auto"/>
                <w:sz w:val="20"/>
                <w:szCs w:val="20"/>
                <w:highlight w:val="none"/>
              </w:rPr>
            </w:pPr>
          </w:p>
        </w:tc>
      </w:tr>
      <w:tr w14:paraId="182F0B1D">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906BC">
            <w:pPr>
              <w:jc w:val="center"/>
              <w:rPr>
                <w:rFonts w:hint="default" w:ascii="Times New Roman" w:hAnsi="Times New Roman" w:cs="Times New Roman"/>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E7D5A1">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1F97E">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17A2A">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B539E">
            <w:pPr>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6CBA4">
            <w:pPr>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F7461">
            <w:pPr>
              <w:jc w:val="center"/>
              <w:rPr>
                <w:rFonts w:hint="default" w:ascii="Times New Roman" w:hAnsi="Times New Roman" w:cs="Times New Roman"/>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C4B7F4">
            <w:pPr>
              <w:jc w:val="center"/>
              <w:rPr>
                <w:rFonts w:hint="default" w:ascii="Times New Roman" w:hAnsi="Times New Roman" w:cs="Times New Roman"/>
                <w:b/>
                <w:color w:val="auto"/>
                <w:sz w:val="20"/>
                <w:szCs w:val="20"/>
                <w:highlight w:val="none"/>
              </w:rPr>
            </w:pPr>
          </w:p>
        </w:tc>
      </w:tr>
      <w:tr w14:paraId="7F0838E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118B4">
            <w:pPr>
              <w:jc w:val="center"/>
              <w:rPr>
                <w:rFonts w:hint="default" w:ascii="Times New Roman" w:hAnsi="Times New Roman" w:cs="Times New Roman"/>
                <w:b/>
                <w:color w:val="auto"/>
                <w:sz w:val="20"/>
                <w:szCs w:val="20"/>
                <w:highlight w:val="none"/>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3F3499">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EA816">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2F5EEB">
            <w:pPr>
              <w:jc w:val="center"/>
              <w:rPr>
                <w:rFonts w:hint="default" w:ascii="Times New Roman" w:hAnsi="Times New Roman" w:cs="Times New Roman"/>
                <w:b/>
                <w:color w:val="auto"/>
                <w:sz w:val="20"/>
                <w:szCs w:val="20"/>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C5CE5">
            <w:pPr>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7B2F6">
            <w:pPr>
              <w:jc w:val="center"/>
              <w:rPr>
                <w:rFonts w:hint="default" w:ascii="Times New Roman" w:hAnsi="Times New Roman" w:cs="Times New Roman"/>
                <w:b/>
                <w:color w:val="auto"/>
                <w:sz w:val="20"/>
                <w:szCs w:val="20"/>
                <w:highlight w:val="none"/>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DCFD7">
            <w:pPr>
              <w:jc w:val="center"/>
              <w:rPr>
                <w:rFonts w:hint="default" w:ascii="Times New Roman" w:hAnsi="Times New Roman" w:cs="Times New Roman"/>
                <w:b/>
                <w:color w:val="auto"/>
                <w:sz w:val="20"/>
                <w:szCs w:val="20"/>
                <w:highlight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768E1">
            <w:pPr>
              <w:jc w:val="center"/>
              <w:rPr>
                <w:rFonts w:hint="default" w:ascii="Times New Roman" w:hAnsi="Times New Roman" w:cs="Times New Roman"/>
                <w:b/>
                <w:color w:val="auto"/>
                <w:sz w:val="20"/>
                <w:szCs w:val="20"/>
                <w:highlight w:val="none"/>
              </w:rPr>
            </w:pPr>
          </w:p>
        </w:tc>
      </w:tr>
      <w:tr w14:paraId="1DA91902">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3A2B9">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C5EBC">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75.30</w:t>
            </w:r>
            <w:r>
              <w:rPr>
                <w:rFonts w:hint="default" w:ascii="Times New Roman" w:hAnsi="Times New Roman" w:cs="Times New Roman"/>
                <w:b/>
                <w:color w:val="auto"/>
                <w:sz w:val="20"/>
                <w:highlight w:val="none"/>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6BB51D">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75.30</w:t>
            </w:r>
            <w:r>
              <w:rPr>
                <w:rFonts w:hint="default" w:ascii="Times New Roman" w:hAnsi="Times New Roman" w:cs="Times New Roman"/>
                <w:b/>
                <w:color w:val="auto"/>
                <w:sz w:val="20"/>
                <w:highlight w:val="none"/>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F3CC2">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91FD7">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02E5E">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FD61A">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14:paraId="71E78E2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4321">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5A1A3">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B1714">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60.30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9148D">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60.30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1ADD3">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73F85">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E8B15">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6803">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2630EC1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1015F">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DC020">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E0E7F">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60.30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CEEC">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60.30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99C2">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8A92">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DB675">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22E44">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0240FFB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9EDCA">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2011350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902BB">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76E0">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60.30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654FE">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60.30</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647F3">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7DDD">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86A07">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6D691">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23C6660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45F23">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E91FC">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A8D6B">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7.47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CE94">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7.47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F075">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9407">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44430">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0531E">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1ADCD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8A4F0">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F8F9B">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76DD2">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7.47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1C30E">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7.47</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E421A">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5AE43">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67B8">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378EE">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56CDBD8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4B51">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AA31E">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57DEE">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4.98</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6531">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4.98</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9A383">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D482">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992E">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A75DC">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C70638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0514">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C8787">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B8F18">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2.49</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A1E6A">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2.49</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BB93">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99C5B">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9A2B">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FA28">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78A790F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D2645">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8A85E">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27AB">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3.80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C9A5">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3.80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FB87A">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0D8A">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E0AE">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FDCA8">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39169F4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88C0">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62CFB">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B9B7F">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3.80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8924">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3.80</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5F054">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7F24">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F1E0B">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5FA64">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6120F3C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9E0B">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B41E7">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B909D">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2.96</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5CDF1">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2.96</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56C85">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82F64">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32A3">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E3FB3">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2E107DC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6953">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6427C">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F3E3">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EA32">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C136">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F44B">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8309">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78D8F">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3110980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2A12C">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370B4">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D4AD9">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3.73</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AD406">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3.73</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76F6A">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CFBF">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EC050">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E8341">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25AD740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D577">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5E134">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A8E08">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3.73</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BFDAB">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3.73</w:t>
            </w:r>
            <w:r>
              <w:rPr>
                <w:rFonts w:hint="default" w:ascii="Times New Roman" w:hAnsi="Times New Roman" w:cs="Times New Roman"/>
                <w:b/>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41035">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47C49">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83518">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27A0">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r w14:paraId="61E7B7E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2808">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B8363">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80FA0">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3.73</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75C6">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3.73</w:t>
            </w:r>
            <w:r>
              <w:rPr>
                <w:rFonts w:hint="default" w:ascii="Times New Roman" w:hAnsi="Times New Roman" w:cs="Times New Roman"/>
                <w:color w:val="auto"/>
                <w:sz w:val="20"/>
                <w:highlight w:val="none"/>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73D92">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D4253">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36076">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35B1E">
            <w:pPr>
              <w:wordWrap w:val="0"/>
              <w:jc w:val="right"/>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highlight w:val="none"/>
                <w:u w:color="auto"/>
              </w:rPr>
              <w:t xml:space="preserve"> </w:t>
            </w:r>
          </w:p>
        </w:tc>
      </w:tr>
    </w:tbl>
    <w:p w14:paraId="008A7DBE">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备注：1.本表反映单位本年度各项支出情况。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14:paraId="4E9F1F77">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p w14:paraId="25AA4BB8">
      <w:pPr>
        <w:rPr>
          <w:rFonts w:hint="default" w:ascii="Times New Roman" w:hAnsi="Times New Roman" w:cs="Times New Roman"/>
          <w:color w:val="auto"/>
          <w:sz w:val="21"/>
          <w:szCs w:val="21"/>
          <w:highlight w:val="none"/>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3F63CC9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8435C82">
            <w:pPr>
              <w:spacing w:line="40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财政拨款收入支出决算总表</w:t>
            </w:r>
          </w:p>
        </w:tc>
      </w:tr>
      <w:tr w14:paraId="108E8990">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AE45E63">
            <w:pPr>
              <w:spacing w:line="200" w:lineRule="exact"/>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重庆市石柱土家族自治县经济和信息化行政执法支队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3B8CB1B8">
            <w:pPr>
              <w:spacing w:line="200" w:lineRule="exact"/>
              <w:rPr>
                <w:rFonts w:hint="default" w:ascii="Times New Roman" w:hAnsi="Times New Roman" w:cs="Times New Roman"/>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344063D">
            <w:pPr>
              <w:spacing w:line="200" w:lineRule="exact"/>
              <w:rPr>
                <w:rFonts w:hint="default" w:ascii="Times New Roman" w:hAnsi="Times New Roman" w:cs="Times New Roman"/>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5D9475">
            <w:pPr>
              <w:spacing w:line="200" w:lineRule="exact"/>
              <w:rPr>
                <w:rFonts w:hint="default" w:ascii="Times New Roman" w:hAnsi="Times New Roman" w:cs="Times New Roman"/>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4269A35">
            <w:pPr>
              <w:spacing w:line="24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公开04表</w:t>
            </w:r>
          </w:p>
        </w:tc>
      </w:tr>
      <w:tr w14:paraId="38FC6D71">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1425EC1">
            <w:pPr>
              <w:spacing w:line="200" w:lineRule="exact"/>
              <w:rPr>
                <w:rFonts w:hint="default" w:ascii="Times New Roman" w:hAnsi="Times New Roman" w:cs="Times New Roman"/>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41F939">
            <w:pPr>
              <w:spacing w:line="200" w:lineRule="exact"/>
              <w:rPr>
                <w:rFonts w:hint="default" w:ascii="Times New Roman" w:hAnsi="Times New Roman" w:cs="Times New Roman"/>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0230FA">
            <w:pPr>
              <w:spacing w:line="200" w:lineRule="exact"/>
              <w:rPr>
                <w:rFonts w:hint="default" w:ascii="Times New Roman" w:hAnsi="Times New Roman" w:cs="Times New Roman"/>
                <w:color w:val="auto"/>
                <w:sz w:val="18"/>
                <w:szCs w:val="18"/>
                <w:highlight w:val="none"/>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464BF6">
            <w:pPr>
              <w:spacing w:line="200" w:lineRule="exact"/>
              <w:rPr>
                <w:rFonts w:hint="default" w:ascii="Times New Roman" w:hAnsi="Times New Roman" w:cs="Times New Roman"/>
                <w:color w:val="auto"/>
                <w:sz w:val="18"/>
                <w:szCs w:val="18"/>
                <w:highlight w:val="none"/>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C254323">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14:paraId="56DC5664">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AB06E">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39D2B">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支     出</w:t>
            </w:r>
          </w:p>
        </w:tc>
      </w:tr>
      <w:tr w14:paraId="699FF809">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DBD36">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27B66">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2C1415">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04C509">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决算数</w:t>
            </w:r>
          </w:p>
        </w:tc>
      </w:tr>
      <w:tr w14:paraId="3DF75A7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2DB84">
            <w:pPr>
              <w:spacing w:line="200" w:lineRule="exact"/>
              <w:jc w:val="center"/>
              <w:rPr>
                <w:rFonts w:hint="default" w:ascii="Times New Roman" w:hAnsi="Times New Roman" w:cs="Times New Roman"/>
                <w:b/>
                <w:color w:val="auto"/>
                <w:sz w:val="18"/>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AE60C">
            <w:pPr>
              <w:spacing w:line="200" w:lineRule="exact"/>
              <w:jc w:val="center"/>
              <w:rPr>
                <w:rFonts w:hint="default" w:ascii="Times New Roman" w:hAnsi="Times New Roman" w:cs="Times New Roman"/>
                <w:b/>
                <w:color w:val="auto"/>
                <w:sz w:val="18"/>
                <w:szCs w:val="18"/>
                <w:highlight w:val="none"/>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317899">
            <w:pPr>
              <w:spacing w:line="200" w:lineRule="exact"/>
              <w:jc w:val="center"/>
              <w:rPr>
                <w:rFonts w:hint="default" w:ascii="Times New Roman" w:hAnsi="Times New Roman" w:cs="Times New Roman"/>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F4B57">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29AA0">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83B0BA">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D273E">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国有资本经营预算财政拨款</w:t>
            </w:r>
          </w:p>
        </w:tc>
      </w:tr>
      <w:tr w14:paraId="7C03ED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299AB">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8A5B">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75.30</w:t>
            </w: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D80A8">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2D9ED">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60.30</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C8D04">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60.30</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FFA3">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9C14B">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687673D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C7D13">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31043">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1340CC">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4ED6">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57DF6">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7D38">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9C3D7">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D53186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C7F3A">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1E73C">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F1AFB">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0739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200E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2BCE1">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586D">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4A7CA5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11DCF">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0672BE">
            <w:pPr>
              <w:spacing w:line="200" w:lineRule="exac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304F8">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E0144">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5C60A">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CB793">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98C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4214DF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9B2B7">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A47727">
            <w:pPr>
              <w:spacing w:line="200" w:lineRule="exac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8835E">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3CC40">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9D2C0">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2858B">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A8371">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6FFC1A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8E229">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B0CFF4">
            <w:pPr>
              <w:spacing w:line="200" w:lineRule="exac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B3110">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685CC">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5FA5">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405CD">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4C2B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841F1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A1EE3">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AE65F1">
            <w:pPr>
              <w:spacing w:line="200" w:lineRule="exac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39D3C">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6757E">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64999">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C681">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3C7B">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3C0A1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639EAB">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B840A2">
            <w:pPr>
              <w:spacing w:line="200" w:lineRule="exac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F5D58">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640A0">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7.47</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93134">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7.47</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6796C">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ABD1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2F0BA4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6FF30">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3A54F8">
            <w:pPr>
              <w:spacing w:line="200" w:lineRule="exac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5046C">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FBFD0">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3.80</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42700">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3.80</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4D155">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B70A4">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0AD9D6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DDA01">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4F892">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15D4E">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8E5D">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6FBD">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53D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36DC3">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4FB859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19A321">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4C468">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AA2E7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7D6E3">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0B242">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B8FE9">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99B05">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3857D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9771DE">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BD128">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BBB6A">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EA651">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32601">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6BAD">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2F84">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74074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3DFD1">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63121">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B9E02">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3083">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5EADE">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D79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79AB">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706239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D5175">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1F88A">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7BA03">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5B522">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9E41">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6F343">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ABF02">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1393C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5996C">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86C48">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7059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3534D">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E406">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043A5">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18FFB">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6CDF4A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B1E22">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790A2">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4E591">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8AFF6">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C9DC1">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A4B58">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579B9">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4BB8B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7CCFE">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9B78">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90407">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A476">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399C">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25D7">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24E8">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6595E9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63CE1">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7295D">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BE05B">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DE76">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129A0">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AE43">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E11B">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FE0C4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67AC4">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CF9F5">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177CA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F1773">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3.73</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9AA4">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3.73</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6107">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3D9CE">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67B288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ECA6FB">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E12F">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FB1A0">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95F20">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BE98">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31C1A">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C6624">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798283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5A79F">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46C7A">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9ABB1">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C340">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BC2F0">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C69BC">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04F36">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649E6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FF323">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5860B">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70FD4">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D8A7">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0A732">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228F1">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51726">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375C0D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40CF3">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EF76">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AF2E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4FFE">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18A8">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B10BB">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BDFE7">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317C8A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D2D29DF">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F18D7">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E14C9">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BB0B1">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A2EA">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12E47">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F7BA7">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3B8ECD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68283B8">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6DFBC">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17644">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159A">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1B7B">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8600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A660">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73516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7C7AAF4">
            <w:pPr>
              <w:spacing w:line="200" w:lineRule="exact"/>
              <w:rPr>
                <w:rFonts w:hint="default" w:ascii="Times New Roman" w:hAnsi="Times New Roman" w:cs="Times New Roman"/>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F707">
            <w:pPr>
              <w:spacing w:line="200" w:lineRule="exact"/>
              <w:jc w:val="right"/>
              <w:rPr>
                <w:rFonts w:hint="default" w:ascii="Times New Roman" w:hAnsi="Times New Roman" w:cs="Times New Roman"/>
                <w:color w:val="auto"/>
                <w:sz w:val="18"/>
                <w:szCs w:val="18"/>
                <w:highlight w:val="none"/>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7DFB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508F6">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48FA2">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D4B9C">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7558C">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798492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F2E5F">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AD1A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75.30</w:t>
            </w: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03350">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BE7CA">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75.30</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3BECC">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75.30</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F6CB8">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C85B">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093A40C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4453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983D">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12611">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0FC1">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A3D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A17E">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7AD59">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07F1C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14809">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2EBBC">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B325BE">
            <w:pPr>
              <w:spacing w:line="200" w:lineRule="exac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F1B0A5">
            <w:pPr>
              <w:spacing w:line="200" w:lineRule="exac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8117926">
            <w:pPr>
              <w:spacing w:line="200" w:lineRule="exac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500907F">
            <w:pPr>
              <w:spacing w:line="200" w:lineRule="exact"/>
              <w:rPr>
                <w:rFonts w:hint="default" w:ascii="Times New Roman" w:hAnsi="Times New Roman" w:cs="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8C5D52">
            <w:pPr>
              <w:spacing w:line="200" w:lineRule="exact"/>
              <w:rPr>
                <w:rFonts w:hint="default" w:ascii="Times New Roman" w:hAnsi="Times New Roman" w:cs="Times New Roman"/>
                <w:color w:val="auto"/>
                <w:sz w:val="18"/>
                <w:szCs w:val="18"/>
                <w:highlight w:val="none"/>
              </w:rPr>
            </w:pPr>
          </w:p>
        </w:tc>
      </w:tr>
      <w:tr w14:paraId="055CE2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82FFF">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B382">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C945D">
            <w:pPr>
              <w:spacing w:line="200" w:lineRule="exact"/>
              <w:jc w:val="center"/>
              <w:rPr>
                <w:rFonts w:hint="default" w:ascii="Times New Roman" w:hAnsi="Times New Roman" w:cs="Times New Roman"/>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72DB4">
            <w:pPr>
              <w:spacing w:line="200" w:lineRule="exact"/>
              <w:jc w:val="righ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3FD65">
            <w:pPr>
              <w:spacing w:line="200" w:lineRule="exact"/>
              <w:jc w:val="righ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5E20">
            <w:pPr>
              <w:spacing w:line="200" w:lineRule="exact"/>
              <w:jc w:val="right"/>
              <w:rPr>
                <w:rFonts w:hint="default" w:ascii="Times New Roman" w:hAnsi="Times New Roman" w:cs="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600B">
            <w:pPr>
              <w:spacing w:line="200" w:lineRule="exact"/>
              <w:jc w:val="right"/>
              <w:rPr>
                <w:rFonts w:hint="default" w:ascii="Times New Roman" w:hAnsi="Times New Roman" w:cs="Times New Roman"/>
                <w:color w:val="auto"/>
                <w:sz w:val="18"/>
                <w:szCs w:val="18"/>
                <w:highlight w:val="none"/>
              </w:rPr>
            </w:pPr>
          </w:p>
        </w:tc>
      </w:tr>
      <w:tr w14:paraId="51E9CC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9898E">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8C545">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7E27F">
            <w:pPr>
              <w:spacing w:line="200" w:lineRule="exact"/>
              <w:jc w:val="center"/>
              <w:rPr>
                <w:rFonts w:hint="default" w:ascii="Times New Roman" w:hAnsi="Times New Roman" w:cs="Times New Roman"/>
                <w:b/>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A1666">
            <w:pPr>
              <w:spacing w:line="200" w:lineRule="exact"/>
              <w:jc w:val="righ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815D5">
            <w:pPr>
              <w:spacing w:line="200" w:lineRule="exact"/>
              <w:jc w:val="right"/>
              <w:rPr>
                <w:rFonts w:hint="default" w:ascii="Times New Roman" w:hAnsi="Times New Roman" w:cs="Times New Roman"/>
                <w:color w:val="auto"/>
                <w:sz w:val="18"/>
                <w:szCs w:val="18"/>
                <w:highlight w:val="none"/>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752C9">
            <w:pPr>
              <w:spacing w:line="200" w:lineRule="exact"/>
              <w:jc w:val="right"/>
              <w:rPr>
                <w:rFonts w:hint="default" w:ascii="Times New Roman" w:hAnsi="Times New Roman" w:cs="Times New Roman"/>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9CD98">
            <w:pPr>
              <w:spacing w:line="200" w:lineRule="exact"/>
              <w:jc w:val="right"/>
              <w:rPr>
                <w:rFonts w:hint="default" w:ascii="Times New Roman" w:hAnsi="Times New Roman" w:cs="Times New Roman"/>
                <w:color w:val="auto"/>
                <w:sz w:val="18"/>
                <w:szCs w:val="18"/>
                <w:highlight w:val="none"/>
              </w:rPr>
            </w:pPr>
          </w:p>
        </w:tc>
      </w:tr>
      <w:tr w14:paraId="136DC0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C0B0F">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3992D">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75.30</w:t>
            </w:r>
            <w:r>
              <w:rPr>
                <w:rFonts w:hint="default" w:ascii="Times New Roman" w:hAnsi="Times New Roman" w:cs="Times New Roman"/>
                <w:color w:val="auto"/>
                <w:sz w:val="18"/>
                <w:highlight w:val="none"/>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7EBBC">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ED0C">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75.30</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7199C">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75.30</w:t>
            </w:r>
            <w:r>
              <w:rPr>
                <w:rFonts w:hint="default" w:ascii="Times New Roman" w:hAnsi="Times New Roman" w:cs="Times New Roman"/>
                <w:color w:val="auto"/>
                <w:sz w:val="18"/>
                <w:highlight w:val="none"/>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1E48">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C072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bl>
    <w:p w14:paraId="4A8FBCBE">
      <w:pPr>
        <w:spacing w:line="24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4FC0278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283C900">
            <w:pPr>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一般公共预算财政拨款支出决算表</w:t>
            </w:r>
          </w:p>
        </w:tc>
      </w:tr>
      <w:tr w14:paraId="42AFF816">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AE31439">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重庆市石柱土家族自治县经济和信息化行政执法支队</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2744AEF">
            <w:pPr>
              <w:rPr>
                <w:rFonts w:hint="default" w:ascii="Times New Roman" w:hAnsi="Times New Roman" w:cs="Times New Roman"/>
                <w:color w:val="auto"/>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9368C38">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公开05表</w:t>
            </w:r>
          </w:p>
        </w:tc>
      </w:tr>
      <w:tr w14:paraId="1023B63C">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F6BC48D">
            <w:pPr>
              <w:rPr>
                <w:rFonts w:hint="default" w:ascii="Times New Roman" w:hAnsi="Times New Roman" w:cs="Times New Roman"/>
                <w:color w:val="auto"/>
                <w:sz w:val="20"/>
                <w:szCs w:val="20"/>
                <w:highlight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F04EB77">
            <w:pPr>
              <w:rPr>
                <w:rFonts w:hint="default" w:ascii="Times New Roman" w:hAnsi="Times New Roman" w:cs="Times New Roman"/>
                <w:color w:val="auto"/>
                <w:sz w:val="20"/>
                <w:szCs w:val="20"/>
                <w:highlight w:val="none"/>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1184CB78">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14:paraId="191DD898">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E05F0">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3FD45F">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14:paraId="04636C10">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3FE75">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753FFD">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F0CA91">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9C796A">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B13913">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14:paraId="41FC83FE">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83D70">
            <w:pPr>
              <w:jc w:val="center"/>
              <w:rPr>
                <w:rFonts w:hint="default" w:ascii="Times New Roman" w:hAnsi="Times New Roman" w:cs="Times New Roman"/>
                <w:b/>
                <w:color w:val="auto"/>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AB0EC0">
            <w:pPr>
              <w:jc w:val="center"/>
              <w:rPr>
                <w:rFonts w:hint="default" w:ascii="Times New Roman" w:hAnsi="Times New Roman" w:cs="Times New Roman"/>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1A068A">
            <w:pPr>
              <w:jc w:val="center"/>
              <w:rPr>
                <w:rFonts w:hint="default" w:ascii="Times New Roman" w:hAnsi="Times New Roman" w:cs="Times New Roman"/>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C26659">
            <w:pPr>
              <w:jc w:val="center"/>
              <w:rPr>
                <w:rFonts w:hint="default" w:ascii="Times New Roman" w:hAnsi="Times New Roman" w:cs="Times New Roman"/>
                <w:b/>
                <w:color w:val="auto"/>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6E1DCC">
            <w:pPr>
              <w:jc w:val="center"/>
              <w:rPr>
                <w:rFonts w:hint="default" w:ascii="Times New Roman" w:hAnsi="Times New Roman" w:cs="Times New Roman"/>
                <w:b/>
                <w:color w:val="auto"/>
                <w:sz w:val="20"/>
                <w:szCs w:val="20"/>
                <w:highlight w:val="none"/>
              </w:rPr>
            </w:pPr>
          </w:p>
        </w:tc>
      </w:tr>
      <w:tr w14:paraId="18C3D609">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291A4">
            <w:pPr>
              <w:jc w:val="center"/>
              <w:rPr>
                <w:rFonts w:hint="default" w:ascii="Times New Roman" w:hAnsi="Times New Roman" w:cs="Times New Roman"/>
                <w:b/>
                <w:color w:val="auto"/>
                <w:sz w:val="20"/>
                <w:szCs w:val="20"/>
                <w:highlight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8C2801">
            <w:pPr>
              <w:jc w:val="center"/>
              <w:rPr>
                <w:rFonts w:hint="default" w:ascii="Times New Roman" w:hAnsi="Times New Roman" w:cs="Times New Roman"/>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79688E">
            <w:pPr>
              <w:jc w:val="center"/>
              <w:rPr>
                <w:rFonts w:hint="default" w:ascii="Times New Roman" w:hAnsi="Times New Roman" w:cs="Times New Roman"/>
                <w:b/>
                <w:color w:val="auto"/>
                <w:sz w:val="20"/>
                <w:szCs w:val="20"/>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D82E9F">
            <w:pPr>
              <w:jc w:val="center"/>
              <w:rPr>
                <w:rFonts w:hint="default" w:ascii="Times New Roman" w:hAnsi="Times New Roman" w:cs="Times New Roman"/>
                <w:b/>
                <w:color w:val="auto"/>
                <w:sz w:val="20"/>
                <w:szCs w:val="20"/>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E3C7E7">
            <w:pPr>
              <w:jc w:val="center"/>
              <w:rPr>
                <w:rFonts w:hint="default" w:ascii="Times New Roman" w:hAnsi="Times New Roman" w:cs="Times New Roman"/>
                <w:b/>
                <w:color w:val="auto"/>
                <w:sz w:val="20"/>
                <w:szCs w:val="20"/>
                <w:highlight w:val="none"/>
              </w:rPr>
            </w:pPr>
          </w:p>
        </w:tc>
      </w:tr>
      <w:tr w14:paraId="55868DD2">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3A7B6">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ECAB5">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75.30</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9A8CA">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bCs/>
                <w:color w:val="auto"/>
                <w:sz w:val="20"/>
                <w:szCs w:val="20"/>
                <w:highlight w:val="none"/>
              </w:rPr>
              <w:t>75.30</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A7445">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r w14:paraId="4BBAF2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7866">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327CA">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B7601">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60.30</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DDD49">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60.30</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FC6E3">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5436B3A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0E5BA">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4EE01">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98B86">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60.30</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E48D7">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60.30</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12774">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2FEE45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D09F2">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2011350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17565">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E850E">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60.30</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3BBE5">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60.30</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AB4BC">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D4BC0B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6409A">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A98DB">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3FF3A">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7.47</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0DE49">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7.47</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EFCE0">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5705DE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B7A82">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9FFAA">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F6A50">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7.47</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239F8">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7.47</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77E97">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62876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F843C">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CCA75">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17FF2">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4.98</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9F41E">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4.98</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FC627">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69B34A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0F97E">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E0D94">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1D66D">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2.49</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38733">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2.49</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828FA">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3460F4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6F6A3">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DFCBD">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A06F7">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3.80</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DDAFB">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3.80</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5DAB4">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4632A03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E7D6">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42134">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326094">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3.80</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3F229">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3.80</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8B465">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68B01E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C904E">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E8454">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DCBE6">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2.96</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FCA0E">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2.96</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3F3D7">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03DC10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0E8F">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0983B">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E559C">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4C7D2">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0.84</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EB5EE">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10A1876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78843">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A48E8">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46260">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3.73</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CB799">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3.73</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58C15">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179E704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01B68">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E617C2">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b/>
                <w:color w:val="auto"/>
                <w:sz w:val="20"/>
                <w:szCs w:val="20"/>
                <w:highlight w:val="none"/>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073CCF">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3.73</w:t>
            </w:r>
            <w:r>
              <w:rPr>
                <w:rFonts w:hint="default" w:ascii="Times New Roman" w:hAnsi="Times New Roman" w:cs="Times New Roman"/>
                <w:b/>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A8B20">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3.73</w:t>
            </w:r>
            <w:r>
              <w:rPr>
                <w:rFonts w:hint="default" w:ascii="Times New Roman" w:hAnsi="Times New Roman" w:cs="Times New Roman"/>
                <w:b/>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F8026">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r w14:paraId="72A5B6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B36F">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E9105">
            <w:pPr>
              <w:textAlignment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3118A">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3.73</w:t>
            </w:r>
            <w:r>
              <w:rPr>
                <w:rFonts w:hint="default" w:ascii="Times New Roman" w:hAnsi="Times New Roman" w:cs="Times New Roman"/>
                <w:color w:val="auto"/>
                <w:sz w:val="20"/>
                <w:highlight w:val="none"/>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8198C">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szCs w:val="20"/>
                <w:highlight w:val="none"/>
              </w:rPr>
              <w:t>3.73</w:t>
            </w:r>
            <w:r>
              <w:rPr>
                <w:rFonts w:hint="default" w:ascii="Times New Roman" w:hAnsi="Times New Roman" w:cs="Times New Roman"/>
                <w:color w:val="auto"/>
                <w:sz w:val="20"/>
                <w:highlight w:val="none"/>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6F7EC">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color w:val="auto"/>
                <w:sz w:val="20"/>
                <w:highlight w:val="none"/>
                <w:u w:color="auto"/>
              </w:rPr>
              <w:t xml:space="preserve"> </w:t>
            </w:r>
          </w:p>
        </w:tc>
      </w:tr>
    </w:tbl>
    <w:p w14:paraId="7BFC08D1">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备注：1.本表反映单位本年度一般公共预算财政拨款支出情况。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14:paraId="28D3BACC">
      <w:pPr>
        <w:ind w:firstLine="630" w:firstLineChars="3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4CD625DF">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A5B869A">
            <w:pPr>
              <w:spacing w:line="44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一般公共预算财政拨款基本支出决算表</w:t>
            </w:r>
          </w:p>
        </w:tc>
      </w:tr>
      <w:tr w14:paraId="08BC83D8">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F1CA5BE">
            <w:pPr>
              <w:spacing w:line="200" w:lineRule="exact"/>
              <w:rPr>
                <w:rFonts w:hint="default" w:ascii="Times New Roman" w:hAnsi="Times New Roman" w:cs="Times New Roman"/>
                <w:color w:val="auto"/>
                <w:sz w:val="18"/>
                <w:szCs w:val="18"/>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重庆市石柱土家族自治县经济和信息化行政执法支队</w:t>
            </w:r>
          </w:p>
        </w:tc>
        <w:tc>
          <w:tcPr>
            <w:tcW w:w="626" w:type="pct"/>
            <w:tcBorders>
              <w:top w:val="nil"/>
              <w:left w:val="nil"/>
              <w:bottom w:val="nil"/>
              <w:right w:val="nil"/>
            </w:tcBorders>
            <w:shd w:val="clear" w:color="auto" w:fill="auto"/>
            <w:noWrap/>
            <w:tcMar>
              <w:top w:w="15" w:type="dxa"/>
              <w:left w:w="15" w:type="dxa"/>
              <w:right w:w="15" w:type="dxa"/>
            </w:tcMar>
            <w:vAlign w:val="bottom"/>
          </w:tcPr>
          <w:p w14:paraId="2777B6E3">
            <w:pPr>
              <w:spacing w:line="200" w:lineRule="exact"/>
              <w:rPr>
                <w:rFonts w:hint="default" w:ascii="Times New Roman" w:hAnsi="Times New Roman" w:cs="Times New Roman"/>
                <w:color w:val="auto"/>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57BC1DF">
            <w:pPr>
              <w:spacing w:line="200" w:lineRule="exact"/>
              <w:rPr>
                <w:rFonts w:hint="default" w:ascii="Times New Roman" w:hAnsi="Times New Roman" w:cs="Times New Roman"/>
                <w:color w:val="auto"/>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CC289EB">
            <w:pPr>
              <w:spacing w:line="200" w:lineRule="exact"/>
              <w:rPr>
                <w:rFonts w:hint="default" w:ascii="Times New Roman" w:hAnsi="Times New Roman" w:cs="Times New Roman"/>
                <w:color w:val="auto"/>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AEFDD29">
            <w:pPr>
              <w:spacing w:line="200" w:lineRule="exact"/>
              <w:rPr>
                <w:rFonts w:hint="default" w:ascii="Times New Roman" w:hAnsi="Times New Roman" w:cs="Times New Roman"/>
                <w:color w:val="auto"/>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05B89A4">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公开06表</w:t>
            </w:r>
          </w:p>
        </w:tc>
      </w:tr>
      <w:tr w14:paraId="6739F9EE">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9DE374B">
            <w:pPr>
              <w:spacing w:line="200" w:lineRule="exact"/>
              <w:rPr>
                <w:rFonts w:hint="default" w:ascii="Times New Roman" w:hAnsi="Times New Roman" w:cs="Times New Roman"/>
                <w:color w:val="auto"/>
                <w:sz w:val="18"/>
                <w:szCs w:val="18"/>
                <w:highlight w:val="none"/>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77E3B89C">
            <w:pPr>
              <w:spacing w:line="200" w:lineRule="exact"/>
              <w:rPr>
                <w:rFonts w:hint="default" w:ascii="Times New Roman" w:hAnsi="Times New Roman" w:cs="Times New Roman"/>
                <w:color w:val="auto"/>
                <w:sz w:val="18"/>
                <w:szCs w:val="18"/>
                <w:highlight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7E61F74">
            <w:pPr>
              <w:spacing w:line="200" w:lineRule="exact"/>
              <w:rPr>
                <w:rFonts w:hint="default" w:ascii="Times New Roman" w:hAnsi="Times New Roman" w:cs="Times New Roman"/>
                <w:color w:val="auto"/>
                <w:sz w:val="18"/>
                <w:szCs w:val="18"/>
                <w:highlight w:val="none"/>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742CF6C">
            <w:pPr>
              <w:spacing w:line="200" w:lineRule="exact"/>
              <w:rPr>
                <w:rFonts w:hint="default" w:ascii="Times New Roman" w:hAnsi="Times New Roman" w:cs="Times New Roman"/>
                <w:color w:val="auto"/>
                <w:sz w:val="18"/>
                <w:szCs w:val="18"/>
                <w:highlight w:val="none"/>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E5B91B5">
            <w:pPr>
              <w:spacing w:line="200" w:lineRule="exact"/>
              <w:rPr>
                <w:rFonts w:hint="default" w:ascii="Times New Roman" w:hAnsi="Times New Roman" w:cs="Times New Roman"/>
                <w:color w:val="auto"/>
                <w:sz w:val="18"/>
                <w:szCs w:val="18"/>
                <w:highlight w:val="none"/>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3A55B11">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14:paraId="4E390B07">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D293F">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9AC7628">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w:t>
            </w:r>
          </w:p>
        </w:tc>
      </w:tr>
      <w:tr w14:paraId="156EDC1D">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7E50FE">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B513EF">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6512A2">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E0A8E">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EA073E">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1E4733">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C4F4B">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9CA8F3">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1F8E81">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金额</w:t>
            </w:r>
          </w:p>
        </w:tc>
      </w:tr>
      <w:tr w14:paraId="0D7F2BB1">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730782">
            <w:pPr>
              <w:spacing w:line="200" w:lineRule="exact"/>
              <w:jc w:val="center"/>
              <w:rPr>
                <w:rFonts w:hint="default" w:ascii="Times New Roman" w:hAnsi="Times New Roman" w:cs="Times New Roman"/>
                <w:b/>
                <w:color w:val="auto"/>
                <w:sz w:val="18"/>
                <w:szCs w:val="18"/>
                <w:highlight w:val="none"/>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0C306E">
            <w:pPr>
              <w:spacing w:line="200" w:lineRule="exact"/>
              <w:jc w:val="center"/>
              <w:rPr>
                <w:rFonts w:hint="default" w:ascii="Times New Roman" w:hAnsi="Times New Roman" w:cs="Times New Roman"/>
                <w:b/>
                <w:color w:val="auto"/>
                <w:sz w:val="18"/>
                <w:szCs w:val="18"/>
                <w:highlight w:val="none"/>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7CB024">
            <w:pPr>
              <w:spacing w:line="200" w:lineRule="exact"/>
              <w:jc w:val="center"/>
              <w:rPr>
                <w:rFonts w:hint="default" w:ascii="Times New Roman" w:hAnsi="Times New Roman" w:cs="Times New Roman"/>
                <w:b/>
                <w:color w:val="auto"/>
                <w:sz w:val="18"/>
                <w:szCs w:val="18"/>
                <w:highlight w:val="none"/>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0BCB1">
            <w:pPr>
              <w:spacing w:line="200" w:lineRule="exact"/>
              <w:jc w:val="center"/>
              <w:rPr>
                <w:rFonts w:hint="default" w:ascii="Times New Roman" w:hAnsi="Times New Roman" w:cs="Times New Roman"/>
                <w:b/>
                <w:color w:val="auto"/>
                <w:sz w:val="18"/>
                <w:szCs w:val="18"/>
                <w:highlight w:val="none"/>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B2A554">
            <w:pPr>
              <w:spacing w:line="200" w:lineRule="exact"/>
              <w:jc w:val="center"/>
              <w:rPr>
                <w:rFonts w:hint="default" w:ascii="Times New Roman" w:hAnsi="Times New Roman" w:cs="Times New Roman"/>
                <w:b/>
                <w:color w:val="auto"/>
                <w:sz w:val="18"/>
                <w:szCs w:val="18"/>
                <w:highlight w:val="none"/>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B572EE">
            <w:pPr>
              <w:spacing w:line="200" w:lineRule="exact"/>
              <w:jc w:val="center"/>
              <w:rPr>
                <w:rFonts w:hint="default" w:ascii="Times New Roman" w:hAnsi="Times New Roman" w:cs="Times New Roman"/>
                <w:b/>
                <w:color w:val="auto"/>
                <w:sz w:val="18"/>
                <w:szCs w:val="18"/>
                <w:highlight w:val="none"/>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B3DB6">
            <w:pPr>
              <w:spacing w:line="200" w:lineRule="exact"/>
              <w:jc w:val="center"/>
              <w:rPr>
                <w:rFonts w:hint="default" w:ascii="Times New Roman" w:hAnsi="Times New Roman" w:cs="Times New Roman"/>
                <w:b/>
                <w:color w:val="auto"/>
                <w:sz w:val="18"/>
                <w:szCs w:val="18"/>
                <w:highlight w:val="none"/>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81C204">
            <w:pPr>
              <w:spacing w:line="200" w:lineRule="exact"/>
              <w:jc w:val="center"/>
              <w:rPr>
                <w:rFonts w:hint="default" w:ascii="Times New Roman" w:hAnsi="Times New Roman" w:cs="Times New Roman"/>
                <w:b/>
                <w:color w:val="auto"/>
                <w:sz w:val="18"/>
                <w:szCs w:val="18"/>
                <w:highlight w:val="none"/>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5388C6">
            <w:pPr>
              <w:spacing w:line="200" w:lineRule="exact"/>
              <w:jc w:val="center"/>
              <w:rPr>
                <w:rFonts w:hint="default" w:ascii="Times New Roman" w:hAnsi="Times New Roman" w:cs="Times New Roman"/>
                <w:b/>
                <w:color w:val="auto"/>
                <w:sz w:val="18"/>
                <w:szCs w:val="18"/>
                <w:highlight w:val="none"/>
              </w:rPr>
            </w:pPr>
          </w:p>
        </w:tc>
      </w:tr>
      <w:tr w14:paraId="51509F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10D61">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E9AEA">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54CE">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59.68</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D3059">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41B75">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50C31">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15.62</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7C05A">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733D99">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3FA58">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8CFCA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1C535">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551D1">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13EB">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14.09</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C1C1A7">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23120">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0B49C">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3.18</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27840">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B3D7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4267">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0D9129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483A0">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4FE33">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D48C">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2.48</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C49F7">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63C5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D2143">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DC4CF">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DDFC9">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98A47">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52ECB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BDD4F">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21879">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F644">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C38A3A">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0BC03">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A118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4F0BE">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D0060">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DCEC8">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AE695D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0B22A">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F727B">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8BFBC">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D9B94">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CF6DC">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6848C">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4305BC">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2A4BA">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CCD5">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C49D33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59262">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E0404">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F0A8">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27.55</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0FAE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A4FC9">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892B">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0.03</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FF74B">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48AFA">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38A4A">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A6E35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9E8B1">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35C04">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7A9C">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4.98</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02E36">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25513">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ED90A">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0.07</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705B1">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F94C4">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F5B69">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BC53BC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2EF5F">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0BF4B">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9B06A">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2.49</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B6E38">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7269E8">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9D5A8">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0.73</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35286">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EBBC7">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58F86">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4A177E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DC1CF">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0FC73">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B7D55">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3.11</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EE10E">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C2D12">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B9FD9">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FD3F2">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FA1873">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25009">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500175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C4BEE">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76925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E07A">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5323E">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26D19">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A2C53">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50E4F">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5E7FF">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103D">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4F32B3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4F5439">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02B18">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2193E">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0.40</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037C7">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533D2">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0212">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5.94</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212C0">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EF578">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1C4D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781D02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DB379">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60785">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4FB3C">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3.73</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2894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679A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0A59">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B0A9F">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85BFA">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100B">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0AEBB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FA9B76">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681D1">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6A655">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0.84</w:t>
            </w: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A0ED2">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58340">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59CA">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2086A">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CEE3E">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55D9C">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74E0276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6E6AB">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97E16">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E726">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589C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888EE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DBC3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950AB">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C9B26">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FBBA8">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6577011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FC6DA0">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78C21">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422E8">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4EC21">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16821">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5349B">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BFA36">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25A1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5969">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443CA9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53DD6">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05F5B">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3265">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75420">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8E2E8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6E43">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0.13</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718C5">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55261">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D829">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693CF56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E5030">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904D16">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95A0">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51260">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2A985">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2E513">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C55F87">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3BD27">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2F5E">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21402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C54A0">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B19AC">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F3D6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DA382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AC759">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05786">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1D0E2">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D5EC9">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6B9C">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9BA19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362EB">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C68CC">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4C6A">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67E40">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7C9A2">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8DF60">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F7286">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51F273">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2DD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65C408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86DC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70683">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93B01">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CB654">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B04AA">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8D9B">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D0658">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A867F">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8457">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76568A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445B8">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D2E45">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4674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9D3664">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54B2C">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97A6">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2.33</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DEB80">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BC711">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2A6AD">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9C7BD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44A2F">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D59DC">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179E5">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B2A9F">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954D8">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72C5D">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C5555">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9AA80A">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C904">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CAA931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37C3F1">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B2A83">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F5DA9">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358C9">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1A62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F5AC8">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0.62</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DDBF2">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7CBBF">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B85AA">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0A4F02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B2ADA">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366E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001A">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46651">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97827">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F4B66">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3C0DB">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3FDECF">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A6D1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43EEA3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9D1EB">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DBC8C">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ECBC7">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83527">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719C6">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F8CD7">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078D7">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64CE3A">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98D74">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DF906A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24BC4">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AAC97">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28B0">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FD921">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942C7">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C50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466CD">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46BB9">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4987F">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1DDB65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94694">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3FDC7">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8374E">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FEBE1">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E407AC">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B7E8">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A9D2C">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F8239">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B0197">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2CA3DCB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C2F1C">
            <w:pPr>
              <w:spacing w:line="200" w:lineRule="exact"/>
              <w:rPr>
                <w:rFonts w:hint="default" w:ascii="Times New Roman" w:hAnsi="Times New Roman" w:cs="Times New Roman"/>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B52F4">
            <w:pPr>
              <w:spacing w:line="200" w:lineRule="exact"/>
              <w:rPr>
                <w:rFonts w:hint="default" w:ascii="Times New Roman" w:hAnsi="Times New Roman" w:cs="Times New Roman"/>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590403">
            <w:pPr>
              <w:spacing w:line="200" w:lineRule="exact"/>
              <w:rPr>
                <w:rFonts w:hint="default" w:ascii="Times New Roman" w:hAnsi="Times New Roman" w:cs="Times New Roman"/>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AC592">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725E0">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0AA21">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2.59</w:t>
            </w: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6A6D3">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796EE">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148A5">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064CA3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68338">
            <w:pPr>
              <w:spacing w:line="200" w:lineRule="exact"/>
              <w:rPr>
                <w:rFonts w:hint="default" w:ascii="Times New Roman" w:hAnsi="Times New Roman" w:cs="Times New Roman"/>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6D653">
            <w:pPr>
              <w:spacing w:line="200" w:lineRule="exact"/>
              <w:rPr>
                <w:rFonts w:hint="default" w:ascii="Times New Roman" w:hAnsi="Times New Roman" w:cs="Times New Roman"/>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D7A5D3">
            <w:pPr>
              <w:spacing w:line="200" w:lineRule="exact"/>
              <w:rPr>
                <w:rFonts w:hint="default" w:ascii="Times New Roman" w:hAnsi="Times New Roman" w:cs="Times New Roman"/>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98880">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34CF3">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F33A">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379C57">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F7925">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19FD2">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r>
      <w:tr w14:paraId="5201FD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81A12">
            <w:pPr>
              <w:spacing w:line="200" w:lineRule="exact"/>
              <w:rPr>
                <w:rFonts w:hint="default" w:ascii="Times New Roman" w:hAnsi="Times New Roman" w:cs="Times New Roman"/>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ECC75C">
            <w:pPr>
              <w:spacing w:line="200" w:lineRule="exact"/>
              <w:rPr>
                <w:rFonts w:hint="default" w:ascii="Times New Roman" w:hAnsi="Times New Roman" w:cs="Times New Roman"/>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B4F1C9">
            <w:pPr>
              <w:spacing w:line="200" w:lineRule="exact"/>
              <w:rPr>
                <w:rFonts w:hint="default" w:ascii="Times New Roman" w:hAnsi="Times New Roman" w:cs="Times New Roman"/>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1D2AE">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0C641">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CE6B">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63470">
            <w:pPr>
              <w:spacing w:line="200" w:lineRule="exact"/>
              <w:rPr>
                <w:rFonts w:hint="default" w:ascii="Times New Roman" w:hAnsi="Times New Roman" w:cs="Times New Roman"/>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4A406">
            <w:pPr>
              <w:spacing w:line="200" w:lineRule="exact"/>
              <w:rPr>
                <w:rFonts w:hint="default" w:ascii="Times New Roman" w:hAnsi="Times New Roman" w:cs="Times New Roman"/>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D3133">
            <w:pPr>
              <w:spacing w:line="200" w:lineRule="exact"/>
              <w:jc w:val="right"/>
              <w:rPr>
                <w:rFonts w:hint="default" w:ascii="Times New Roman" w:hAnsi="Times New Roman" w:cs="Times New Roman"/>
                <w:color w:val="auto"/>
                <w:sz w:val="18"/>
                <w:szCs w:val="18"/>
                <w:highlight w:val="none"/>
              </w:rPr>
            </w:pPr>
          </w:p>
        </w:tc>
      </w:tr>
      <w:tr w14:paraId="337A7A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D2F34">
            <w:pPr>
              <w:spacing w:line="200" w:lineRule="exact"/>
              <w:rPr>
                <w:rFonts w:hint="default" w:ascii="Times New Roman" w:hAnsi="Times New Roman" w:cs="Times New Roman"/>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1FACE">
            <w:pPr>
              <w:spacing w:line="200" w:lineRule="exact"/>
              <w:rPr>
                <w:rFonts w:hint="default" w:ascii="Times New Roman" w:hAnsi="Times New Roman" w:cs="Times New Roman"/>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4DCAC7">
            <w:pPr>
              <w:spacing w:line="200" w:lineRule="exact"/>
              <w:rPr>
                <w:rFonts w:hint="default" w:ascii="Times New Roman" w:hAnsi="Times New Roman" w:cs="Times New Roman"/>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B1A657">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6B514A">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5D537">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2B5D3">
            <w:pPr>
              <w:spacing w:line="200" w:lineRule="exact"/>
              <w:rPr>
                <w:rFonts w:hint="default" w:ascii="Times New Roman" w:hAnsi="Times New Roman" w:cs="Times New Roman"/>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3FFB8">
            <w:pPr>
              <w:spacing w:line="200" w:lineRule="exact"/>
              <w:rPr>
                <w:rFonts w:hint="default" w:ascii="Times New Roman" w:hAnsi="Times New Roman" w:cs="Times New Roman"/>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2774F">
            <w:pPr>
              <w:spacing w:line="200" w:lineRule="exact"/>
              <w:jc w:val="right"/>
              <w:rPr>
                <w:rFonts w:hint="default" w:ascii="Times New Roman" w:hAnsi="Times New Roman" w:cs="Times New Roman"/>
                <w:color w:val="auto"/>
                <w:sz w:val="18"/>
                <w:szCs w:val="18"/>
                <w:highlight w:val="none"/>
              </w:rPr>
            </w:pPr>
          </w:p>
        </w:tc>
      </w:tr>
      <w:tr w14:paraId="2FA470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8D31D">
            <w:pPr>
              <w:spacing w:line="200" w:lineRule="exact"/>
              <w:rPr>
                <w:rFonts w:hint="default" w:ascii="Times New Roman" w:hAnsi="Times New Roman" w:cs="Times New Roman"/>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F1070">
            <w:pPr>
              <w:spacing w:line="200" w:lineRule="exact"/>
              <w:rPr>
                <w:rFonts w:hint="default" w:ascii="Times New Roman" w:hAnsi="Times New Roman" w:cs="Times New Roman"/>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7A8963">
            <w:pPr>
              <w:spacing w:line="200" w:lineRule="exact"/>
              <w:rPr>
                <w:rFonts w:hint="default" w:ascii="Times New Roman" w:hAnsi="Times New Roman" w:cs="Times New Roman"/>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967DA">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E7618">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DD58">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FB574">
            <w:pPr>
              <w:spacing w:line="200" w:lineRule="exact"/>
              <w:rPr>
                <w:rFonts w:hint="default" w:ascii="Times New Roman" w:hAnsi="Times New Roman" w:cs="Times New Roman"/>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203C4">
            <w:pPr>
              <w:spacing w:line="200" w:lineRule="exact"/>
              <w:rPr>
                <w:rFonts w:hint="default" w:ascii="Times New Roman" w:hAnsi="Times New Roman" w:cs="Times New Roman"/>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6018">
            <w:pPr>
              <w:spacing w:line="200" w:lineRule="exact"/>
              <w:jc w:val="right"/>
              <w:rPr>
                <w:rFonts w:hint="default" w:ascii="Times New Roman" w:hAnsi="Times New Roman" w:cs="Times New Roman"/>
                <w:color w:val="auto"/>
                <w:sz w:val="18"/>
                <w:szCs w:val="18"/>
                <w:highlight w:val="none"/>
              </w:rPr>
            </w:pPr>
          </w:p>
        </w:tc>
      </w:tr>
      <w:tr w14:paraId="0D200E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2A302">
            <w:pPr>
              <w:spacing w:line="200" w:lineRule="exact"/>
              <w:rPr>
                <w:rFonts w:hint="default" w:ascii="Times New Roman" w:hAnsi="Times New Roman" w:cs="Times New Roman"/>
                <w:color w:val="auto"/>
                <w:sz w:val="18"/>
                <w:szCs w:val="18"/>
                <w:highlight w:val="none"/>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5B74B">
            <w:pPr>
              <w:spacing w:line="200" w:lineRule="exact"/>
              <w:rPr>
                <w:rFonts w:hint="default" w:ascii="Times New Roman" w:hAnsi="Times New Roman" w:cs="Times New Roman"/>
                <w:color w:val="auto"/>
                <w:sz w:val="18"/>
                <w:szCs w:val="18"/>
                <w:highlight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A08C51">
            <w:pPr>
              <w:spacing w:line="200" w:lineRule="exact"/>
              <w:rPr>
                <w:rFonts w:hint="default" w:ascii="Times New Roman" w:hAnsi="Times New Roman" w:cs="Times New Roman"/>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942C0">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1A1E3">
            <w:pPr>
              <w:spacing w:line="200" w:lineRule="exac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5AD4">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highlight w:val="none"/>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6FD95">
            <w:pPr>
              <w:spacing w:line="200" w:lineRule="exact"/>
              <w:rPr>
                <w:rFonts w:hint="default" w:ascii="Times New Roman" w:hAnsi="Times New Roman" w:cs="Times New Roman"/>
                <w:color w:val="auto"/>
                <w:sz w:val="18"/>
                <w:szCs w:val="18"/>
                <w:highlight w:val="none"/>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95C01">
            <w:pPr>
              <w:spacing w:line="200" w:lineRule="exact"/>
              <w:rPr>
                <w:rFonts w:hint="default" w:ascii="Times New Roman" w:hAnsi="Times New Roman" w:cs="Times New Roman"/>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88743">
            <w:pPr>
              <w:spacing w:line="200" w:lineRule="exact"/>
              <w:jc w:val="right"/>
              <w:rPr>
                <w:rFonts w:hint="default" w:ascii="Times New Roman" w:hAnsi="Times New Roman" w:cs="Times New Roman"/>
                <w:color w:val="auto"/>
                <w:sz w:val="18"/>
                <w:szCs w:val="18"/>
                <w:highlight w:val="none"/>
              </w:rPr>
            </w:pPr>
          </w:p>
        </w:tc>
      </w:tr>
      <w:tr w14:paraId="1547C932">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1AB59">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2C4D8D">
            <w:pPr>
              <w:wordWrap w:val="0"/>
              <w:spacing w:line="200" w:lineRule="exact"/>
              <w:jc w:val="right"/>
              <w:textAlignment w:val="bottom"/>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59.68</w:t>
            </w:r>
            <w:r>
              <w:rPr>
                <w:rFonts w:hint="default" w:ascii="Times New Roman" w:hAnsi="Times New Roman" w:cs="Times New Roman"/>
                <w:color w:val="auto"/>
                <w:sz w:val="18"/>
                <w:highlight w:val="none"/>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5661F1">
            <w:pPr>
              <w:spacing w:line="200" w:lineRule="exact"/>
              <w:jc w:val="center"/>
              <w:textAlignment w:val="center"/>
              <w:rPr>
                <w:rFonts w:hint="default" w:ascii="Times New Roman" w:hAnsi="Times New Roman" w:cs="Times New Roman"/>
                <w:b/>
                <w:color w:val="auto"/>
                <w:sz w:val="18"/>
                <w:szCs w:val="18"/>
                <w:highlight w:val="none"/>
              </w:rPr>
            </w:pPr>
            <w:r>
              <w:rPr>
                <w:rFonts w:hint="default" w:ascii="Times New Roman" w:hAnsi="Times New Roman" w:cs="Times New Roman"/>
                <w:b/>
                <w:color w:val="auto"/>
                <w:sz w:val="18"/>
                <w:szCs w:val="18"/>
                <w:highlight w:val="none"/>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71F67">
            <w:pPr>
              <w:wordWrap w:val="0"/>
              <w:spacing w:line="200" w:lineRule="exact"/>
              <w:jc w:val="right"/>
              <w:textAlignment w:val="center"/>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15.62</w:t>
            </w:r>
            <w:r>
              <w:rPr>
                <w:rFonts w:hint="default" w:ascii="Times New Roman" w:hAnsi="Times New Roman" w:cs="Times New Roman"/>
                <w:color w:val="auto"/>
                <w:sz w:val="18"/>
                <w:highlight w:val="none"/>
                <w:u w:color="auto"/>
              </w:rPr>
              <w:t xml:space="preserve"> </w:t>
            </w:r>
          </w:p>
        </w:tc>
      </w:tr>
    </w:tbl>
    <w:p w14:paraId="2BEA1648">
      <w:pPr>
        <w:spacing w:line="28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备注：1.本表反映单位本年度一般公共预算财政拨款基本支出明细情况。</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38308E6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C14ED43">
            <w:pPr>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政府性基金预算财政拨款收入支出决算表</w:t>
            </w:r>
          </w:p>
        </w:tc>
      </w:tr>
      <w:tr w14:paraId="63BA3BEF">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0ACA8EDB">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重庆市石柱土家族自治县经济和信息化行政执法支队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39DD8F3C">
            <w:pPr>
              <w:rPr>
                <w:rFonts w:hint="default" w:ascii="Times New Roman" w:hAnsi="Times New Roman" w:cs="Times New Roman"/>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788A9A">
            <w:pPr>
              <w:rPr>
                <w:rFonts w:hint="default" w:ascii="Times New Roman" w:hAnsi="Times New Roman" w:cs="Times New Roman"/>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E3F230">
            <w:pPr>
              <w:rPr>
                <w:rFonts w:hint="default" w:ascii="Times New Roman" w:hAnsi="Times New Roman" w:cs="Times New Roman"/>
                <w:color w:val="auto"/>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F33EE2C">
            <w:pPr>
              <w:rPr>
                <w:rFonts w:hint="default" w:ascii="Times New Roman" w:hAnsi="Times New Roman" w:cs="Times New Roman"/>
                <w:color w:val="auto"/>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3D22957">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公开07表</w:t>
            </w:r>
          </w:p>
        </w:tc>
      </w:tr>
      <w:tr w14:paraId="2C54690F">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0C21A43">
            <w:pPr>
              <w:rPr>
                <w:rFonts w:hint="default" w:ascii="Times New Roman" w:hAnsi="Times New Roman" w:cs="Times New Roman"/>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2EA0856">
            <w:pPr>
              <w:rPr>
                <w:rFonts w:hint="default" w:ascii="Times New Roman" w:hAnsi="Times New Roman" w:cs="Times New Roman"/>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4EF5565">
            <w:pPr>
              <w:rPr>
                <w:rFonts w:hint="default" w:ascii="Times New Roman" w:hAnsi="Times New Roman" w:cs="Times New Roman"/>
                <w:color w:val="auto"/>
                <w:sz w:val="20"/>
                <w:szCs w:val="20"/>
                <w:highlight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DA02991">
            <w:pPr>
              <w:rPr>
                <w:rFonts w:hint="default" w:ascii="Times New Roman" w:hAnsi="Times New Roman" w:cs="Times New Roman"/>
                <w:color w:val="auto"/>
                <w:sz w:val="20"/>
                <w:szCs w:val="20"/>
                <w:highlight w:val="none"/>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26DBB9B">
            <w:pPr>
              <w:rPr>
                <w:rFonts w:hint="default" w:ascii="Times New Roman" w:hAnsi="Times New Roman" w:cs="Times New Roman"/>
                <w:color w:val="auto"/>
                <w:sz w:val="20"/>
                <w:szCs w:val="20"/>
                <w:highlight w:val="none"/>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DF58404">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14:paraId="14BFAE0A">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36EB70">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06238C0">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CA1D77">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56B870">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9F164A">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年末结转和结余</w:t>
            </w:r>
          </w:p>
        </w:tc>
      </w:tr>
      <w:tr w14:paraId="0430055B">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4320B">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11F7D">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0F8250C">
            <w:pPr>
              <w:jc w:val="center"/>
              <w:rPr>
                <w:rFonts w:hint="default" w:ascii="Times New Roman" w:hAnsi="Times New Roman" w:cs="Times New Roman"/>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D48BE">
            <w:pPr>
              <w:jc w:val="center"/>
              <w:rPr>
                <w:rFonts w:hint="default" w:ascii="Times New Roman" w:hAnsi="Times New Roman" w:cs="Times New Roman"/>
                <w:b/>
                <w:color w:val="auto"/>
                <w:sz w:val="20"/>
                <w:szCs w:val="20"/>
                <w:highlight w:val="none"/>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B7AB64">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BC1E69">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ED49AF">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C4D949">
            <w:pPr>
              <w:jc w:val="center"/>
              <w:rPr>
                <w:rFonts w:hint="default" w:ascii="Times New Roman" w:hAnsi="Times New Roman" w:cs="Times New Roman"/>
                <w:b/>
                <w:color w:val="auto"/>
                <w:sz w:val="20"/>
                <w:szCs w:val="20"/>
                <w:highlight w:val="none"/>
              </w:rPr>
            </w:pPr>
          </w:p>
        </w:tc>
      </w:tr>
      <w:tr w14:paraId="7317F33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065BC">
            <w:pPr>
              <w:jc w:val="center"/>
              <w:rPr>
                <w:rFonts w:hint="default" w:ascii="Times New Roman" w:hAnsi="Times New Roman" w:cs="Times New Roman"/>
                <w:b/>
                <w:color w:val="auto"/>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06626">
            <w:pPr>
              <w:jc w:val="center"/>
              <w:rPr>
                <w:rFonts w:hint="default" w:ascii="Times New Roman" w:hAnsi="Times New Roman" w:cs="Times New Roman"/>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7CCB2C">
            <w:pPr>
              <w:jc w:val="center"/>
              <w:rPr>
                <w:rFonts w:hint="default" w:ascii="Times New Roman" w:hAnsi="Times New Roman" w:cs="Times New Roman"/>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FD07F">
            <w:pPr>
              <w:jc w:val="center"/>
              <w:rPr>
                <w:rFonts w:hint="default" w:ascii="Times New Roman" w:hAnsi="Times New Roman" w:cs="Times New Roman"/>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EA31AC">
            <w:pPr>
              <w:jc w:val="center"/>
              <w:rPr>
                <w:rFonts w:hint="default" w:ascii="Times New Roman" w:hAnsi="Times New Roman" w:cs="Times New Roman"/>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E3B430">
            <w:pPr>
              <w:jc w:val="center"/>
              <w:rPr>
                <w:rFonts w:hint="default" w:ascii="Times New Roman" w:hAnsi="Times New Roman" w:cs="Times New Roman"/>
                <w:b/>
                <w:color w:val="auto"/>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6C8F5E">
            <w:pPr>
              <w:jc w:val="center"/>
              <w:rPr>
                <w:rFonts w:hint="default" w:ascii="Times New Roman" w:hAnsi="Times New Roman" w:cs="Times New Roman"/>
                <w:b/>
                <w:color w:val="auto"/>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03D059">
            <w:pPr>
              <w:jc w:val="center"/>
              <w:rPr>
                <w:rFonts w:hint="default" w:ascii="Times New Roman" w:hAnsi="Times New Roman" w:cs="Times New Roman"/>
                <w:b/>
                <w:color w:val="auto"/>
                <w:sz w:val="20"/>
                <w:szCs w:val="20"/>
                <w:highlight w:val="none"/>
              </w:rPr>
            </w:pPr>
          </w:p>
        </w:tc>
      </w:tr>
      <w:tr w14:paraId="61A9D135">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652AD">
            <w:pPr>
              <w:jc w:val="center"/>
              <w:rPr>
                <w:rFonts w:hint="default" w:ascii="Times New Roman" w:hAnsi="Times New Roman" w:cs="Times New Roman"/>
                <w:b/>
                <w:color w:val="auto"/>
                <w:sz w:val="20"/>
                <w:szCs w:val="20"/>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AB6DFB">
            <w:pPr>
              <w:jc w:val="center"/>
              <w:rPr>
                <w:rFonts w:hint="default" w:ascii="Times New Roman" w:hAnsi="Times New Roman" w:cs="Times New Roman"/>
                <w:b/>
                <w:color w:val="auto"/>
                <w:sz w:val="20"/>
                <w:szCs w:val="20"/>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7257F02">
            <w:pPr>
              <w:jc w:val="center"/>
              <w:rPr>
                <w:rFonts w:hint="default" w:ascii="Times New Roman" w:hAnsi="Times New Roman" w:cs="Times New Roman"/>
                <w:b/>
                <w:color w:val="auto"/>
                <w:sz w:val="20"/>
                <w:szCs w:val="20"/>
                <w:highlight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63A65F">
            <w:pPr>
              <w:jc w:val="center"/>
              <w:rPr>
                <w:rFonts w:hint="default" w:ascii="Times New Roman" w:hAnsi="Times New Roman" w:cs="Times New Roman"/>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94B4BD">
            <w:pPr>
              <w:jc w:val="center"/>
              <w:rPr>
                <w:rFonts w:hint="default" w:ascii="Times New Roman" w:hAnsi="Times New Roman" w:cs="Times New Roman"/>
                <w:b/>
                <w:color w:val="auto"/>
                <w:sz w:val="20"/>
                <w:szCs w:val="20"/>
                <w:highlight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FB33CD">
            <w:pPr>
              <w:jc w:val="center"/>
              <w:rPr>
                <w:rFonts w:hint="default" w:ascii="Times New Roman" w:hAnsi="Times New Roman" w:cs="Times New Roman"/>
                <w:b/>
                <w:color w:val="auto"/>
                <w:sz w:val="20"/>
                <w:szCs w:val="20"/>
                <w:highlight w:val="none"/>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0036DC">
            <w:pPr>
              <w:jc w:val="center"/>
              <w:rPr>
                <w:rFonts w:hint="default" w:ascii="Times New Roman" w:hAnsi="Times New Roman" w:cs="Times New Roman"/>
                <w:b/>
                <w:color w:val="auto"/>
                <w:sz w:val="20"/>
                <w:szCs w:val="20"/>
                <w:highlight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8C6E7">
            <w:pPr>
              <w:jc w:val="center"/>
              <w:rPr>
                <w:rFonts w:hint="default" w:ascii="Times New Roman" w:hAnsi="Times New Roman" w:cs="Times New Roman"/>
                <w:b/>
                <w:color w:val="auto"/>
                <w:sz w:val="20"/>
                <w:szCs w:val="20"/>
                <w:highlight w:val="none"/>
              </w:rPr>
            </w:pPr>
          </w:p>
        </w:tc>
      </w:tr>
      <w:tr w14:paraId="65DE2813">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0AA18">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F347D">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F9747">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54A6F">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7CE5E">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2C504">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A2BA9">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bl>
    <w:p w14:paraId="3BD1294C">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备注：本表反映单位本年度政府性基金预算财政拨款收入支出及结转和结余情况。本单位无政府性基金收支，故本表无数据。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p w14:paraId="1F1A58CF">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3DD4140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D4DAE8A">
            <w:pPr>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国有资本经营预算财政拨款支出决算表</w:t>
            </w:r>
          </w:p>
        </w:tc>
      </w:tr>
      <w:tr w14:paraId="30E059D1">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104A94B6">
            <w:pP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重庆市石柱土家族自治县经济和信息化行政执法支队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81698C6">
            <w:pPr>
              <w:rPr>
                <w:rFonts w:hint="default" w:ascii="Times New Roman" w:hAnsi="Times New Roman" w:cs="Times New Roman"/>
                <w:color w:val="auto"/>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2F0FFA7">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公开08表</w:t>
            </w:r>
          </w:p>
        </w:tc>
      </w:tr>
      <w:tr w14:paraId="0D6F9699">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F669892">
            <w:pPr>
              <w:rPr>
                <w:rFonts w:hint="default" w:ascii="Times New Roman" w:hAnsi="Times New Roman" w:cs="Times New Roman"/>
                <w:color w:val="auto"/>
                <w:sz w:val="20"/>
                <w:szCs w:val="20"/>
                <w:highlight w:val="none"/>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1197D2EF">
            <w:pPr>
              <w:rPr>
                <w:rFonts w:hint="default" w:ascii="Times New Roman" w:hAnsi="Times New Roman" w:cs="Times New Roman"/>
                <w:color w:val="auto"/>
                <w:sz w:val="20"/>
                <w:szCs w:val="20"/>
                <w:highlight w:val="none"/>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8685953">
            <w:pPr>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14:paraId="31E693F8">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E91BFC2">
            <w:pPr>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FB680E">
            <w:pPr>
              <w:jc w:val="center"/>
              <w:textAlignment w:val="bottom"/>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本年支出</w:t>
            </w:r>
          </w:p>
        </w:tc>
      </w:tr>
      <w:tr w14:paraId="7C105905">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EC63B">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7941F9">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F517F3">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4BEEBA">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B3E3FB">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项目支出</w:t>
            </w:r>
          </w:p>
        </w:tc>
      </w:tr>
      <w:tr w14:paraId="4BC0C1B2">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D4550">
            <w:pPr>
              <w:jc w:val="center"/>
              <w:rPr>
                <w:rFonts w:hint="default" w:ascii="Times New Roman" w:hAnsi="Times New Roman" w:cs="Times New Roman"/>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7BD05">
            <w:pPr>
              <w:jc w:val="center"/>
              <w:rPr>
                <w:rFonts w:hint="default" w:ascii="Times New Roman" w:hAnsi="Times New Roman" w:cs="Times New Roman"/>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EDBB0">
            <w:pPr>
              <w:jc w:val="center"/>
              <w:rPr>
                <w:rFonts w:hint="default" w:ascii="Times New Roman" w:hAnsi="Times New Roman" w:cs="Times New Roman"/>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45ADE6">
            <w:pPr>
              <w:jc w:val="center"/>
              <w:rPr>
                <w:rFonts w:hint="default" w:ascii="Times New Roman" w:hAnsi="Times New Roman" w:cs="Times New Roman"/>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93CB61">
            <w:pPr>
              <w:jc w:val="center"/>
              <w:rPr>
                <w:rFonts w:hint="default" w:ascii="Times New Roman" w:hAnsi="Times New Roman" w:cs="Times New Roman"/>
                <w:b/>
                <w:color w:val="auto"/>
                <w:sz w:val="20"/>
                <w:szCs w:val="20"/>
                <w:highlight w:val="none"/>
              </w:rPr>
            </w:pPr>
          </w:p>
        </w:tc>
      </w:tr>
      <w:tr w14:paraId="6C8FE24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B2A72C">
            <w:pPr>
              <w:jc w:val="center"/>
              <w:rPr>
                <w:rFonts w:hint="default" w:ascii="Times New Roman" w:hAnsi="Times New Roman" w:cs="Times New Roman"/>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EF657E">
            <w:pPr>
              <w:jc w:val="center"/>
              <w:rPr>
                <w:rFonts w:hint="default" w:ascii="Times New Roman" w:hAnsi="Times New Roman" w:cs="Times New Roman"/>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ED6F8">
            <w:pPr>
              <w:jc w:val="center"/>
              <w:rPr>
                <w:rFonts w:hint="default" w:ascii="Times New Roman" w:hAnsi="Times New Roman" w:cs="Times New Roman"/>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2E18A1">
            <w:pPr>
              <w:jc w:val="center"/>
              <w:rPr>
                <w:rFonts w:hint="default" w:ascii="Times New Roman" w:hAnsi="Times New Roman" w:cs="Times New Roman"/>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AA95FB">
            <w:pPr>
              <w:jc w:val="center"/>
              <w:rPr>
                <w:rFonts w:hint="default" w:ascii="Times New Roman" w:hAnsi="Times New Roman" w:cs="Times New Roman"/>
                <w:b/>
                <w:color w:val="auto"/>
                <w:sz w:val="20"/>
                <w:szCs w:val="20"/>
                <w:highlight w:val="none"/>
              </w:rPr>
            </w:pPr>
          </w:p>
        </w:tc>
      </w:tr>
      <w:tr w14:paraId="5D4767A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182A3">
            <w:pPr>
              <w:jc w:val="center"/>
              <w:rPr>
                <w:rFonts w:hint="default" w:ascii="Times New Roman" w:hAnsi="Times New Roman" w:cs="Times New Roman"/>
                <w:b/>
                <w:color w:val="auto"/>
                <w:sz w:val="20"/>
                <w:szCs w:val="20"/>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4EA654">
            <w:pPr>
              <w:jc w:val="center"/>
              <w:rPr>
                <w:rFonts w:hint="default" w:ascii="Times New Roman" w:hAnsi="Times New Roman" w:cs="Times New Roman"/>
                <w:b/>
                <w:color w:val="auto"/>
                <w:sz w:val="20"/>
                <w:szCs w:val="20"/>
                <w:highlight w:val="none"/>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2BA11">
            <w:pPr>
              <w:jc w:val="center"/>
              <w:rPr>
                <w:rFonts w:hint="default" w:ascii="Times New Roman" w:hAnsi="Times New Roman" w:cs="Times New Roman"/>
                <w:b/>
                <w:color w:val="auto"/>
                <w:sz w:val="20"/>
                <w:szCs w:val="20"/>
                <w:highlight w:val="none"/>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A972BF">
            <w:pPr>
              <w:jc w:val="center"/>
              <w:rPr>
                <w:rFonts w:hint="default" w:ascii="Times New Roman" w:hAnsi="Times New Roman" w:cs="Times New Roman"/>
                <w:b/>
                <w:color w:val="auto"/>
                <w:sz w:val="20"/>
                <w:szCs w:val="20"/>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B9BBE6">
            <w:pPr>
              <w:jc w:val="center"/>
              <w:rPr>
                <w:rFonts w:hint="default" w:ascii="Times New Roman" w:hAnsi="Times New Roman" w:cs="Times New Roman"/>
                <w:b/>
                <w:color w:val="auto"/>
                <w:sz w:val="20"/>
                <w:szCs w:val="20"/>
                <w:highlight w:val="none"/>
              </w:rPr>
            </w:pPr>
          </w:p>
        </w:tc>
      </w:tr>
      <w:tr w14:paraId="1D2C4D33">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DA5BE">
            <w:pPr>
              <w:jc w:val="center"/>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szCs w:val="20"/>
                <w:highlight w:val="none"/>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EB762">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1D40C">
            <w:pPr>
              <w:jc w:val="right"/>
              <w:rPr>
                <w:rFonts w:hint="default" w:ascii="Times New Roman" w:hAnsi="Times New Roman" w:cs="Times New Roman"/>
                <w:b/>
                <w:color w:val="auto"/>
                <w:sz w:val="20"/>
                <w:szCs w:val="20"/>
                <w:highlight w:val="none"/>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1819B">
            <w:pPr>
              <w:wordWrap w:val="0"/>
              <w:jc w:val="right"/>
              <w:textAlignment w:val="center"/>
              <w:rPr>
                <w:rFonts w:hint="default" w:ascii="Times New Roman" w:hAnsi="Times New Roman" w:cs="Times New Roman"/>
                <w:b/>
                <w:color w:val="auto"/>
                <w:sz w:val="20"/>
                <w:szCs w:val="20"/>
                <w:highlight w:val="none"/>
              </w:rPr>
            </w:pPr>
            <w:r>
              <w:rPr>
                <w:rFonts w:hint="default" w:ascii="Times New Roman" w:hAnsi="Times New Roman" w:cs="Times New Roman"/>
                <w:b/>
                <w:color w:val="auto"/>
                <w:sz w:val="20"/>
                <w:highlight w:val="none"/>
                <w:u w:color="auto"/>
              </w:rPr>
              <w:t xml:space="preserve"> </w:t>
            </w:r>
          </w:p>
        </w:tc>
      </w:tr>
    </w:tbl>
    <w:p w14:paraId="19EFAA0A">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备注：本表反映单位本年度国有资本经营预算财政拨款支出情况。本单位无国有资本经营收支，故本表无数据。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1"/>
          <w:szCs w:val="21"/>
          <w:highlight w:val="none"/>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43DA2D9F">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52E1562">
            <w:pPr>
              <w:spacing w:line="400" w:lineRule="exact"/>
              <w:jc w:val="center"/>
              <w:textAlignment w:val="bottom"/>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机构运行信息表</w:t>
            </w:r>
          </w:p>
        </w:tc>
      </w:tr>
      <w:tr w14:paraId="7CA5DCBB">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BFF3511">
            <w:pPr>
              <w:spacing w:line="280" w:lineRule="exact"/>
              <w:rPr>
                <w:rFonts w:hint="default" w:ascii="Times New Roman" w:hAnsi="Times New Roman" w:cs="Times New Roman"/>
                <w:color w:val="auto"/>
                <w:sz w:val="20"/>
                <w:szCs w:val="20"/>
                <w:highlight w:val="none"/>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694314A2">
            <w:pPr>
              <w:spacing w:line="280" w:lineRule="exact"/>
              <w:jc w:val="center"/>
              <w:rPr>
                <w:rFonts w:hint="default" w:ascii="Times New Roman" w:hAnsi="Times New Roman" w:cs="Times New Roman"/>
                <w:color w:val="auto"/>
                <w:sz w:val="20"/>
                <w:szCs w:val="20"/>
                <w:highlight w:val="none"/>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69A64DD0">
            <w:pPr>
              <w:spacing w:line="280" w:lineRule="exact"/>
              <w:jc w:val="right"/>
              <w:rPr>
                <w:rFonts w:hint="default" w:ascii="Times New Roman" w:hAnsi="Times New Roman" w:cs="Times New Roman"/>
                <w:color w:val="auto"/>
                <w:sz w:val="20"/>
                <w:szCs w:val="20"/>
                <w:highlight w:val="none"/>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56B539FC">
            <w:pPr>
              <w:spacing w:line="280" w:lineRule="exact"/>
              <w:rPr>
                <w:rFonts w:hint="default" w:ascii="Times New Roman" w:hAnsi="Times New Roman" w:cs="Times New Roman"/>
                <w:color w:val="auto"/>
                <w:sz w:val="20"/>
                <w:szCs w:val="20"/>
                <w:highlight w:val="none"/>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61976238">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公开09表</w:t>
            </w:r>
          </w:p>
        </w:tc>
      </w:tr>
      <w:tr w14:paraId="1B61B5E7">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926A97C">
            <w:pPr>
              <w:spacing w:line="280" w:lineRule="exact"/>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 xml:space="preserve">公开单位： </w:t>
            </w:r>
            <w:r>
              <w:rPr>
                <w:rFonts w:hint="default" w:ascii="Times New Roman" w:hAnsi="Times New Roman" w:cs="Times New Roman"/>
                <w:color w:val="auto"/>
                <w:sz w:val="20"/>
                <w:highlight w:val="none"/>
                <w:u w:color="auto"/>
              </w:rPr>
              <w:t>重庆市石柱土家族自治县经济和信息化行政执法支队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3821658">
            <w:pPr>
              <w:spacing w:line="280" w:lineRule="exact"/>
              <w:jc w:val="right"/>
              <w:rPr>
                <w:rFonts w:hint="default" w:ascii="Times New Roman" w:hAnsi="Times New Roman" w:cs="Times New Roman"/>
                <w:color w:val="auto"/>
                <w:sz w:val="20"/>
                <w:szCs w:val="20"/>
                <w:highlight w:val="none"/>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42632ED">
            <w:pPr>
              <w:spacing w:line="280" w:lineRule="exact"/>
              <w:rPr>
                <w:rFonts w:hint="default" w:ascii="Times New Roman" w:hAnsi="Times New Roman" w:cs="Times New Roman"/>
                <w:color w:val="auto"/>
                <w:sz w:val="20"/>
                <w:szCs w:val="20"/>
                <w:highlight w:val="none"/>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09D6E0F">
            <w:pPr>
              <w:spacing w:line="280" w:lineRule="exact"/>
              <w:jc w:val="right"/>
              <w:textAlignment w:val="bottom"/>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单位：万元</w:t>
            </w:r>
          </w:p>
        </w:tc>
      </w:tr>
      <w:tr w14:paraId="161E19AC">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5438F3">
            <w:pPr>
              <w:spacing w:line="200" w:lineRule="exact"/>
              <w:jc w:val="center"/>
              <w:textAlignment w:val="center"/>
              <w:rPr>
                <w:rFonts w:hint="default" w:ascii="Times New Roman" w:hAnsi="Times New Roman" w:cs="Times New Roman"/>
                <w:b/>
                <w:color w:val="auto"/>
                <w:sz w:val="16"/>
                <w:szCs w:val="16"/>
                <w:highlight w:val="none"/>
              </w:rPr>
            </w:pPr>
            <w:r>
              <w:rPr>
                <w:rFonts w:hint="default" w:ascii="Times New Roman" w:hAnsi="Times New Roman" w:cs="Times New Roman"/>
                <w:b/>
                <w:color w:val="auto"/>
                <w:sz w:val="16"/>
                <w:szCs w:val="16"/>
                <w:highlight w:val="none"/>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EE7916E">
            <w:pPr>
              <w:spacing w:line="200" w:lineRule="exact"/>
              <w:jc w:val="center"/>
              <w:textAlignment w:val="center"/>
              <w:rPr>
                <w:rFonts w:hint="default" w:ascii="Times New Roman" w:hAnsi="Times New Roman" w:cs="Times New Roman"/>
                <w:b/>
                <w:color w:val="auto"/>
                <w:sz w:val="16"/>
                <w:szCs w:val="16"/>
                <w:highlight w:val="none"/>
              </w:rPr>
            </w:pPr>
            <w:r>
              <w:rPr>
                <w:rFonts w:hint="default" w:ascii="Times New Roman" w:hAnsi="Times New Roman" w:cs="Times New Roman"/>
                <w:b/>
                <w:color w:val="auto"/>
                <w:sz w:val="16"/>
                <w:szCs w:val="16"/>
                <w:highlight w:val="none"/>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7A79A8">
            <w:pPr>
              <w:spacing w:line="200" w:lineRule="exact"/>
              <w:jc w:val="center"/>
              <w:textAlignment w:val="center"/>
              <w:rPr>
                <w:rFonts w:hint="default" w:ascii="Times New Roman" w:hAnsi="Times New Roman" w:cs="Times New Roman"/>
                <w:b/>
                <w:color w:val="auto"/>
                <w:sz w:val="16"/>
                <w:szCs w:val="16"/>
                <w:highlight w:val="none"/>
              </w:rPr>
            </w:pPr>
            <w:r>
              <w:rPr>
                <w:rFonts w:hint="default" w:ascii="Times New Roman" w:hAnsi="Times New Roman" w:cs="Times New Roman"/>
                <w:b/>
                <w:color w:val="auto"/>
                <w:sz w:val="16"/>
                <w:szCs w:val="16"/>
                <w:highlight w:val="none"/>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70FD60">
            <w:pPr>
              <w:spacing w:line="200" w:lineRule="exact"/>
              <w:jc w:val="center"/>
              <w:textAlignment w:val="center"/>
              <w:rPr>
                <w:rFonts w:hint="default" w:ascii="Times New Roman" w:hAnsi="Times New Roman" w:cs="Times New Roman"/>
                <w:b/>
                <w:color w:val="auto"/>
                <w:sz w:val="16"/>
                <w:szCs w:val="16"/>
                <w:highlight w:val="none"/>
              </w:rPr>
            </w:pPr>
            <w:r>
              <w:rPr>
                <w:rFonts w:hint="default" w:ascii="Times New Roman" w:hAnsi="Times New Roman" w:cs="Times New Roman"/>
                <w:b/>
                <w:color w:val="auto"/>
                <w:sz w:val="16"/>
                <w:szCs w:val="16"/>
                <w:highlight w:val="none"/>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D08636">
            <w:pPr>
              <w:spacing w:line="200" w:lineRule="exact"/>
              <w:jc w:val="center"/>
              <w:textAlignment w:val="center"/>
              <w:rPr>
                <w:rFonts w:hint="default" w:ascii="Times New Roman" w:hAnsi="Times New Roman" w:cs="Times New Roman"/>
                <w:b/>
                <w:color w:val="auto"/>
                <w:sz w:val="16"/>
                <w:szCs w:val="16"/>
                <w:highlight w:val="none"/>
              </w:rPr>
            </w:pPr>
            <w:r>
              <w:rPr>
                <w:rFonts w:hint="default" w:ascii="Times New Roman" w:hAnsi="Times New Roman" w:cs="Times New Roman"/>
                <w:b/>
                <w:color w:val="auto"/>
                <w:sz w:val="16"/>
                <w:szCs w:val="16"/>
                <w:highlight w:val="none"/>
              </w:rPr>
              <w:t>决算数</w:t>
            </w:r>
          </w:p>
        </w:tc>
      </w:tr>
      <w:tr w14:paraId="3A0FF1F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5349CE">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7C3B6B">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5D8B46">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A22638">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28ECC1">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27D329E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6BFF0D">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A03816">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65E78A">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6112FF">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1FFEFE">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28DFAA2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214271">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893347">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F53BD1">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6CE817">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424679">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0F6CE6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B5451D">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79A6C">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F5E33B">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CCBCC6">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EF3754">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r>
      <w:tr w14:paraId="4FDAC80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1C66DA">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2D8016">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5BC2C1">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C3110FF">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A39B2D">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w:t>
            </w:r>
          </w:p>
        </w:tc>
      </w:tr>
      <w:tr w14:paraId="2E01A66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282A5C">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8AA216">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7D9D06">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16CD8B">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E26A1F">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5766D7A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DAF7BC">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B6A6BD">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944149">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B982B66">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DCC093">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2BAE32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3B4A3C">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6708B5">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198655">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4E7D73">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BEC4B1">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740DE0B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588DF1">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E5D020">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335A8D">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1F81A39">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C09576">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787E493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011AA6">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869AF3">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85BF89">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5B88FF">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694B35">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0BCCF32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1D595E">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030040">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8A2BAF">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30591C0">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2D59E1">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1E10D60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B52996">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9BCA06">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8EC4426">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FAEC939">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0E5303">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1ADF6C9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E5313E">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80FA50">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BC2141">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4B5FB47">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FE3BD">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5EC7561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8A3565">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23E76A">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1CF7B73">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DEFA98">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2834CA">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07B0E59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D0E441F">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4712AE">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9BBC83B">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8566B1">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EEBB7E">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r>
      <w:tr w14:paraId="7E59459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773937">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E75223">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192BA0">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DC504B">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082380">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767F1F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76B871">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8C8B9D">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06EACD">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9534F8">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086548">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20FD9A7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E4CF7A">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B9336">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5F6C2B">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E1A33A">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E94AA5">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0CF50CD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1B1F8C">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152864">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7AD526F">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321BAD">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64470D">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4F266B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DF46C6E">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248F4B">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BD1DFE2">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78E869">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80A74B">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7B1073E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8DD8C70">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5C063C">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D19390C">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F32F31">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E5BACF">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r>
      <w:tr w14:paraId="5B287980">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256F66">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5AF9D1">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7A8A57">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C83492">
            <w:pPr>
              <w:spacing w:line="200" w:lineRule="exact"/>
              <w:rPr>
                <w:rFonts w:hint="default" w:ascii="Times New Roman" w:hAnsi="Times New Roman" w:cs="Times New Roman"/>
                <w:color w:val="auto"/>
                <w:sz w:val="16"/>
                <w:szCs w:val="16"/>
                <w:highlight w:val="none"/>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6F6B33">
            <w:pPr>
              <w:spacing w:line="200" w:lineRule="exact"/>
              <w:jc w:val="right"/>
              <w:rPr>
                <w:rFonts w:hint="default" w:ascii="Times New Roman" w:hAnsi="Times New Roman" w:cs="Times New Roman"/>
                <w:color w:val="auto"/>
                <w:sz w:val="16"/>
                <w:szCs w:val="16"/>
                <w:highlight w:val="none"/>
              </w:rPr>
            </w:pPr>
          </w:p>
        </w:tc>
      </w:tr>
      <w:tr w14:paraId="320D096B">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11CCBA">
            <w:pPr>
              <w:spacing w:line="200" w:lineRule="exact"/>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99186B">
            <w:pPr>
              <w:spacing w:line="200" w:lineRule="exact"/>
              <w:jc w:val="center"/>
              <w:textAlignment w:val="center"/>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8CEA9">
            <w:pPr>
              <w:spacing w:line="200" w:lineRule="exact"/>
              <w:jc w:val="right"/>
              <w:textAlignment w:val="bottom"/>
              <w:rPr>
                <w:rFonts w:hint="default" w:ascii="Times New Roman" w:hAnsi="Times New Roman" w:cs="Times New Roman"/>
                <w:color w:val="auto"/>
                <w:sz w:val="16"/>
                <w:szCs w:val="16"/>
                <w:highlight w:val="none"/>
              </w:rPr>
            </w:pPr>
            <w:r>
              <w:rPr>
                <w:rFonts w:hint="default" w:ascii="Times New Roman" w:hAnsi="Times New Roman" w:cs="Times New Roman"/>
                <w:color w:val="auto"/>
                <w:sz w:val="16"/>
                <w:szCs w:val="16"/>
                <w:highlight w:val="none"/>
              </w:rPr>
              <w:t>0.13</w:t>
            </w:r>
            <w:r>
              <w:rPr>
                <w:rFonts w:hint="default" w:ascii="Times New Roman" w:hAnsi="Times New Roman" w:cs="Times New Roman"/>
                <w:color w:val="auto"/>
                <w:sz w:val="16"/>
                <w:highlight w:val="none"/>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BF14D6">
            <w:pPr>
              <w:spacing w:line="200" w:lineRule="exact"/>
              <w:rPr>
                <w:rFonts w:hint="default" w:ascii="Times New Roman" w:hAnsi="Times New Roman" w:cs="Times New Roman"/>
                <w:color w:val="auto"/>
                <w:sz w:val="16"/>
                <w:szCs w:val="16"/>
                <w:highlight w:val="none"/>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975F28">
            <w:pPr>
              <w:spacing w:line="200" w:lineRule="exact"/>
              <w:jc w:val="right"/>
              <w:rPr>
                <w:rFonts w:hint="default" w:ascii="Times New Roman" w:hAnsi="Times New Roman" w:cs="Times New Roman"/>
                <w:color w:val="auto"/>
                <w:sz w:val="16"/>
                <w:szCs w:val="16"/>
                <w:highlight w:val="none"/>
              </w:rPr>
            </w:pPr>
          </w:p>
        </w:tc>
      </w:tr>
    </w:tbl>
    <w:p w14:paraId="5E386244">
      <w:pPr>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szCs w:val="20"/>
          <w:highlight w:val="none"/>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t xml:space="preserve">      2.本套报表金额单位转换时可能存在尾数误差。</w:t>
      </w:r>
      <w:r>
        <w:rPr>
          <w:rFonts w:hint="default" w:ascii="Times New Roman" w:hAnsi="Times New Roman" w:cs="Times New Roman"/>
          <w:color w:val="auto"/>
          <w:sz w:val="20"/>
          <w:szCs w:val="20"/>
          <w:highlight w:val="none"/>
        </w:rPr>
        <w:br w:type="textWrapping"/>
      </w:r>
      <w:r>
        <w:rPr>
          <w:rFonts w:hint="default" w:ascii="Times New Roman" w:hAnsi="Times New Roman" w:cs="Times New Roman"/>
          <w:color w:val="auto"/>
          <w:sz w:val="20"/>
          <w:szCs w:val="20"/>
          <w:highlight w:val="none"/>
        </w:rPr>
        <w:br w:type="textWrapping"/>
      </w:r>
    </w:p>
    <w:bookmarkEnd w:id="0"/>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6CEF2">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107F1589">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CB526">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C67A67D">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7141AFB">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D00C0">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NiYjNmYjU2NWNkN2MyN2QyMjk5ZDAzZjRiMWQzZWU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7F2F56"/>
    <w:rsid w:val="03B87EA0"/>
    <w:rsid w:val="03E3214F"/>
    <w:rsid w:val="044C50BA"/>
    <w:rsid w:val="05BC6D49"/>
    <w:rsid w:val="06194FF1"/>
    <w:rsid w:val="068C6E59"/>
    <w:rsid w:val="06A2550B"/>
    <w:rsid w:val="06F80EE2"/>
    <w:rsid w:val="07001CCA"/>
    <w:rsid w:val="075678DB"/>
    <w:rsid w:val="079D7CC7"/>
    <w:rsid w:val="07F90D99"/>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13424E"/>
    <w:rsid w:val="0D673E11"/>
    <w:rsid w:val="0DDA54E4"/>
    <w:rsid w:val="0E010CC3"/>
    <w:rsid w:val="0E3A5F83"/>
    <w:rsid w:val="0F31382A"/>
    <w:rsid w:val="0F836721"/>
    <w:rsid w:val="0FA25D96"/>
    <w:rsid w:val="10417A9D"/>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626C76"/>
    <w:rsid w:val="17C374FC"/>
    <w:rsid w:val="182E4AB6"/>
    <w:rsid w:val="18664544"/>
    <w:rsid w:val="189079DC"/>
    <w:rsid w:val="189B0D0B"/>
    <w:rsid w:val="18B43F7C"/>
    <w:rsid w:val="194A1770"/>
    <w:rsid w:val="198C1D89"/>
    <w:rsid w:val="19B906A4"/>
    <w:rsid w:val="1B2E0C1E"/>
    <w:rsid w:val="1B6F15B6"/>
    <w:rsid w:val="1BAA2EDC"/>
    <w:rsid w:val="1CA55E64"/>
    <w:rsid w:val="1D014A01"/>
    <w:rsid w:val="1D022362"/>
    <w:rsid w:val="1D1B04B0"/>
    <w:rsid w:val="1D752B34"/>
    <w:rsid w:val="1DA52501"/>
    <w:rsid w:val="1DBD6767"/>
    <w:rsid w:val="1DC52125"/>
    <w:rsid w:val="1DD26311"/>
    <w:rsid w:val="1E374ACB"/>
    <w:rsid w:val="1ECF0A66"/>
    <w:rsid w:val="1EF67CA4"/>
    <w:rsid w:val="1F020D3A"/>
    <w:rsid w:val="1F2C5189"/>
    <w:rsid w:val="1F4B0B02"/>
    <w:rsid w:val="1F9B0448"/>
    <w:rsid w:val="1FBB35CD"/>
    <w:rsid w:val="1FCD26AF"/>
    <w:rsid w:val="200C59D1"/>
    <w:rsid w:val="20642787"/>
    <w:rsid w:val="21556F04"/>
    <w:rsid w:val="216058A9"/>
    <w:rsid w:val="22403BD3"/>
    <w:rsid w:val="24B92327"/>
    <w:rsid w:val="24C14514"/>
    <w:rsid w:val="2533755C"/>
    <w:rsid w:val="25791755"/>
    <w:rsid w:val="26396DF4"/>
    <w:rsid w:val="27167136"/>
    <w:rsid w:val="271B442C"/>
    <w:rsid w:val="27B23302"/>
    <w:rsid w:val="29310A5F"/>
    <w:rsid w:val="294A756A"/>
    <w:rsid w:val="29C37A35"/>
    <w:rsid w:val="2A076083"/>
    <w:rsid w:val="2A73162E"/>
    <w:rsid w:val="2A88659C"/>
    <w:rsid w:val="2AD52E64"/>
    <w:rsid w:val="2B167953"/>
    <w:rsid w:val="2B200583"/>
    <w:rsid w:val="2B8209DE"/>
    <w:rsid w:val="2C636760"/>
    <w:rsid w:val="2C6762A3"/>
    <w:rsid w:val="2EB67DC7"/>
    <w:rsid w:val="2EF266DA"/>
    <w:rsid w:val="2FCA4B37"/>
    <w:rsid w:val="2FE029D7"/>
    <w:rsid w:val="2FF06E00"/>
    <w:rsid w:val="30586FEC"/>
    <w:rsid w:val="315F0B22"/>
    <w:rsid w:val="31D84415"/>
    <w:rsid w:val="32285F6F"/>
    <w:rsid w:val="32770556"/>
    <w:rsid w:val="329C0913"/>
    <w:rsid w:val="32AA0460"/>
    <w:rsid w:val="3337290D"/>
    <w:rsid w:val="33E31118"/>
    <w:rsid w:val="33EF7674"/>
    <w:rsid w:val="342D7BC6"/>
    <w:rsid w:val="34761214"/>
    <w:rsid w:val="352930DB"/>
    <w:rsid w:val="35573069"/>
    <w:rsid w:val="355F6038"/>
    <w:rsid w:val="358C217E"/>
    <w:rsid w:val="36C9128A"/>
    <w:rsid w:val="37841E99"/>
    <w:rsid w:val="37BF1123"/>
    <w:rsid w:val="381274A5"/>
    <w:rsid w:val="383C3F15"/>
    <w:rsid w:val="38BE4696"/>
    <w:rsid w:val="38D330D8"/>
    <w:rsid w:val="390A78A4"/>
    <w:rsid w:val="3939115E"/>
    <w:rsid w:val="39B36A66"/>
    <w:rsid w:val="39B82A39"/>
    <w:rsid w:val="39C42CA8"/>
    <w:rsid w:val="39DC4FD6"/>
    <w:rsid w:val="39F03D7A"/>
    <w:rsid w:val="39F33306"/>
    <w:rsid w:val="3A2C1C67"/>
    <w:rsid w:val="3ADD7F09"/>
    <w:rsid w:val="3B0A7A73"/>
    <w:rsid w:val="3B1705E5"/>
    <w:rsid w:val="3B18334B"/>
    <w:rsid w:val="3B36794F"/>
    <w:rsid w:val="3B6F6EE0"/>
    <w:rsid w:val="3C566AD6"/>
    <w:rsid w:val="3C594871"/>
    <w:rsid w:val="3C6A5B02"/>
    <w:rsid w:val="3D2757A1"/>
    <w:rsid w:val="3D3D4FC4"/>
    <w:rsid w:val="3DCE1FD4"/>
    <w:rsid w:val="3DDF3AB1"/>
    <w:rsid w:val="3E1D0952"/>
    <w:rsid w:val="3E42660A"/>
    <w:rsid w:val="3E7555B1"/>
    <w:rsid w:val="3E787ED9"/>
    <w:rsid w:val="3F032E93"/>
    <w:rsid w:val="3F0527E5"/>
    <w:rsid w:val="3F694D83"/>
    <w:rsid w:val="3F885DCC"/>
    <w:rsid w:val="3FCD675E"/>
    <w:rsid w:val="4004000C"/>
    <w:rsid w:val="40BD5482"/>
    <w:rsid w:val="40C2756A"/>
    <w:rsid w:val="411B6CE5"/>
    <w:rsid w:val="412070D7"/>
    <w:rsid w:val="41314E40"/>
    <w:rsid w:val="41E0734B"/>
    <w:rsid w:val="426C1EA8"/>
    <w:rsid w:val="42736402"/>
    <w:rsid w:val="42E86A87"/>
    <w:rsid w:val="430976F7"/>
    <w:rsid w:val="43307B09"/>
    <w:rsid w:val="4396542E"/>
    <w:rsid w:val="439A3EB9"/>
    <w:rsid w:val="43BB152F"/>
    <w:rsid w:val="44C37687"/>
    <w:rsid w:val="45CB699A"/>
    <w:rsid w:val="46470C62"/>
    <w:rsid w:val="465B470D"/>
    <w:rsid w:val="469D6AD4"/>
    <w:rsid w:val="46FA2178"/>
    <w:rsid w:val="471E6C84"/>
    <w:rsid w:val="4748792B"/>
    <w:rsid w:val="475D719D"/>
    <w:rsid w:val="47674801"/>
    <w:rsid w:val="48225EF7"/>
    <w:rsid w:val="488F422B"/>
    <w:rsid w:val="48E36915"/>
    <w:rsid w:val="48EB6572"/>
    <w:rsid w:val="48FB5D34"/>
    <w:rsid w:val="491C0184"/>
    <w:rsid w:val="495C4A24"/>
    <w:rsid w:val="497135DF"/>
    <w:rsid w:val="49C34AA3"/>
    <w:rsid w:val="49E54A1A"/>
    <w:rsid w:val="4A1B668D"/>
    <w:rsid w:val="4A263DF2"/>
    <w:rsid w:val="4A6F6675"/>
    <w:rsid w:val="4B135857"/>
    <w:rsid w:val="4B7951CB"/>
    <w:rsid w:val="4B7C315C"/>
    <w:rsid w:val="4BF82704"/>
    <w:rsid w:val="4D1C2EF1"/>
    <w:rsid w:val="4DAC4ACA"/>
    <w:rsid w:val="4DBE01D2"/>
    <w:rsid w:val="4E261AA5"/>
    <w:rsid w:val="4F0C6BA3"/>
    <w:rsid w:val="4F186D58"/>
    <w:rsid w:val="50F06B6E"/>
    <w:rsid w:val="51B7313F"/>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DB18AD"/>
    <w:rsid w:val="56FF7E9E"/>
    <w:rsid w:val="578867FC"/>
    <w:rsid w:val="57D302D1"/>
    <w:rsid w:val="580A7D41"/>
    <w:rsid w:val="5842572D"/>
    <w:rsid w:val="59981AA8"/>
    <w:rsid w:val="5A3B59D6"/>
    <w:rsid w:val="5AB67D0C"/>
    <w:rsid w:val="5ABF3065"/>
    <w:rsid w:val="5AD134D8"/>
    <w:rsid w:val="5C263CE4"/>
    <w:rsid w:val="5C5D2777"/>
    <w:rsid w:val="5CF66BF3"/>
    <w:rsid w:val="5D290C69"/>
    <w:rsid w:val="5DE65452"/>
    <w:rsid w:val="5F2D4A41"/>
    <w:rsid w:val="600A1ADD"/>
    <w:rsid w:val="60C74F6C"/>
    <w:rsid w:val="61025A59"/>
    <w:rsid w:val="613D5BBC"/>
    <w:rsid w:val="61536C39"/>
    <w:rsid w:val="623C31ED"/>
    <w:rsid w:val="624D3A32"/>
    <w:rsid w:val="62944DD7"/>
    <w:rsid w:val="6319381F"/>
    <w:rsid w:val="63C25DC5"/>
    <w:rsid w:val="63C62057"/>
    <w:rsid w:val="64571EF5"/>
    <w:rsid w:val="64D33725"/>
    <w:rsid w:val="64FB113D"/>
    <w:rsid w:val="656152C6"/>
    <w:rsid w:val="6587477F"/>
    <w:rsid w:val="658C3A08"/>
    <w:rsid w:val="65C031CA"/>
    <w:rsid w:val="65CE6852"/>
    <w:rsid w:val="66267C04"/>
    <w:rsid w:val="663F505A"/>
    <w:rsid w:val="667E3DD4"/>
    <w:rsid w:val="66EE5541"/>
    <w:rsid w:val="678F7301"/>
    <w:rsid w:val="67924660"/>
    <w:rsid w:val="68407834"/>
    <w:rsid w:val="6883293E"/>
    <w:rsid w:val="688412AD"/>
    <w:rsid w:val="68EB1B71"/>
    <w:rsid w:val="69124CA8"/>
    <w:rsid w:val="697B4112"/>
    <w:rsid w:val="6A694D9B"/>
    <w:rsid w:val="6A6C7940"/>
    <w:rsid w:val="6AAD2300"/>
    <w:rsid w:val="6AD40467"/>
    <w:rsid w:val="6B474EF5"/>
    <w:rsid w:val="6BA01281"/>
    <w:rsid w:val="6C0A5AC5"/>
    <w:rsid w:val="6C560CAE"/>
    <w:rsid w:val="6C576495"/>
    <w:rsid w:val="6D903FF5"/>
    <w:rsid w:val="6DA955B8"/>
    <w:rsid w:val="6DE346AB"/>
    <w:rsid w:val="6DE5391A"/>
    <w:rsid w:val="6EE70955"/>
    <w:rsid w:val="6EFD1324"/>
    <w:rsid w:val="6F5A53AC"/>
    <w:rsid w:val="6FAC003D"/>
    <w:rsid w:val="6FE55E12"/>
    <w:rsid w:val="6FFB2E76"/>
    <w:rsid w:val="70335C2F"/>
    <w:rsid w:val="708E730A"/>
    <w:rsid w:val="708F6F7F"/>
    <w:rsid w:val="70D94BD3"/>
    <w:rsid w:val="71C34D91"/>
    <w:rsid w:val="72DB435C"/>
    <w:rsid w:val="72E2613A"/>
    <w:rsid w:val="72F771F4"/>
    <w:rsid w:val="73934AD2"/>
    <w:rsid w:val="750837F0"/>
    <w:rsid w:val="754758CF"/>
    <w:rsid w:val="764F62AB"/>
    <w:rsid w:val="765C45EC"/>
    <w:rsid w:val="768A7619"/>
    <w:rsid w:val="77154803"/>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4826</Words>
  <Characters>5402</Characters>
  <Lines>190</Lines>
  <Paragraphs>53</Paragraphs>
  <TotalTime>20</TotalTime>
  <ScaleCrop>false</ScaleCrop>
  <LinksUpToDate>false</LinksUpToDate>
  <CharactersWithSpaces>5610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萝卜</cp:lastModifiedBy>
  <dcterms:modified xsi:type="dcterms:W3CDTF">2024-10-19T01:57:09Z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