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53536">
      <w:pPr>
        <w:spacing w:line="590" w:lineRule="exact"/>
        <w:jc w:val="center"/>
        <w:rPr>
          <w:rFonts w:hint="eastAsia" w:ascii="方正小标宋_GBK" w:eastAsia="方正小标宋_GBK"/>
          <w:sz w:val="44"/>
          <w:szCs w:val="44"/>
          <w:lang w:eastAsia="zh-CN"/>
        </w:rPr>
      </w:pPr>
    </w:p>
    <w:p w14:paraId="2F031514">
      <w:pPr>
        <w:spacing w:line="590" w:lineRule="exact"/>
        <w:jc w:val="center"/>
        <w:rPr>
          <w:rFonts w:ascii="方正小标宋_GBK" w:eastAsia="方正小标宋_GBK"/>
          <w:sz w:val="44"/>
          <w:szCs w:val="44"/>
        </w:rPr>
      </w:pPr>
      <w:r>
        <w:rPr>
          <w:rFonts w:hint="eastAsia" w:ascii="方正小标宋_GBK" w:eastAsia="方正小标宋_GBK"/>
          <w:sz w:val="44"/>
          <w:szCs w:val="44"/>
        </w:rPr>
        <w:t>石柱土家族自治县经济和信息化委员会</w:t>
      </w:r>
    </w:p>
    <w:p w14:paraId="0DC7FA19">
      <w:pPr>
        <w:spacing w:line="590" w:lineRule="exact"/>
        <w:jc w:val="center"/>
        <w:rPr>
          <w:rFonts w:hint="default" w:ascii="方正小标宋_GBK" w:eastAsia="方正小标宋_GBK"/>
          <w:sz w:val="44"/>
          <w:szCs w:val="44"/>
          <w:lang w:val="en-US" w:eastAsia="zh-CN"/>
        </w:rPr>
      </w:pPr>
      <w:bookmarkStart w:id="0" w:name="_Toc17688"/>
      <w:bookmarkStart w:id="1" w:name="_Toc23527"/>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4</w:t>
      </w:r>
      <w:r>
        <w:rPr>
          <w:rFonts w:ascii="Times New Roman" w:hAnsi="Times New Roman" w:eastAsia="方正小标宋_GBK" w:cs="Times New Roman"/>
          <w:sz w:val="44"/>
          <w:szCs w:val="44"/>
        </w:rPr>
        <w:t>年生态环境保护</w:t>
      </w:r>
      <w:bookmarkEnd w:id="0"/>
      <w:bookmarkEnd w:id="1"/>
      <w:r>
        <w:rPr>
          <w:rFonts w:hint="eastAsia" w:ascii="Times New Roman" w:hAnsi="Times New Roman" w:eastAsia="方正小标宋_GBK" w:cs="Times New Roman"/>
          <w:sz w:val="44"/>
          <w:szCs w:val="44"/>
          <w:lang w:val="en-US" w:eastAsia="zh-CN"/>
        </w:rPr>
        <w:t>履职情况</w:t>
      </w:r>
    </w:p>
    <w:p w14:paraId="5E028CC8">
      <w:pPr>
        <w:spacing w:line="560" w:lineRule="exact"/>
        <w:ind w:firstLine="640" w:firstLineChars="200"/>
        <w:rPr>
          <w:rFonts w:hint="eastAsia" w:ascii="Times New Roman" w:hAnsi="Times New Roman" w:eastAsia="方正仿宋_GBK" w:cs="Times New Roman"/>
          <w:snapToGrid w:val="0"/>
          <w:color w:val="000000" w:themeColor="text1"/>
          <w:sz w:val="32"/>
          <w:szCs w:val="32"/>
          <w14:textFill>
            <w14:solidFill>
              <w14:schemeClr w14:val="tx1"/>
            </w14:solidFill>
          </w14:textFill>
        </w:rPr>
      </w:pPr>
    </w:p>
    <w:p w14:paraId="7D78D21C">
      <w:pPr>
        <w:spacing w:line="560" w:lineRule="exact"/>
        <w:ind w:firstLine="640" w:firstLineChars="200"/>
        <w:rPr>
          <w:rFonts w:hint="eastAsia" w:ascii="Times New Roman" w:hAnsi="Times New Roman" w:eastAsia="方正仿宋_GBK" w:cs="Times New Roman"/>
          <w:snapToGrid w:val="0"/>
          <w:color w:val="000000" w:themeColor="text1"/>
          <w:sz w:val="32"/>
          <w:szCs w:val="32"/>
          <w14:textFill>
            <w14:solidFill>
              <w14:schemeClr w14:val="tx1"/>
            </w14:solidFill>
          </w14:textFill>
        </w:rPr>
      </w:pPr>
    </w:p>
    <w:p w14:paraId="0522E7E9">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napToGrid w:val="0"/>
          <w:color w:val="000000" w:themeColor="text1"/>
          <w:sz w:val="32"/>
          <w:szCs w:val="32"/>
          <w14:textFill>
            <w14:solidFill>
              <w14:schemeClr w14:val="tx1"/>
            </w14:solidFill>
          </w14:textFill>
        </w:rPr>
        <w:t>202</w:t>
      </w:r>
      <w:r>
        <w:rPr>
          <w:rFonts w:hint="eastAsia" w:ascii="Times New Roman" w:hAnsi="Times New Roman" w:eastAsia="方正仿宋_GBK" w:cs="Times New Roman"/>
          <w:snapToGrid w:val="0"/>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snapToGrid w:val="0"/>
          <w:color w:val="000000" w:themeColor="text1"/>
          <w:sz w:val="32"/>
          <w:szCs w:val="32"/>
          <w14:textFill>
            <w14:solidFill>
              <w14:schemeClr w14:val="tx1"/>
            </w14:solidFill>
          </w14:textFill>
        </w:rPr>
        <w:t>年</w:t>
      </w:r>
      <w:r>
        <w:rPr>
          <w:rFonts w:hint="eastAsia" w:ascii="Times New Roman" w:hAnsi="Times New Roman" w:eastAsia="方正仿宋_GBK" w:cs="Times New Roman"/>
          <w:snapToGrid w:val="0"/>
          <w:color w:val="000000" w:themeColor="text1"/>
          <w:sz w:val="32"/>
          <w:szCs w:val="32"/>
          <w:lang w:eastAsia="zh-CN"/>
          <w14:textFill>
            <w14:solidFill>
              <w14:schemeClr w14:val="tx1"/>
            </w14:solidFill>
          </w14:textFill>
        </w:rPr>
        <w:t>，</w:t>
      </w:r>
      <w:r>
        <w:rPr>
          <w:rFonts w:ascii="Times New Roman" w:hAnsi="Times New Roman" w:eastAsia="方正仿宋_GBK" w:cs="Times New Roman"/>
          <w:snapToGrid w:val="0"/>
          <w:color w:val="000000" w:themeColor="text1"/>
          <w:sz w:val="32"/>
          <w:szCs w:val="32"/>
          <w14:textFill>
            <w14:solidFill>
              <w14:schemeClr w14:val="tx1"/>
            </w14:solidFill>
          </w14:textFill>
        </w:rPr>
        <w:t>我委始终</w:t>
      </w:r>
      <w:r>
        <w:rPr>
          <w:rFonts w:ascii="Times New Roman" w:hAnsi="Times New Roman" w:eastAsia="方正仿宋_GBK" w:cs="Times New Roman"/>
          <w:snapToGrid w:val="0"/>
          <w:kern w:val="21"/>
          <w:sz w:val="32"/>
          <w:szCs w:val="32"/>
        </w:rPr>
        <w:t>坚持以习近平新时代中国特色社会主义思想为指导，</w:t>
      </w:r>
      <w:r>
        <w:rPr>
          <w:rFonts w:ascii="Times New Roman" w:hAnsi="Times New Roman" w:eastAsia="方正仿宋_GBK" w:cs="Times New Roman"/>
          <w:snapToGrid w:val="0"/>
          <w:sz w:val="32"/>
          <w:szCs w:val="32"/>
        </w:rPr>
        <w:t>深学笃用习近平生态文明思想，</w:t>
      </w:r>
      <w:r>
        <w:rPr>
          <w:rFonts w:ascii="Times New Roman" w:hAnsi="Times New Roman" w:eastAsia="方正仿宋_GBK" w:cs="Times New Roman"/>
          <w:sz w:val="32"/>
          <w:szCs w:val="32"/>
        </w:rPr>
        <w:t>全面贯彻落实各级关于生态环境保护的决策部署，统筹推进工业经济</w:t>
      </w:r>
      <w:r>
        <w:rPr>
          <w:rFonts w:hint="eastAsia" w:ascii="Times New Roman" w:hAnsi="Times New Roman" w:eastAsia="方正仿宋_GBK" w:cs="Times New Roman"/>
          <w:sz w:val="32"/>
          <w:szCs w:val="32"/>
        </w:rPr>
        <w:t>发展</w:t>
      </w:r>
      <w:r>
        <w:rPr>
          <w:rFonts w:ascii="Times New Roman" w:hAnsi="Times New Roman" w:eastAsia="方正仿宋_GBK" w:cs="Times New Roman"/>
          <w:sz w:val="32"/>
          <w:szCs w:val="32"/>
        </w:rPr>
        <w:t>与环境保护，产业结构不断优化升级，全面完成各项目标任务</w:t>
      </w:r>
      <w:r>
        <w:rPr>
          <w:rFonts w:hint="eastAsia" w:ascii="Times New Roman" w:hAnsi="Times New Roman" w:eastAsia="方正仿宋_GBK" w:cs="Times New Roman"/>
          <w:sz w:val="32"/>
          <w:szCs w:val="32"/>
        </w:rPr>
        <w:t>。现</w:t>
      </w:r>
      <w:r>
        <w:rPr>
          <w:rFonts w:ascii="Times New Roman" w:hAnsi="Times New Roman" w:eastAsia="方正仿宋_GBK" w:cs="Times New Roman"/>
          <w:sz w:val="32"/>
          <w:szCs w:val="32"/>
        </w:rPr>
        <w:t>按照</w:t>
      </w:r>
      <w:r>
        <w:rPr>
          <w:rFonts w:hint="eastAsia" w:ascii="Times New Roman" w:hAnsi="Times New Roman" w:eastAsia="方正仿宋_GBK" w:cs="Times New Roman"/>
          <w:sz w:val="32"/>
          <w:szCs w:val="32"/>
        </w:rPr>
        <w:t>《石柱县关于贯彻落实〈重庆市推动职能部门做好生态环境保护工作的实施方案〉的通知》（工作通知〔2024〕2号）、</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石柱县</w:t>
      </w:r>
      <w:r>
        <w:rPr>
          <w:rFonts w:ascii="方正仿宋_GBK" w:hAnsi="方正仿宋_GBK" w:eastAsia="方正仿宋_GBK" w:cs="方正仿宋_GBK"/>
          <w:sz w:val="32"/>
          <w:szCs w:val="32"/>
        </w:rPr>
        <w:t>有关部门</w:t>
      </w:r>
      <w:r>
        <w:rPr>
          <w:rFonts w:hint="eastAsia" w:ascii="方正仿宋_GBK" w:hAnsi="方正仿宋_GBK" w:eastAsia="方正仿宋_GBK" w:cs="方正仿宋_GBK"/>
          <w:sz w:val="32"/>
          <w:szCs w:val="32"/>
        </w:rPr>
        <w:t>单位</w:t>
      </w:r>
      <w:r>
        <w:rPr>
          <w:rFonts w:ascii="方正仿宋_GBK" w:hAnsi="方正仿宋_GBK" w:eastAsia="方正仿宋_GBK" w:cs="方正仿宋_GBK"/>
          <w:sz w:val="32"/>
          <w:szCs w:val="32"/>
        </w:rPr>
        <w:t>生态环境保护责任清单》</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石柱县第三轮中央生态环境保护督察整改问题清单</w:t>
      </w:r>
      <w:r>
        <w:rPr>
          <w:rFonts w:hint="eastAsia" w:ascii="方正仿宋_GBK" w:hAnsi="方正仿宋_GBK" w:eastAsia="方正仿宋_GBK" w:cs="方正仿宋_GBK"/>
          <w:sz w:val="32"/>
          <w:szCs w:val="32"/>
          <w:lang w:eastAsia="zh-CN"/>
        </w:rPr>
        <w:t>》等文件要求</w:t>
      </w:r>
      <w:r>
        <w:rPr>
          <w:rFonts w:hint="eastAsia" w:ascii="Times New Roman" w:hAnsi="Times New Roman" w:eastAsia="方正仿宋_GBK" w:cs="Times New Roman"/>
          <w:sz w:val="32"/>
          <w:szCs w:val="32"/>
        </w:rPr>
        <w:t>，将相关工作报告如下：</w:t>
      </w:r>
    </w:p>
    <w:p w14:paraId="2F34CA74">
      <w:pPr>
        <w:spacing w:line="560" w:lineRule="exact"/>
        <w:ind w:firstLine="640" w:firstLineChars="200"/>
        <w:rPr>
          <w:rStyle w:val="8"/>
          <w:rFonts w:eastAsia="方正黑体_GBK"/>
          <w:b w:val="0"/>
          <w:color w:val="333333"/>
          <w:sz w:val="32"/>
          <w:szCs w:val="32"/>
        </w:rPr>
      </w:pPr>
      <w:r>
        <w:rPr>
          <w:rStyle w:val="8"/>
          <w:rFonts w:hint="eastAsia" w:eastAsia="方正黑体_GBK"/>
          <w:b w:val="0"/>
          <w:color w:val="333333"/>
          <w:sz w:val="32"/>
          <w:szCs w:val="32"/>
        </w:rPr>
        <w:t>一、工作开展情况及成效</w:t>
      </w:r>
    </w:p>
    <w:p w14:paraId="2338FC6A">
      <w:pPr>
        <w:spacing w:line="560" w:lineRule="exact"/>
        <w:ind w:firstLine="640" w:firstLineChars="200"/>
        <w:rPr>
          <w:rFonts w:ascii="方正楷体_GBK" w:eastAsia="方正楷体_GBK"/>
          <w:sz w:val="32"/>
          <w:szCs w:val="32"/>
        </w:rPr>
      </w:pPr>
      <w:r>
        <w:rPr>
          <w:rFonts w:hint="eastAsia" w:ascii="方正楷体_GBK" w:eastAsia="方正楷体_GBK"/>
          <w:sz w:val="32"/>
          <w:szCs w:val="32"/>
        </w:rPr>
        <w:t>（一）建立健全责任体系。</w:t>
      </w:r>
    </w:p>
    <w:p w14:paraId="78165ACD">
      <w:pPr>
        <w:spacing w:line="560" w:lineRule="exact"/>
        <w:ind w:firstLine="640" w:firstLineChars="200"/>
        <w:rPr>
          <w:rFonts w:ascii="Times New Roman" w:hAnsi="Times New Roman" w:eastAsia="方正仿宋_GBK" w:cs="Times New Roman"/>
          <w:snapToGrid w:val="0"/>
          <w:sz w:val="32"/>
          <w:szCs w:val="32"/>
        </w:rPr>
      </w:pP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严格落</w:t>
      </w:r>
      <w:r>
        <w:rPr>
          <w:rFonts w:hint="eastAsia" w:ascii="方正仿宋_GBK" w:hAnsi="方正仿宋_GBK" w:eastAsia="方正仿宋_GBK" w:cs="方正仿宋_GBK"/>
          <w:sz w:val="32"/>
          <w:szCs w:val="32"/>
        </w:rPr>
        <w:t>实“党政同责、一岗双责”。我委牢固树立“生态优先、绿色发展”理念，高度重视生态文</w:t>
      </w:r>
      <w:r>
        <w:rPr>
          <w:rFonts w:ascii="Times New Roman" w:hAnsi="Times New Roman" w:eastAsia="方正仿宋_GBK" w:cs="Times New Roman"/>
          <w:sz w:val="32"/>
          <w:szCs w:val="32"/>
        </w:rPr>
        <w:t>明建设和环境保护工作，</w:t>
      </w:r>
      <w:r>
        <w:rPr>
          <w:rFonts w:ascii="Times New Roman" w:hAnsi="Times New Roman" w:eastAsia="方正仿宋_GBK" w:cs="Times New Roman"/>
          <w:snapToGrid w:val="0"/>
          <w:sz w:val="32"/>
          <w:szCs w:val="32"/>
        </w:rPr>
        <w:t>通过党委会、专题会、现场会等形式，</w:t>
      </w:r>
      <w:r>
        <w:rPr>
          <w:rFonts w:ascii="Times New Roman" w:hAnsi="Times New Roman" w:eastAsia="方正仿宋_GBK" w:cs="Times New Roman"/>
          <w:sz w:val="32"/>
          <w:szCs w:val="32"/>
        </w:rPr>
        <w:t>定期听取生态文明建设和环境保护工作进展情况、研究</w:t>
      </w:r>
      <w:r>
        <w:rPr>
          <w:rFonts w:hint="eastAsia" w:ascii="Times New Roman" w:hAnsi="Times New Roman" w:eastAsia="方正仿宋_GBK" w:cs="Times New Roman"/>
          <w:sz w:val="32"/>
          <w:szCs w:val="32"/>
        </w:rPr>
        <w:t>部署</w:t>
      </w:r>
      <w:r>
        <w:rPr>
          <w:rFonts w:ascii="Times New Roman" w:hAnsi="Times New Roman" w:eastAsia="方正仿宋_GBK" w:cs="Times New Roman"/>
          <w:sz w:val="32"/>
          <w:szCs w:val="32"/>
        </w:rPr>
        <w:t>下一步工作计划，着重</w:t>
      </w:r>
      <w:r>
        <w:rPr>
          <w:rFonts w:ascii="Times New Roman" w:hAnsi="Times New Roman" w:eastAsia="方正仿宋_GBK" w:cs="Times New Roman"/>
          <w:snapToGrid w:val="0"/>
          <w:sz w:val="32"/>
          <w:szCs w:val="32"/>
        </w:rPr>
        <w:t>解决工业经济发展中的突出环保问题，形成了主要领导亲自抓</w:t>
      </w:r>
      <w:r>
        <w:rPr>
          <w:rFonts w:hint="eastAsia" w:ascii="Times New Roman" w:hAnsi="Times New Roman" w:eastAsia="方正仿宋_GBK" w:cs="Times New Roman"/>
          <w:snapToGrid w:val="0"/>
          <w:sz w:val="32"/>
          <w:szCs w:val="32"/>
          <w:lang w:eastAsia="zh-CN"/>
        </w:rPr>
        <w:t>、</w:t>
      </w:r>
      <w:r>
        <w:rPr>
          <w:rFonts w:ascii="Times New Roman" w:hAnsi="Times New Roman" w:eastAsia="方正仿宋_GBK" w:cs="Times New Roman"/>
          <w:snapToGrid w:val="0"/>
          <w:sz w:val="32"/>
          <w:szCs w:val="32"/>
        </w:rPr>
        <w:t>分管领导具体抓</w:t>
      </w:r>
      <w:r>
        <w:rPr>
          <w:rFonts w:hint="eastAsia" w:ascii="Times New Roman" w:hAnsi="Times New Roman" w:eastAsia="方正仿宋_GBK" w:cs="Times New Roman"/>
          <w:snapToGrid w:val="0"/>
          <w:sz w:val="32"/>
          <w:szCs w:val="32"/>
          <w:lang w:eastAsia="zh-CN"/>
        </w:rPr>
        <w:t>、</w:t>
      </w:r>
      <w:r>
        <w:rPr>
          <w:rFonts w:ascii="Times New Roman" w:hAnsi="Times New Roman" w:eastAsia="方正仿宋_GBK" w:cs="Times New Roman"/>
          <w:snapToGrid w:val="0"/>
          <w:sz w:val="32"/>
          <w:szCs w:val="32"/>
        </w:rPr>
        <w:t>业务科室共同抓，一级抓一级</w:t>
      </w:r>
      <w:r>
        <w:rPr>
          <w:rFonts w:hint="eastAsia" w:ascii="Times New Roman" w:hAnsi="Times New Roman" w:eastAsia="方正仿宋_GBK" w:cs="Times New Roman"/>
          <w:snapToGrid w:val="0"/>
          <w:sz w:val="32"/>
          <w:szCs w:val="32"/>
          <w:lang w:eastAsia="zh-CN"/>
        </w:rPr>
        <w:t>、</w:t>
      </w:r>
      <w:r>
        <w:rPr>
          <w:rFonts w:ascii="Times New Roman" w:hAnsi="Times New Roman" w:eastAsia="方正仿宋_GBK" w:cs="Times New Roman"/>
          <w:snapToGrid w:val="0"/>
          <w:sz w:val="32"/>
          <w:szCs w:val="32"/>
        </w:rPr>
        <w:t>层层抓落实的良好工作机制。</w:t>
      </w:r>
    </w:p>
    <w:p w14:paraId="72A720C5">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napToGrid w:val="0"/>
          <w:sz w:val="32"/>
          <w:szCs w:val="32"/>
          <w:lang w:val="en-US" w:eastAsia="zh-CN"/>
        </w:rPr>
        <w:t>2.</w:t>
      </w:r>
      <w:r>
        <w:rPr>
          <w:rFonts w:ascii="Times New Roman" w:hAnsi="Times New Roman" w:eastAsia="方正仿宋_GBK" w:cs="Times New Roman"/>
          <w:snapToGrid w:val="0"/>
          <w:sz w:val="32"/>
          <w:szCs w:val="32"/>
        </w:rPr>
        <w:t>着力营造浓厚的宣传氛围。</w:t>
      </w:r>
      <w:r>
        <w:rPr>
          <w:rFonts w:ascii="Times New Roman" w:hAnsi="Times New Roman" w:eastAsia="方正仿宋_GBK" w:cs="Times New Roman"/>
          <w:sz w:val="32"/>
          <w:szCs w:val="32"/>
        </w:rPr>
        <w:t>通过职工会、企业座谈会、现场检查调研等，结</w:t>
      </w:r>
      <w:r>
        <w:rPr>
          <w:rFonts w:hint="eastAsia" w:ascii="方正仿宋_GBK" w:hAnsi="方正仿宋_GBK" w:eastAsia="方正仿宋_GBK" w:cs="方正仿宋_GBK"/>
          <w:sz w:val="32"/>
          <w:szCs w:val="32"/>
        </w:rPr>
        <w:t>合“一企一组”工作机制，多形式、多角度宣传</w:t>
      </w:r>
      <w:r>
        <w:rPr>
          <w:rFonts w:hint="eastAsia" w:ascii="方正仿宋_GBK" w:hAnsi="方正仿宋_GBK" w:eastAsia="方正仿宋_GBK" w:cs="方正仿宋_GBK"/>
          <w:snapToGrid w:val="0"/>
          <w:sz w:val="32"/>
          <w:szCs w:val="32"/>
        </w:rPr>
        <w:t>习近平总书记关于生态环境保护的重要讲话精神以及各项政策法律法规。</w:t>
      </w:r>
      <w:r>
        <w:rPr>
          <w:rFonts w:hint="eastAsia" w:ascii="方正仿宋_GBK" w:hAnsi="方正仿宋_GBK" w:eastAsia="方正仿宋_GBK" w:cs="方正仿宋_GBK"/>
          <w:sz w:val="32"/>
          <w:szCs w:val="32"/>
        </w:rPr>
        <w:t>积极组织企业开展环保宣传进企业等宣传活动，引导企业牢固树立大局观、长远观、整体观，深刻践行“生态优先、绿色发展”“绿水青山就是金山银山”理念，切实增强节约自然资源意识</w:t>
      </w:r>
      <w:r>
        <w:rPr>
          <w:rFonts w:ascii="Times New Roman" w:hAnsi="Times New Roman" w:eastAsia="方正仿宋_GBK" w:cs="Times New Roman"/>
          <w:sz w:val="32"/>
          <w:szCs w:val="32"/>
        </w:rPr>
        <w:t>、保护环境意识、改善生态意识，形成了浓厚的工作氛围。</w:t>
      </w:r>
    </w:p>
    <w:p w14:paraId="4E269052">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楷体_GBK" w:hAnsi="方正楷体_GBK" w:eastAsia="方正楷体_GBK" w:cs="方正楷体_GBK"/>
          <w:b w:val="0"/>
          <w:snapToGrid w:val="0"/>
          <w:color w:val="auto"/>
          <w:kern w:val="2"/>
          <w:sz w:val="32"/>
          <w:szCs w:val="32"/>
          <w:lang w:val="en-US" w:eastAsia="zh-CN" w:bidi="ar-SA"/>
        </w:rPr>
      </w:pPr>
      <w:r>
        <w:rPr>
          <w:rFonts w:hint="eastAsia" w:ascii="方正楷体_GBK" w:hAnsi="方正楷体_GBK" w:eastAsia="方正楷体_GBK" w:cs="方正楷体_GBK"/>
          <w:b w:val="0"/>
          <w:snapToGrid w:val="0"/>
          <w:color w:val="auto"/>
          <w:kern w:val="2"/>
          <w:sz w:val="32"/>
          <w:szCs w:val="32"/>
          <w:lang w:val="en-US" w:eastAsia="zh-CN" w:bidi="ar-SA"/>
        </w:rPr>
        <w:t>（二）扎实推动第三轮中央生态环境保护督察问题整改工作</w:t>
      </w:r>
    </w:p>
    <w:p w14:paraId="76AF4F78">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方正仿宋_GBK" w:cs="方正仿宋_GBK"/>
          <w:b w:val="0"/>
          <w:bCs w:val="0"/>
          <w:snapToGrid w:val="0"/>
          <w:color w:val="auto"/>
          <w:sz w:val="32"/>
          <w:szCs w:val="32"/>
          <w:lang w:eastAsia="zh-CN"/>
        </w:rPr>
      </w:pPr>
      <w:r>
        <w:rPr>
          <w:rFonts w:hint="eastAsia" w:ascii="Times New Roman" w:hAnsi="Times New Roman" w:eastAsia="方正仿宋_GBK" w:cs="方正仿宋_GBK"/>
          <w:b w:val="0"/>
          <w:bCs w:val="0"/>
          <w:snapToGrid w:val="0"/>
          <w:color w:val="auto"/>
          <w:sz w:val="32"/>
          <w:szCs w:val="32"/>
          <w:lang w:val="en-US" w:eastAsia="zh-CN"/>
        </w:rPr>
        <w:t>1.</w:t>
      </w:r>
      <w:r>
        <w:rPr>
          <w:rFonts w:hint="eastAsia" w:ascii="Times New Roman" w:hAnsi="Times New Roman" w:eastAsia="方正仿宋_GBK" w:cs="方正仿宋_GBK"/>
          <w:b w:val="0"/>
          <w:bCs w:val="0"/>
          <w:snapToGrid w:val="0"/>
          <w:color w:val="auto"/>
          <w:sz w:val="32"/>
          <w:szCs w:val="32"/>
          <w:lang w:eastAsia="zh-CN"/>
        </w:rPr>
        <w:t>针对小流域污染防治不到位问题，对流域内工业企业进行排查，严厉打击偷排、超标排放等违法行为，确保企业达标排放；配合有关部门建立健全小流域水环境监测网络，加强藤子沟水电站生态流量泄放监管，安装生态流量监视监测设备，实时监测水质变化，及时预警水环境风险。目前设备正常，生态流量泄放正常。</w:t>
      </w:r>
    </w:p>
    <w:p w14:paraId="76BC6B20">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eastAsia="方正仿宋_GBK"/>
          <w:b w:val="0"/>
          <w:bCs w:val="0"/>
          <w:lang w:val="en-US" w:eastAsia="zh-CN"/>
        </w:rPr>
      </w:pPr>
      <w:r>
        <w:rPr>
          <w:rFonts w:hint="eastAsia" w:ascii="Times New Roman" w:hAnsi="Times New Roman" w:eastAsia="方正仿宋_GBK" w:cs="方正仿宋_GBK"/>
          <w:b w:val="0"/>
          <w:bCs w:val="0"/>
          <w:snapToGrid w:val="0"/>
          <w:color w:val="auto"/>
          <w:sz w:val="32"/>
          <w:szCs w:val="32"/>
          <w:lang w:val="en-US" w:eastAsia="zh-CN"/>
        </w:rPr>
        <w:t>2.</w:t>
      </w:r>
      <w:r>
        <w:rPr>
          <w:rFonts w:hint="eastAsia" w:ascii="Times New Roman" w:hAnsi="Times New Roman" w:eastAsia="方正仿宋_GBK" w:cs="方正仿宋_GBK"/>
          <w:b w:val="0"/>
          <w:bCs w:val="0"/>
          <w:snapToGrid w:val="0"/>
          <w:color w:val="auto"/>
          <w:sz w:val="32"/>
          <w:szCs w:val="32"/>
          <w:lang w:eastAsia="zh-CN"/>
        </w:rPr>
        <w:t>针对一些重点工作生态环境问题仍然突出的情况，经过科学筛选、精准培育、建立机制、积极创建等严格步骤，将西南水泥、骏达木材等部分企业纳入县级绿色工厂培育库，积极开展绿色工厂、绿色园区创建工作，建成后将减少污染排放、修复与保护生态环境，一定程度上缓解生态环境保护结构性、根源性、趋势性压力，促进企业转型升级、竞争力提升。</w:t>
      </w:r>
    </w:p>
    <w:p w14:paraId="5B68B899">
      <w:pPr>
        <w:spacing w:line="560" w:lineRule="exact"/>
        <w:ind w:firstLine="640" w:firstLineChars="200"/>
        <w:rPr>
          <w:rFonts w:ascii="方正楷体_GBK" w:hAnsi="方正楷体_GBK" w:eastAsia="方正楷体_GBK" w:cs="方正楷体_GBK"/>
          <w:snapToGrid w:val="0"/>
          <w:color w:val="auto"/>
          <w:sz w:val="32"/>
          <w:szCs w:val="32"/>
        </w:rPr>
      </w:pPr>
      <w:r>
        <w:rPr>
          <w:rFonts w:hint="eastAsia" w:ascii="方正楷体_GBK" w:hAnsi="方正楷体_GBK" w:eastAsia="方正楷体_GBK" w:cs="方正楷体_GBK"/>
          <w:snapToGrid w:val="0"/>
          <w:color w:val="auto"/>
          <w:sz w:val="32"/>
          <w:szCs w:val="32"/>
        </w:rPr>
        <w:t>（</w:t>
      </w:r>
      <w:r>
        <w:rPr>
          <w:rFonts w:hint="eastAsia" w:ascii="方正楷体_GBK" w:hAnsi="方正楷体_GBK" w:eastAsia="方正楷体_GBK" w:cs="方正楷体_GBK"/>
          <w:snapToGrid w:val="0"/>
          <w:color w:val="auto"/>
          <w:sz w:val="32"/>
          <w:szCs w:val="32"/>
          <w:lang w:eastAsia="zh-CN"/>
        </w:rPr>
        <w:t>三</w:t>
      </w:r>
      <w:r>
        <w:rPr>
          <w:rFonts w:hint="eastAsia" w:ascii="方正楷体_GBK" w:hAnsi="方正楷体_GBK" w:eastAsia="方正楷体_GBK" w:cs="方正楷体_GBK"/>
          <w:snapToGrid w:val="0"/>
          <w:color w:val="auto"/>
          <w:sz w:val="32"/>
          <w:szCs w:val="32"/>
        </w:rPr>
        <w:t>）推动产业转型升级</w:t>
      </w:r>
    </w:p>
    <w:p w14:paraId="7B7A01C9">
      <w:pPr>
        <w:spacing w:line="560" w:lineRule="exact"/>
        <w:ind w:firstLine="640" w:firstLineChars="200"/>
        <w:rPr>
          <w:rFonts w:eastAsia="方正仿宋_GBK"/>
          <w:color w:val="auto"/>
          <w:kern w:val="0"/>
          <w:sz w:val="32"/>
          <w:szCs w:val="32"/>
        </w:rPr>
      </w:pPr>
      <w:r>
        <w:rPr>
          <w:rFonts w:hint="default" w:ascii="Times New Roman" w:hAnsi="Times New Roman" w:eastAsia="方正仿宋_GBK" w:cs="Times New Roman"/>
          <w:snapToGrid w:val="0"/>
          <w:color w:val="auto"/>
          <w:sz w:val="32"/>
          <w:szCs w:val="32"/>
        </w:rPr>
        <w:t>1.</w:t>
      </w:r>
      <w:r>
        <w:rPr>
          <w:rFonts w:eastAsia="方正仿宋_GBK"/>
          <w:snapToGrid w:val="0"/>
          <w:color w:val="auto"/>
          <w:sz w:val="32"/>
          <w:szCs w:val="32"/>
        </w:rPr>
        <w:t>强化规划引领。</w:t>
      </w:r>
      <w:r>
        <w:rPr>
          <w:rFonts w:hint="eastAsia" w:eastAsia="方正仿宋_GBK"/>
          <w:color w:val="auto"/>
          <w:sz w:val="32"/>
          <w:szCs w:val="32"/>
        </w:rPr>
        <w:t>严格执行国家产业结构调整指导目录、重庆产业投资准入工作手册等产</w:t>
      </w:r>
      <w:bookmarkStart w:id="2" w:name="_GoBack"/>
      <w:bookmarkEnd w:id="2"/>
      <w:r>
        <w:rPr>
          <w:rFonts w:hint="eastAsia" w:eastAsia="方正仿宋_GBK"/>
          <w:color w:val="auto"/>
          <w:sz w:val="32"/>
          <w:szCs w:val="32"/>
        </w:rPr>
        <w:t>业政策，严把项目准入关，禁止引入“两高”产业。对园外企业单纯增加产能的技改项目不予备案。</w:t>
      </w:r>
      <w:r>
        <w:rPr>
          <w:rFonts w:hint="eastAsia" w:eastAsia="方正仿宋_GBK"/>
          <w:color w:val="auto"/>
          <w:kern w:val="0"/>
          <w:sz w:val="32"/>
          <w:szCs w:val="32"/>
        </w:rPr>
        <w:t>印发</w:t>
      </w:r>
      <w:r>
        <w:rPr>
          <w:rFonts w:hint="eastAsia" w:ascii="Times New Roman" w:hAnsi="Times New Roman" w:eastAsia="方正仿宋_GBK"/>
          <w:color w:val="auto"/>
          <w:sz w:val="32"/>
          <w:szCs w:val="32"/>
        </w:rPr>
        <w:t>《2024年绿色生态工业经济高质量发展工作要点》等系列文件，全面理清工业经济发展目标及任务，精准把握工业经济发展方向。</w:t>
      </w:r>
    </w:p>
    <w:p w14:paraId="56FC22FA">
      <w:pPr>
        <w:topLinePunct/>
        <w:snapToGrid w:val="0"/>
        <w:spacing w:line="560" w:lineRule="exact"/>
        <w:ind w:firstLine="640" w:firstLineChars="200"/>
        <w:rPr>
          <w:rFonts w:hint="eastAsia" w:ascii="Times New Roman" w:hAnsi="Times New Roman" w:eastAsia="方正仿宋_GBK"/>
          <w:color w:val="auto"/>
          <w:sz w:val="32"/>
          <w:szCs w:val="32"/>
        </w:rPr>
      </w:pPr>
      <w:r>
        <w:rPr>
          <w:rFonts w:hint="default" w:ascii="Times New Roman" w:hAnsi="Times New Roman" w:eastAsia="方正仿宋_GBK" w:cs="Times New Roman"/>
          <w:snapToGrid w:val="0"/>
          <w:color w:val="auto"/>
          <w:sz w:val="32"/>
          <w:szCs w:val="32"/>
        </w:rPr>
        <w:t>2.</w:t>
      </w:r>
      <w:r>
        <w:rPr>
          <w:rFonts w:eastAsia="方正仿宋_GBK"/>
          <w:snapToGrid w:val="0"/>
          <w:color w:val="auto"/>
          <w:sz w:val="32"/>
          <w:szCs w:val="32"/>
        </w:rPr>
        <w:t>优化产业结构。</w:t>
      </w:r>
      <w:r>
        <w:rPr>
          <w:rFonts w:hint="eastAsia" w:eastAsia="方正仿宋_GBK"/>
          <w:snapToGrid w:val="0"/>
          <w:color w:val="auto"/>
          <w:sz w:val="32"/>
          <w:szCs w:val="32"/>
        </w:rPr>
        <w:t>围绕县域资源禀赋和产业基础，优化调整产业结构，逐步形成</w:t>
      </w:r>
      <w:r>
        <w:rPr>
          <w:rFonts w:eastAsia="方正仿宋_GBK"/>
          <w:color w:val="auto"/>
          <w:sz w:val="32"/>
          <w:szCs w:val="32"/>
        </w:rPr>
        <w:t>康养消费品、新型材料、清洁能源、装备制造</w:t>
      </w:r>
      <w:r>
        <w:rPr>
          <w:rFonts w:hint="eastAsia" w:eastAsia="方正仿宋_GBK"/>
          <w:color w:val="auto"/>
          <w:sz w:val="32"/>
          <w:szCs w:val="32"/>
          <w:lang w:eastAsia="zh-CN"/>
        </w:rPr>
        <w:t>“</w:t>
      </w:r>
      <w:r>
        <w:rPr>
          <w:rFonts w:eastAsia="方正仿宋_GBK"/>
          <w:color w:val="auto"/>
          <w:sz w:val="32"/>
          <w:szCs w:val="32"/>
        </w:rPr>
        <w:t>四大产业集群</w:t>
      </w:r>
      <w:r>
        <w:rPr>
          <w:rFonts w:hint="eastAsia" w:eastAsia="方正仿宋_GBK"/>
          <w:color w:val="auto"/>
          <w:sz w:val="32"/>
          <w:szCs w:val="32"/>
          <w:lang w:eastAsia="zh-CN"/>
        </w:rPr>
        <w:t>”</w:t>
      </w:r>
      <w:r>
        <w:rPr>
          <w:rFonts w:hint="eastAsia" w:eastAsia="方正仿宋_GBK"/>
          <w:color w:val="auto"/>
          <w:sz w:val="32"/>
          <w:szCs w:val="32"/>
        </w:rPr>
        <w:t>，努力形成百亿级风光储产业链和百亿级泵阀产业链，做大做强绿色生态工业。</w:t>
      </w:r>
      <w:r>
        <w:rPr>
          <w:rFonts w:hint="eastAsia" w:ascii="Times New Roman" w:hAnsi="Times New Roman" w:eastAsia="方正仿宋_GBK"/>
          <w:color w:val="auto"/>
          <w:sz w:val="32"/>
          <w:szCs w:val="32"/>
        </w:rPr>
        <w:t>2024年，全县规上工业企业55家，实现规上工业产值69.7亿元，同比增长8.0%；规上工业增加值增长4.1%，排全市第34位、渝东南第5位。完成工业投资48.4亿元、增长47%，增速排全市第8位、渝东南第2位。</w:t>
      </w:r>
    </w:p>
    <w:p w14:paraId="17CA4D58">
      <w:pPr>
        <w:snapToGrid w:val="0"/>
        <w:spacing w:line="560"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snapToGrid w:val="0"/>
          <w:color w:val="auto"/>
          <w:sz w:val="32"/>
          <w:szCs w:val="32"/>
        </w:rPr>
        <w:t>3.加强主体培育。</w:t>
      </w:r>
      <w:r>
        <w:rPr>
          <w:rFonts w:hint="eastAsia" w:ascii="Times New Roman" w:hAnsi="Times New Roman" w:eastAsia="方正仿宋_GBK" w:cs="Times New Roman"/>
          <w:color w:val="auto"/>
          <w:sz w:val="32"/>
          <w:szCs w:val="32"/>
        </w:rPr>
        <w:t>深入企业、滚动开展技改扫街摸排专项行动，引导企业围绕智转数改、节能降碳等方向，积极实施大规模设备更新行动，用活用好“重庆市工业和信息化专项资金”“技改专项贷”等政策，推动企业转型升级</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加快推进以智能化升级、集群化发展、服务化延伸、绿色化转型、为重点的企业技术改造，2024年以来累计争取国家、市级资金近</w:t>
      </w:r>
      <w:r>
        <w:rPr>
          <w:rFonts w:hint="eastAsia" w:ascii="Times New Roman" w:hAnsi="Times New Roman" w:eastAsia="方正仿宋_GBK" w:cs="Times New Roman"/>
          <w:color w:val="auto"/>
          <w:sz w:val="32"/>
          <w:szCs w:val="32"/>
          <w:lang w:val="en-US" w:eastAsia="zh-CN"/>
        </w:rPr>
        <w:t>5000</w:t>
      </w:r>
      <w:r>
        <w:rPr>
          <w:rFonts w:hint="eastAsia" w:ascii="Times New Roman" w:hAnsi="Times New Roman" w:eastAsia="方正仿宋_GBK" w:cs="Times New Roman"/>
          <w:color w:val="auto"/>
          <w:sz w:val="32"/>
          <w:szCs w:val="32"/>
        </w:rPr>
        <w:t>万元，支持企业转型发展，动员泰尔森制药等8家企业完成智能制造成熟度评估，果本生物等3家企业获市级数字化车间认定。</w:t>
      </w:r>
    </w:p>
    <w:p w14:paraId="38CA0D6F">
      <w:pPr>
        <w:spacing w:line="560" w:lineRule="exact"/>
        <w:ind w:firstLine="640" w:firstLineChars="200"/>
        <w:rPr>
          <w:rFonts w:ascii="Times New Roman" w:hAnsi="Times New Roman" w:eastAsia="方正楷体_GBK" w:cs="Times New Roman"/>
          <w:snapToGrid w:val="0"/>
          <w:color w:val="auto"/>
          <w:sz w:val="32"/>
          <w:szCs w:val="32"/>
        </w:rPr>
      </w:pPr>
      <w:r>
        <w:rPr>
          <w:rFonts w:ascii="Times New Roman" w:hAnsi="Times New Roman" w:eastAsia="方正楷体_GBK" w:cs="Times New Roman"/>
          <w:snapToGrid w:val="0"/>
          <w:color w:val="auto"/>
          <w:sz w:val="32"/>
          <w:szCs w:val="32"/>
        </w:rPr>
        <w:t>（</w:t>
      </w:r>
      <w:r>
        <w:rPr>
          <w:rFonts w:hint="eastAsia" w:ascii="Times New Roman" w:hAnsi="Times New Roman" w:eastAsia="方正楷体_GBK" w:cs="Times New Roman"/>
          <w:snapToGrid w:val="0"/>
          <w:color w:val="auto"/>
          <w:sz w:val="32"/>
          <w:szCs w:val="32"/>
          <w:lang w:eastAsia="zh-CN"/>
        </w:rPr>
        <w:t>四</w:t>
      </w:r>
      <w:r>
        <w:rPr>
          <w:rFonts w:ascii="Times New Roman" w:hAnsi="Times New Roman" w:eastAsia="方正楷体_GBK" w:cs="Times New Roman"/>
          <w:snapToGrid w:val="0"/>
          <w:color w:val="auto"/>
          <w:sz w:val="32"/>
          <w:szCs w:val="32"/>
        </w:rPr>
        <w:t>）大力推进绿色发展</w:t>
      </w:r>
    </w:p>
    <w:p w14:paraId="577AEAAA">
      <w:pPr>
        <w:spacing w:line="56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加快重点行业绿色化改造。督促引导大唐火电、西南水泥投资7000余万元，围绕节能降碳等方面实施节能技术改造。</w:t>
      </w:r>
      <w:r>
        <w:rPr>
          <w:rFonts w:hint="eastAsia" w:ascii="Times New Roman" w:hAnsi="Times New Roman" w:eastAsia="方正仿宋_GBK" w:cs="Times New Roman"/>
          <w:color w:val="auto"/>
          <w:sz w:val="32"/>
          <w:szCs w:val="32"/>
        </w:rPr>
        <w:t>开展全县规模以上企业用水调查，对重点用水行业企业纳入监管。</w:t>
      </w:r>
      <w:r>
        <w:rPr>
          <w:rFonts w:ascii="Times New Roman" w:hAnsi="Times New Roman" w:eastAsia="方正仿宋_GBK" w:cs="Times New Roman"/>
          <w:color w:val="auto"/>
          <w:sz w:val="32"/>
          <w:szCs w:val="32"/>
        </w:rPr>
        <w:t>结合县域节水型社会达标建设，</w:t>
      </w:r>
      <w:r>
        <w:rPr>
          <w:rFonts w:hint="eastAsia" w:ascii="Times New Roman" w:hAnsi="Times New Roman" w:eastAsia="方正仿宋_GBK" w:cs="Times New Roman"/>
          <w:color w:val="auto"/>
          <w:sz w:val="32"/>
          <w:szCs w:val="32"/>
        </w:rPr>
        <w:t>广泛开展节约用水宣传工作，积极督促金由农业</w:t>
      </w:r>
      <w:r>
        <w:rPr>
          <w:rFonts w:hint="eastAsia" w:ascii="Times New Roman" w:hAnsi="Times New Roman" w:eastAsia="方正仿宋_GBK" w:cs="Times New Roman"/>
          <w:color w:val="auto"/>
          <w:sz w:val="32"/>
          <w:szCs w:val="32"/>
          <w:lang w:eastAsia="zh-CN"/>
        </w:rPr>
        <w:t>、金田农业</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银山食品</w:t>
      </w:r>
      <w:r>
        <w:rPr>
          <w:rFonts w:hint="eastAsia" w:ascii="Times New Roman" w:hAnsi="Times New Roman" w:eastAsia="方正仿宋_GBK" w:cs="Times New Roman"/>
          <w:color w:val="auto"/>
          <w:sz w:val="32"/>
          <w:szCs w:val="32"/>
        </w:rPr>
        <w:t>等高耗水企业开展节水型企业创建工作。2024年新创建县级节水型企业3家，累计创建县级节水型企业30家、市级节水型企业1家、市级水效领跑者1家</w:t>
      </w:r>
    </w:p>
    <w:p w14:paraId="68D97AE0">
      <w:pPr>
        <w:spacing w:line="560" w:lineRule="exact"/>
        <w:ind w:firstLine="640" w:firstLineChars="200"/>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rPr>
        <w:t>有力</w:t>
      </w:r>
      <w:r>
        <w:rPr>
          <w:rFonts w:ascii="Times New Roman" w:hAnsi="Times New Roman" w:eastAsia="方正仿宋_GBK" w:cs="Times New Roman"/>
          <w:color w:val="auto"/>
          <w:sz w:val="32"/>
          <w:szCs w:val="32"/>
        </w:rPr>
        <w:t>推进企业清洁生产。</w:t>
      </w:r>
      <w:r>
        <w:rPr>
          <w:rFonts w:ascii="Times New Roman" w:hAnsi="Times New Roman" w:eastAsia="方正仿宋_GBK" w:cs="Times New Roman"/>
          <w:color w:val="auto"/>
          <w:kern w:val="0"/>
          <w:sz w:val="32"/>
          <w:szCs w:val="32"/>
        </w:rPr>
        <w:t>完成县域石化化工行业老旧装置拟改造项目清理。</w:t>
      </w:r>
      <w:r>
        <w:rPr>
          <w:rFonts w:ascii="Times New Roman" w:hAnsi="Times New Roman" w:eastAsia="方正仿宋_GBK" w:cs="Times New Roman"/>
          <w:color w:val="auto"/>
          <w:sz w:val="32"/>
          <w:szCs w:val="32"/>
        </w:rPr>
        <w:t>指导工业企业建立健全管理制度，采取措施降低资源消耗，减少工业固体废物的产生量和排放量。</w:t>
      </w:r>
      <w:r>
        <w:rPr>
          <w:rFonts w:hint="eastAsia" w:ascii="Times New Roman" w:hAnsi="Times New Roman" w:eastAsia="方正仿宋_GBK" w:cs="Times New Roman"/>
          <w:color w:val="auto"/>
          <w:sz w:val="32"/>
          <w:szCs w:val="32"/>
        </w:rPr>
        <w:t>2024年新建县级“无废工厂”2家。深入开展清洁化诊断入企行动，积极推进大宗工业固废利用，一般工业固废综合利用率达到99.95%。</w:t>
      </w:r>
    </w:p>
    <w:p w14:paraId="19E4C496">
      <w:pPr>
        <w:snapToGrid w:val="0"/>
        <w:spacing w:line="560" w:lineRule="exact"/>
        <w:ind w:firstLine="640" w:firstLineChars="200"/>
        <w:rPr>
          <w:rFonts w:ascii="Times New Roman" w:hAnsi="Times New Roman" w:eastAsia="方正仿宋_GBK" w:cs="Times New Roman"/>
          <w:color w:val="auto"/>
          <w:sz w:val="32"/>
          <w:szCs w:val="32"/>
        </w:rPr>
      </w:pPr>
      <w:r>
        <w:rPr>
          <w:rFonts w:hint="default" w:ascii="Times New Roman" w:hAnsi="Times New Roman" w:eastAsia="方正仿宋_GBK" w:cs="Times New Roman"/>
          <w:snapToGrid w:val="0"/>
          <w:color w:val="auto"/>
          <w:sz w:val="32"/>
          <w:szCs w:val="32"/>
          <w:lang w:eastAsia="zh-CN"/>
        </w:rPr>
        <w:t>3</w:t>
      </w:r>
      <w:r>
        <w:rPr>
          <w:rFonts w:hint="eastAsia" w:ascii="Times New Roman" w:hAnsi="Times New Roman" w:eastAsia="方正仿宋_GBK" w:cs="Times New Roman"/>
          <w:snapToGrid w:val="0"/>
          <w:color w:val="auto"/>
          <w:sz w:val="32"/>
          <w:szCs w:val="32"/>
          <w:lang w:val="en-US" w:eastAsia="zh-CN"/>
        </w:rPr>
        <w:t>.鼓励</w:t>
      </w:r>
      <w:r>
        <w:rPr>
          <w:rFonts w:hint="default" w:ascii="Times New Roman" w:hAnsi="Times New Roman" w:eastAsia="方正仿宋_GBK" w:cs="Times New Roman"/>
          <w:snapToGrid w:val="0"/>
          <w:color w:val="auto"/>
          <w:sz w:val="32"/>
          <w:szCs w:val="32"/>
          <w:lang w:eastAsia="zh-CN"/>
        </w:rPr>
        <w:t>支持</w:t>
      </w:r>
      <w:r>
        <w:rPr>
          <w:rFonts w:hint="eastAsia" w:ascii="Times New Roman" w:hAnsi="Times New Roman" w:eastAsia="方正仿宋_GBK" w:cs="Times New Roman"/>
          <w:snapToGrid w:val="0"/>
          <w:color w:val="auto"/>
          <w:sz w:val="32"/>
          <w:szCs w:val="32"/>
          <w:lang w:val="en-US" w:eastAsia="zh-CN"/>
        </w:rPr>
        <w:t>绿色发展。</w:t>
      </w:r>
      <w:r>
        <w:rPr>
          <w:rFonts w:hint="eastAsia" w:ascii="Times New Roman" w:hAnsi="Times New Roman" w:eastAsia="方正仿宋_GBK" w:cs="Times New Roman"/>
          <w:snapToGrid w:val="0"/>
          <w:color w:val="auto"/>
          <w:sz w:val="32"/>
          <w:szCs w:val="32"/>
        </w:rPr>
        <w:t>综合运用产业准入及财税金融政策，鼓励企业在节能减排、提高产品质量、更新智能设备等方面加大投入</w:t>
      </w:r>
      <w:r>
        <w:rPr>
          <w:rFonts w:hint="eastAsia" w:ascii="Times New Roman" w:hAnsi="Times New Roman" w:eastAsia="方正仿宋_GBK" w:cs="Times New Roman"/>
          <w:snapToGrid w:val="0"/>
          <w:color w:val="auto"/>
          <w:sz w:val="32"/>
          <w:szCs w:val="32"/>
          <w:lang w:eastAsia="zh-CN"/>
        </w:rPr>
        <w:t>。</w:t>
      </w:r>
      <w:r>
        <w:rPr>
          <w:rFonts w:hint="eastAsia" w:ascii="Times New Roman" w:hAnsi="Times New Roman" w:eastAsia="方正仿宋_GBK" w:cs="Times New Roman"/>
          <w:snapToGrid w:val="0"/>
          <w:color w:val="auto"/>
          <w:sz w:val="32"/>
          <w:szCs w:val="32"/>
        </w:rPr>
        <w:t>2024年引导万力联兴、长捷电子等27家企业实施技术改造项目30个，完成技改投资近11亿元、占工业投资比重的23%，在释放企业潜能的同时，不断提高企业绿色智能化发展水平。</w:t>
      </w:r>
    </w:p>
    <w:p w14:paraId="1DB101F8">
      <w:pPr>
        <w:spacing w:line="560" w:lineRule="exact"/>
        <w:ind w:firstLine="640" w:firstLineChars="200"/>
        <w:rPr>
          <w:rFonts w:ascii="Times New Roman" w:hAnsi="Times New Roman" w:eastAsia="方正楷体_GBK" w:cs="Times New Roman"/>
          <w:snapToGrid w:val="0"/>
          <w:color w:val="auto"/>
          <w:sz w:val="32"/>
          <w:szCs w:val="32"/>
        </w:rPr>
      </w:pPr>
      <w:r>
        <w:rPr>
          <w:rFonts w:ascii="Times New Roman" w:hAnsi="Times New Roman" w:eastAsia="方正楷体_GBK" w:cs="Times New Roman"/>
          <w:snapToGrid w:val="0"/>
          <w:color w:val="auto"/>
          <w:sz w:val="32"/>
          <w:szCs w:val="32"/>
        </w:rPr>
        <w:t>（</w:t>
      </w:r>
      <w:r>
        <w:rPr>
          <w:rFonts w:hint="eastAsia" w:ascii="Times New Roman" w:hAnsi="Times New Roman" w:eastAsia="方正楷体_GBK" w:cs="Times New Roman"/>
          <w:snapToGrid w:val="0"/>
          <w:color w:val="auto"/>
          <w:sz w:val="32"/>
          <w:szCs w:val="32"/>
          <w:lang w:eastAsia="zh-CN"/>
        </w:rPr>
        <w:t>五</w:t>
      </w:r>
      <w:r>
        <w:rPr>
          <w:rFonts w:ascii="Times New Roman" w:hAnsi="Times New Roman" w:eastAsia="方正楷体_GBK" w:cs="Times New Roman"/>
          <w:snapToGrid w:val="0"/>
          <w:color w:val="auto"/>
          <w:sz w:val="32"/>
          <w:szCs w:val="32"/>
        </w:rPr>
        <w:t>）</w:t>
      </w:r>
      <w:r>
        <w:rPr>
          <w:rFonts w:hint="eastAsia" w:ascii="Times New Roman" w:hAnsi="Times New Roman" w:eastAsia="方正楷体_GBK" w:cs="Times New Roman"/>
          <w:snapToGrid w:val="0"/>
          <w:color w:val="auto"/>
          <w:sz w:val="32"/>
          <w:szCs w:val="32"/>
        </w:rPr>
        <w:t>持续开展淘汰落后产能工作</w:t>
      </w:r>
      <w:r>
        <w:rPr>
          <w:rFonts w:ascii="Times New Roman" w:hAnsi="Times New Roman" w:eastAsia="方正楷体_GBK" w:cs="Times New Roman"/>
          <w:snapToGrid w:val="0"/>
          <w:color w:val="auto"/>
          <w:sz w:val="32"/>
          <w:szCs w:val="32"/>
        </w:rPr>
        <w:t>。</w:t>
      </w:r>
    </w:p>
    <w:p w14:paraId="0826C2D1">
      <w:pPr>
        <w:spacing w:line="560" w:lineRule="exact"/>
        <w:ind w:firstLine="640" w:firstLineChars="200"/>
        <w:rPr>
          <w:rFonts w:hint="eastAsia"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1.</w:t>
      </w:r>
      <w:r>
        <w:rPr>
          <w:rFonts w:hint="eastAsia" w:ascii="Times New Roman" w:hAnsi="Times New Roman" w:eastAsia="方正仿宋_GBK" w:cs="Times New Roman"/>
          <w:color w:val="auto"/>
          <w:sz w:val="32"/>
          <w:szCs w:val="32"/>
          <w:lang w:eastAsia="zh-CN"/>
        </w:rPr>
        <w:t>印发并组织实施《2024年石柱县依法依规推动落后产能退出实施方案》，</w:t>
      </w:r>
      <w:r>
        <w:rPr>
          <w:rFonts w:hint="eastAsia" w:ascii="Times New Roman" w:hAnsi="Times New Roman" w:eastAsia="方正仿宋_GBK" w:cs="Times New Roman"/>
          <w:color w:val="auto"/>
          <w:sz w:val="32"/>
          <w:szCs w:val="32"/>
        </w:rPr>
        <w:t>联合县工业园区管委会及各乡镇（街道）积极开展落后产能摸排工作。对县域进行拉网式摸排，全面准确摸清塑料制品产能现状，未发现淘汰类塑制品</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全面督促烧结砖瓦企业和水泥企业实施错峰生产</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持续开展环境保护指导督促专项行动</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充分结合“一企一组”工作机制，联合园区管委会等部门通过现场指导督促方式告知企业“严格执行排污许可制度”等13个方面的环保主体责任。</w:t>
      </w:r>
    </w:p>
    <w:p w14:paraId="54A6A5DC">
      <w:pPr>
        <w:spacing w:line="560" w:lineRule="exact"/>
        <w:ind w:firstLine="640" w:firstLineChars="200"/>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auto"/>
          <w:sz w:val="32"/>
          <w:szCs w:val="32"/>
          <w:lang w:eastAsia="zh-CN"/>
        </w:rPr>
        <w:t>2.</w:t>
      </w:r>
      <w:r>
        <w:rPr>
          <w:rFonts w:hint="eastAsia" w:ascii="Times New Roman" w:hAnsi="Times New Roman" w:eastAsia="方正仿宋_GBK" w:cs="Times New Roman"/>
          <w:color w:val="auto"/>
          <w:sz w:val="32"/>
          <w:szCs w:val="32"/>
          <w:lang w:eastAsia="zh-CN"/>
        </w:rPr>
        <w:t>积极开展落后生产工艺装备集中摸排整治，</w:t>
      </w:r>
      <w:r>
        <w:rPr>
          <w:rFonts w:hint="eastAsia" w:ascii="Times New Roman" w:hAnsi="Times New Roman" w:eastAsia="方正仿宋_GBK" w:cs="Times New Roman"/>
          <w:color w:val="auto"/>
          <w:sz w:val="32"/>
          <w:szCs w:val="32"/>
        </w:rPr>
        <w:t>制定</w:t>
      </w:r>
      <w:r>
        <w:rPr>
          <w:rFonts w:hint="default" w:ascii="Times New Roman" w:hAnsi="Times New Roman" w:eastAsia="方正仿宋_GBK" w:cs="Times New Roman"/>
          <w:color w:val="auto"/>
          <w:kern w:val="2"/>
          <w:sz w:val="32"/>
          <w:szCs w:val="32"/>
          <w:lang w:val="en-US" w:eastAsia="zh-CN" w:bidi="ar"/>
        </w:rPr>
        <w:t>印发《关于开展工业领域落后生产工艺装备集中摸排整治的通知》</w:t>
      </w:r>
      <w:r>
        <w:rPr>
          <w:rStyle w:val="8"/>
          <w:rFonts w:hint="eastAsia" w:ascii="Times New Roman" w:hAnsi="Times New Roman" w:eastAsia="方正仿宋_GBK" w:cs="Times New Roman"/>
          <w:b w:val="0"/>
          <w:bCs/>
          <w:color w:val="auto"/>
          <w:sz w:val="32"/>
          <w:szCs w:val="32"/>
        </w:rPr>
        <w:t>，</w:t>
      </w:r>
      <w:r>
        <w:rPr>
          <w:rFonts w:hint="eastAsia" w:ascii="Times New Roman" w:hAnsi="Times New Roman" w:eastAsia="方正仿宋_GBK" w:cs="Times New Roman"/>
          <w:color w:val="auto"/>
          <w:sz w:val="32"/>
          <w:szCs w:val="32"/>
        </w:rPr>
        <w:t>联合各乡镇（街道）、</w:t>
      </w:r>
      <w:r>
        <w:rPr>
          <w:rFonts w:hint="eastAsia" w:ascii="Times New Roman" w:hAnsi="Times New Roman" w:eastAsia="方正仿宋_GBK" w:cs="Times New Roman"/>
          <w:color w:val="000000" w:themeColor="text1"/>
          <w:sz w:val="32"/>
          <w:szCs w:val="32"/>
          <w14:textFill>
            <w14:solidFill>
              <w14:schemeClr w14:val="tx1"/>
            </w14:solidFill>
          </w14:textFill>
        </w:rPr>
        <w:t>县工业园区管委会等部门，严格按照摸排标准，通过乡镇摸排、主管部门核实、实地核查等方式，对县域范围内的全部工业组织拉网式摸底、细致排查、一一核实，建立工作台账。</w:t>
      </w:r>
    </w:p>
    <w:p w14:paraId="265E61D7">
      <w:pPr>
        <w:spacing w:line="560" w:lineRule="exact"/>
        <w:ind w:firstLine="640" w:firstLineChars="200"/>
        <w:rPr>
          <w:rFonts w:ascii="Times New Roman" w:hAnsi="Times New Roman" w:eastAsia="方正黑体_GBK" w:cs="Times New Roman"/>
          <w:snapToGrid w:val="0"/>
          <w:sz w:val="32"/>
          <w:szCs w:val="32"/>
        </w:rPr>
      </w:pPr>
      <w:r>
        <w:rPr>
          <w:rFonts w:hint="eastAsia" w:ascii="Times New Roman" w:hAnsi="Times New Roman" w:eastAsia="方正黑体_GBK" w:cs="Times New Roman"/>
          <w:sz w:val="32"/>
          <w:szCs w:val="32"/>
        </w:rPr>
        <w:t>二</w:t>
      </w:r>
      <w:r>
        <w:rPr>
          <w:rFonts w:ascii="Times New Roman" w:hAnsi="Times New Roman" w:eastAsia="方正黑体_GBK" w:cs="Times New Roman"/>
          <w:snapToGrid w:val="0"/>
          <w:sz w:val="32"/>
          <w:szCs w:val="32"/>
        </w:rPr>
        <w:t>、</w:t>
      </w:r>
      <w:r>
        <w:rPr>
          <w:rFonts w:hint="eastAsia" w:eastAsia="方正黑体_GBK" w:cs="Times New Roman"/>
          <w:snapToGrid w:val="0"/>
          <w:sz w:val="32"/>
          <w:szCs w:val="32"/>
        </w:rPr>
        <w:t>下一步打算</w:t>
      </w:r>
    </w:p>
    <w:p w14:paraId="74208C25">
      <w:pPr>
        <w:adjustRightInd w:val="0"/>
        <w:snapToGrid w:val="0"/>
        <w:spacing w:line="59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我委将持续深入贯彻落实习近平总书记生态文明思想，严格对标生态环境保护事项清单，走深走实产业生态化生态产业化“两化路”，推进工业经济绿色高质量发展。</w:t>
      </w:r>
    </w:p>
    <w:p w14:paraId="13DCF663">
      <w:pPr>
        <w:adjustRightInd w:val="0"/>
        <w:snapToGrid w:val="0"/>
        <w:spacing w:line="590" w:lineRule="exact"/>
        <w:ind w:firstLine="640"/>
        <w:rPr>
          <w:rFonts w:ascii="Times New Roman" w:hAnsi="Times New Roman" w:eastAsia="方正仿宋_GBK" w:cs="Times New Roman"/>
          <w:bCs/>
          <w:sz w:val="32"/>
          <w:szCs w:val="32"/>
        </w:rPr>
      </w:pPr>
      <w:r>
        <w:rPr>
          <w:rFonts w:hint="eastAsia" w:ascii="方正楷体_GBK" w:hAnsi="Times New Roman" w:eastAsia="方正楷体_GBK" w:cs="Times New Roman"/>
          <w:sz w:val="32"/>
          <w:szCs w:val="32"/>
        </w:rPr>
        <w:t>一是严把产业准入守底线。</w:t>
      </w:r>
      <w:r>
        <w:rPr>
          <w:rFonts w:hint="eastAsia" w:ascii="Times New Roman" w:hAnsi="Times New Roman" w:eastAsia="方正仿宋_GBK" w:cs="Times New Roman"/>
          <w:bCs/>
          <w:sz w:val="32"/>
          <w:szCs w:val="32"/>
        </w:rPr>
        <w:t>围绕四大产业集群，着力引进一批科技含量高、投资规模大、环境无污染的优质工业项目，坚决禁止引入“两高”项目，加快特色工业向产业链中高端迈进。</w:t>
      </w:r>
    </w:p>
    <w:p w14:paraId="56A63131">
      <w:pPr>
        <w:adjustRightInd w:val="0"/>
        <w:snapToGrid w:val="0"/>
        <w:spacing w:line="590" w:lineRule="exact"/>
        <w:ind w:firstLine="640"/>
        <w:rPr>
          <w:rFonts w:ascii="Times New Roman" w:hAnsi="Times New Roman" w:eastAsia="方正仿宋_GBK"/>
          <w:sz w:val="32"/>
          <w:szCs w:val="32"/>
        </w:rPr>
      </w:pPr>
      <w:r>
        <w:rPr>
          <w:rFonts w:hint="eastAsia" w:ascii="方正楷体_GBK" w:hAnsi="Times New Roman" w:eastAsia="方正楷体_GBK" w:cs="Times New Roman"/>
          <w:sz w:val="32"/>
          <w:szCs w:val="32"/>
        </w:rPr>
        <w:t>二是</w:t>
      </w:r>
      <w:r>
        <w:rPr>
          <w:rFonts w:hint="eastAsia" w:ascii="方正楷体_GBK" w:hAnsi="方正仿宋_GBK" w:eastAsia="方正楷体_GBK" w:cs="方正仿宋_GBK"/>
          <w:sz w:val="32"/>
          <w:szCs w:val="32"/>
        </w:rPr>
        <w:t>加大政策引导促转型。</w:t>
      </w:r>
      <w:r>
        <w:rPr>
          <w:rFonts w:hint="eastAsia" w:ascii="Times New Roman" w:hAnsi="方正仿宋_GBK" w:eastAsia="方正仿宋_GBK" w:cs="方正仿宋_GBK"/>
          <w:sz w:val="32"/>
          <w:szCs w:val="32"/>
        </w:rPr>
        <w:t>积极争取国家、市上财税金融政策支持，在火电、建材领域持续开展节能降碳技术改造，提高重点用能企业能效水平。实施清洁化水平提升行动，通过清洁化诊断、对标提升、重点清洁化改造项目支持等措施，系统化提升企业清洁生产水平，持续减少污染物排放。持续开展落后工艺摸排及淘汰落后产能制度，严格落实水泥、砖瓦行业错峰生产，</w:t>
      </w:r>
      <w:r>
        <w:rPr>
          <w:rFonts w:hint="eastAsia" w:ascii="Times New Roman" w:hAnsi="Times New Roman" w:eastAsia="方正仿宋_GBK" w:cs="方正仿宋_GBK"/>
          <w:sz w:val="32"/>
          <w:szCs w:val="32"/>
        </w:rPr>
        <w:t>推进能效领跑者、绿色工厂、节水型企业创建。切实推行重点企业、重点项目“一对一”联系帮扶制度，深入开展“企业吹哨·部门报到”专项行动，积极培育“专精特新”“小巨人”企业，做大做优存量企业</w:t>
      </w:r>
      <w:r>
        <w:rPr>
          <w:rFonts w:hint="eastAsia" w:ascii="Times New Roman" w:hAnsi="Times New Roman" w:eastAsia="方正仿宋_GBK"/>
          <w:sz w:val="32"/>
          <w:szCs w:val="32"/>
        </w:rPr>
        <w:t>。</w:t>
      </w:r>
    </w:p>
    <w:p w14:paraId="1BDC5DF4">
      <w:pPr>
        <w:adjustRightInd w:val="0"/>
        <w:snapToGrid w:val="0"/>
        <w:spacing w:line="590" w:lineRule="exact"/>
        <w:ind w:firstLine="64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三是加大招商引资扩增量。</w:t>
      </w:r>
      <w:r>
        <w:rPr>
          <w:rFonts w:hint="eastAsia" w:ascii="Times New Roman" w:hAnsi="Times New Roman" w:eastAsia="方正仿宋_GBK" w:cs="Times New Roman"/>
          <w:sz w:val="32"/>
          <w:szCs w:val="32"/>
        </w:rPr>
        <w:t>围绕绿色建筑材料、风力光伏发电、核电配套、资源综合利用等产业，依托</w:t>
      </w:r>
      <w:r>
        <w:rPr>
          <w:rFonts w:hint="eastAsia" w:ascii="Times New Roman" w:hAnsi="Times New Roman" w:eastAsia="方正仿宋_GBK" w:cs="Times New Roman"/>
          <w:sz w:val="32"/>
          <w:szCs w:val="32"/>
          <w:lang w:val="en-US" w:eastAsia="zh-CN"/>
        </w:rPr>
        <w:t>西沱</w:t>
      </w:r>
      <w:r>
        <w:rPr>
          <w:rFonts w:hint="eastAsia" w:ascii="Times New Roman" w:hAnsi="Times New Roman" w:eastAsia="方正仿宋_GBK" w:cs="Times New Roman"/>
          <w:sz w:val="32"/>
          <w:szCs w:val="32"/>
        </w:rPr>
        <w:t>绿色新型材料产业园、</w:t>
      </w:r>
      <w:r>
        <w:rPr>
          <w:rFonts w:hint="eastAsia" w:ascii="Times New Roman" w:hAnsi="Times New Roman" w:eastAsia="方正仿宋_GBK" w:cs="Times New Roman"/>
          <w:sz w:val="32"/>
          <w:szCs w:val="32"/>
          <w:lang w:val="en-US" w:eastAsia="zh-CN"/>
        </w:rPr>
        <w:t>重庆市泵阀产业基地</w:t>
      </w:r>
      <w:r>
        <w:rPr>
          <w:rFonts w:hint="eastAsia" w:ascii="Times New Roman" w:hAnsi="Times New Roman" w:eastAsia="方正仿宋_GBK" w:cs="Times New Roman"/>
          <w:sz w:val="32"/>
          <w:szCs w:val="32"/>
        </w:rPr>
        <w:t>等载体，积极跟踪推介项目，力争招引一批有经济实力、技术实力的大型</w:t>
      </w:r>
      <w:r>
        <w:rPr>
          <w:rFonts w:hint="eastAsia" w:ascii="Times New Roman" w:hAnsi="Times New Roman" w:eastAsia="方正仿宋_GBK" w:cs="Times New Roman"/>
          <w:sz w:val="32"/>
          <w:szCs w:val="32"/>
          <w:lang w:val="en-US" w:eastAsia="zh-CN"/>
        </w:rPr>
        <w:t>企业</w:t>
      </w:r>
      <w:r>
        <w:rPr>
          <w:rFonts w:hint="eastAsia" w:ascii="Times New Roman" w:hAnsi="Times New Roman" w:eastAsia="方正仿宋_GBK" w:cs="Times New Roman"/>
          <w:sz w:val="32"/>
          <w:szCs w:val="32"/>
        </w:rPr>
        <w:t>，为全县绿色工业发展注入新鲜活力。</w:t>
      </w:r>
    </w:p>
    <w:p w14:paraId="111D6F01">
      <w:pPr>
        <w:autoSpaceDE w:val="0"/>
        <w:autoSpaceDN w:val="0"/>
        <w:snapToGrid w:val="0"/>
        <w:spacing w:line="594" w:lineRule="exact"/>
        <w:ind w:firstLine="640" w:firstLineChars="200"/>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rPr>
        <w:t>四是督促企业落实环保主体责任。</w:t>
      </w:r>
      <w:r>
        <w:rPr>
          <w:rFonts w:hint="eastAsia" w:ascii="方正仿宋_GBK" w:hAnsi="方正仿宋_GBK" w:eastAsia="方正仿宋_GBK" w:cs="方正仿宋_GBK"/>
          <w:sz w:val="32"/>
          <w:szCs w:val="32"/>
        </w:rPr>
        <w:t>会同园区、环保等部门</w:t>
      </w:r>
      <w:r>
        <w:rPr>
          <w:rFonts w:hint="eastAsia" w:ascii="方正仿宋_GBK" w:hAnsi="方正仿宋_GBK" w:eastAsia="方正仿宋_GBK" w:cs="方正仿宋_GBK"/>
          <w:kern w:val="0"/>
          <w:sz w:val="32"/>
          <w:szCs w:val="32"/>
        </w:rPr>
        <w:t>指导和督促全县工业企业（工业园区）全面落实环境保护主体责任。开展环境保护宣传进企业专项行动，营造浓厚的宣传氛围，全面提高企业的环境保护意识。</w:t>
      </w:r>
    </w:p>
    <w:p w14:paraId="0CE10D9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92C13"/>
    <w:rsid w:val="00334B2D"/>
    <w:rsid w:val="00D46F50"/>
    <w:rsid w:val="0106325A"/>
    <w:rsid w:val="01993D60"/>
    <w:rsid w:val="028301CF"/>
    <w:rsid w:val="035616FC"/>
    <w:rsid w:val="04045B1E"/>
    <w:rsid w:val="040B20C8"/>
    <w:rsid w:val="044C5005"/>
    <w:rsid w:val="045F678A"/>
    <w:rsid w:val="04B91026"/>
    <w:rsid w:val="04C824F3"/>
    <w:rsid w:val="058F60E6"/>
    <w:rsid w:val="06BA725C"/>
    <w:rsid w:val="071D420C"/>
    <w:rsid w:val="073F49FD"/>
    <w:rsid w:val="08A346CC"/>
    <w:rsid w:val="0A9B7575"/>
    <w:rsid w:val="0AB808A0"/>
    <w:rsid w:val="0AE85A3A"/>
    <w:rsid w:val="0B291CB1"/>
    <w:rsid w:val="0B770C6E"/>
    <w:rsid w:val="0D0A4842"/>
    <w:rsid w:val="0DA0151C"/>
    <w:rsid w:val="0DBF0FE7"/>
    <w:rsid w:val="0DDB48C2"/>
    <w:rsid w:val="0E842EC4"/>
    <w:rsid w:val="0EB178A8"/>
    <w:rsid w:val="0EB700D4"/>
    <w:rsid w:val="0F5E55E3"/>
    <w:rsid w:val="102C2CF7"/>
    <w:rsid w:val="104431B5"/>
    <w:rsid w:val="10A57C68"/>
    <w:rsid w:val="10A92E94"/>
    <w:rsid w:val="10C96D40"/>
    <w:rsid w:val="11114D12"/>
    <w:rsid w:val="118265E3"/>
    <w:rsid w:val="119F631A"/>
    <w:rsid w:val="11C13529"/>
    <w:rsid w:val="12345665"/>
    <w:rsid w:val="12974006"/>
    <w:rsid w:val="1412306B"/>
    <w:rsid w:val="144E64B4"/>
    <w:rsid w:val="148C1517"/>
    <w:rsid w:val="14CE19AC"/>
    <w:rsid w:val="14EB15DA"/>
    <w:rsid w:val="16076B55"/>
    <w:rsid w:val="160A6DBC"/>
    <w:rsid w:val="16874491"/>
    <w:rsid w:val="16C20DCD"/>
    <w:rsid w:val="17A325E9"/>
    <w:rsid w:val="186D008A"/>
    <w:rsid w:val="18DA29AE"/>
    <w:rsid w:val="19C54B6D"/>
    <w:rsid w:val="1AE7589B"/>
    <w:rsid w:val="1AEA2461"/>
    <w:rsid w:val="1B3B0599"/>
    <w:rsid w:val="1B5425C1"/>
    <w:rsid w:val="1BE35F7E"/>
    <w:rsid w:val="1C786E84"/>
    <w:rsid w:val="1CBB1451"/>
    <w:rsid w:val="1D2C4129"/>
    <w:rsid w:val="1DD25D5D"/>
    <w:rsid w:val="1E001BB1"/>
    <w:rsid w:val="1E7B5769"/>
    <w:rsid w:val="1E9811D0"/>
    <w:rsid w:val="1EF006A0"/>
    <w:rsid w:val="1EF63624"/>
    <w:rsid w:val="1FA71280"/>
    <w:rsid w:val="213B41F3"/>
    <w:rsid w:val="2234131A"/>
    <w:rsid w:val="23EC1F3D"/>
    <w:rsid w:val="248C29C0"/>
    <w:rsid w:val="24A26904"/>
    <w:rsid w:val="24D2510A"/>
    <w:rsid w:val="25C77158"/>
    <w:rsid w:val="264C6CE6"/>
    <w:rsid w:val="26CC24BA"/>
    <w:rsid w:val="26E907DB"/>
    <w:rsid w:val="27113090"/>
    <w:rsid w:val="274A1A28"/>
    <w:rsid w:val="283E70BC"/>
    <w:rsid w:val="28A84FFB"/>
    <w:rsid w:val="28A861C7"/>
    <w:rsid w:val="28E42533"/>
    <w:rsid w:val="29293F4B"/>
    <w:rsid w:val="2A6B6CEC"/>
    <w:rsid w:val="2AEB4213"/>
    <w:rsid w:val="2B801021"/>
    <w:rsid w:val="2BEC0ECD"/>
    <w:rsid w:val="2C55436A"/>
    <w:rsid w:val="2D4D70CC"/>
    <w:rsid w:val="2DC84F02"/>
    <w:rsid w:val="2DF51585"/>
    <w:rsid w:val="2E331B88"/>
    <w:rsid w:val="2E983735"/>
    <w:rsid w:val="2ECB142B"/>
    <w:rsid w:val="2EFA56F0"/>
    <w:rsid w:val="2F59171E"/>
    <w:rsid w:val="2F666780"/>
    <w:rsid w:val="2FB544FB"/>
    <w:rsid w:val="30104A8B"/>
    <w:rsid w:val="30B11C7D"/>
    <w:rsid w:val="30E402A4"/>
    <w:rsid w:val="310C7A60"/>
    <w:rsid w:val="31DE7EFA"/>
    <w:rsid w:val="32F255D7"/>
    <w:rsid w:val="33553EB0"/>
    <w:rsid w:val="33AC7F6A"/>
    <w:rsid w:val="33DD1E9E"/>
    <w:rsid w:val="34151CF2"/>
    <w:rsid w:val="34244CEE"/>
    <w:rsid w:val="358306B4"/>
    <w:rsid w:val="35920732"/>
    <w:rsid w:val="35AC5375"/>
    <w:rsid w:val="367D1DB7"/>
    <w:rsid w:val="36DD6716"/>
    <w:rsid w:val="374D61CA"/>
    <w:rsid w:val="37637733"/>
    <w:rsid w:val="37C130EE"/>
    <w:rsid w:val="37E75006"/>
    <w:rsid w:val="38117BDB"/>
    <w:rsid w:val="38313C2C"/>
    <w:rsid w:val="383B7B60"/>
    <w:rsid w:val="38BD393F"/>
    <w:rsid w:val="38F60B75"/>
    <w:rsid w:val="391C3B57"/>
    <w:rsid w:val="39735EB0"/>
    <w:rsid w:val="399B300F"/>
    <w:rsid w:val="39A312FA"/>
    <w:rsid w:val="3A1032F3"/>
    <w:rsid w:val="3B6224F2"/>
    <w:rsid w:val="3BB31024"/>
    <w:rsid w:val="3C9D5045"/>
    <w:rsid w:val="3CB55DDB"/>
    <w:rsid w:val="3EE03D2D"/>
    <w:rsid w:val="3F1F08E9"/>
    <w:rsid w:val="3F591F5A"/>
    <w:rsid w:val="3FB11508"/>
    <w:rsid w:val="3FD73A88"/>
    <w:rsid w:val="401A4BA7"/>
    <w:rsid w:val="402C03A1"/>
    <w:rsid w:val="411E57B6"/>
    <w:rsid w:val="418D5DEE"/>
    <w:rsid w:val="41AC0362"/>
    <w:rsid w:val="41D26C5B"/>
    <w:rsid w:val="42604B8B"/>
    <w:rsid w:val="42C92A5A"/>
    <w:rsid w:val="443A30A4"/>
    <w:rsid w:val="444C4E33"/>
    <w:rsid w:val="44557097"/>
    <w:rsid w:val="455D0C45"/>
    <w:rsid w:val="45C94AB2"/>
    <w:rsid w:val="45EC42C8"/>
    <w:rsid w:val="46587086"/>
    <w:rsid w:val="46C229F9"/>
    <w:rsid w:val="46C31B55"/>
    <w:rsid w:val="481B422A"/>
    <w:rsid w:val="486D6663"/>
    <w:rsid w:val="4884481F"/>
    <w:rsid w:val="49013C5A"/>
    <w:rsid w:val="496804BA"/>
    <w:rsid w:val="49AF4617"/>
    <w:rsid w:val="49BB7CAE"/>
    <w:rsid w:val="4A82495E"/>
    <w:rsid w:val="4C9C15E2"/>
    <w:rsid w:val="4D0A6858"/>
    <w:rsid w:val="4EB70542"/>
    <w:rsid w:val="4EB8112C"/>
    <w:rsid w:val="4EE23C1E"/>
    <w:rsid w:val="4F8F266A"/>
    <w:rsid w:val="4FE1670B"/>
    <w:rsid w:val="50684B43"/>
    <w:rsid w:val="512C726F"/>
    <w:rsid w:val="52671B69"/>
    <w:rsid w:val="52734D88"/>
    <w:rsid w:val="52907192"/>
    <w:rsid w:val="529E6368"/>
    <w:rsid w:val="53426A39"/>
    <w:rsid w:val="53854BD0"/>
    <w:rsid w:val="541505A9"/>
    <w:rsid w:val="54290729"/>
    <w:rsid w:val="545E6D44"/>
    <w:rsid w:val="5480789E"/>
    <w:rsid w:val="54A92AE8"/>
    <w:rsid w:val="55517AC6"/>
    <w:rsid w:val="556728D2"/>
    <w:rsid w:val="55AE5E80"/>
    <w:rsid w:val="55E55EEF"/>
    <w:rsid w:val="560535B7"/>
    <w:rsid w:val="560B1CAC"/>
    <w:rsid w:val="561B53AE"/>
    <w:rsid w:val="56817779"/>
    <w:rsid w:val="56E736B6"/>
    <w:rsid w:val="576E4489"/>
    <w:rsid w:val="57D92E84"/>
    <w:rsid w:val="581B4A42"/>
    <w:rsid w:val="59737CEE"/>
    <w:rsid w:val="599C0E6D"/>
    <w:rsid w:val="5AF618DE"/>
    <w:rsid w:val="5C8B46D6"/>
    <w:rsid w:val="5D187027"/>
    <w:rsid w:val="5D4A525F"/>
    <w:rsid w:val="5DFBC872"/>
    <w:rsid w:val="5E770519"/>
    <w:rsid w:val="5F7933ED"/>
    <w:rsid w:val="602850DC"/>
    <w:rsid w:val="604265BC"/>
    <w:rsid w:val="607641C6"/>
    <w:rsid w:val="60A84676"/>
    <w:rsid w:val="60E03D35"/>
    <w:rsid w:val="618A190E"/>
    <w:rsid w:val="61AE190B"/>
    <w:rsid w:val="62E53885"/>
    <w:rsid w:val="63DA4081"/>
    <w:rsid w:val="64595187"/>
    <w:rsid w:val="65B47F45"/>
    <w:rsid w:val="65DB0E2C"/>
    <w:rsid w:val="66094AAD"/>
    <w:rsid w:val="661A162F"/>
    <w:rsid w:val="664F3700"/>
    <w:rsid w:val="66874104"/>
    <w:rsid w:val="6690715C"/>
    <w:rsid w:val="66C60011"/>
    <w:rsid w:val="66E55C01"/>
    <w:rsid w:val="67204E8B"/>
    <w:rsid w:val="67587B8E"/>
    <w:rsid w:val="67E318F1"/>
    <w:rsid w:val="67F55DAD"/>
    <w:rsid w:val="681C4E92"/>
    <w:rsid w:val="68246BFD"/>
    <w:rsid w:val="68EC062C"/>
    <w:rsid w:val="68F97A70"/>
    <w:rsid w:val="69A9357E"/>
    <w:rsid w:val="69C902C2"/>
    <w:rsid w:val="6A323AF7"/>
    <w:rsid w:val="6A3273AF"/>
    <w:rsid w:val="6B2A6AB4"/>
    <w:rsid w:val="6BA77929"/>
    <w:rsid w:val="6BCB4F4D"/>
    <w:rsid w:val="6C0B799D"/>
    <w:rsid w:val="6D167FEC"/>
    <w:rsid w:val="6E1B6AA0"/>
    <w:rsid w:val="6E636B2A"/>
    <w:rsid w:val="6EAB729C"/>
    <w:rsid w:val="6F043D0F"/>
    <w:rsid w:val="6F7C1010"/>
    <w:rsid w:val="702E70C3"/>
    <w:rsid w:val="70777366"/>
    <w:rsid w:val="70780E67"/>
    <w:rsid w:val="70B8050A"/>
    <w:rsid w:val="71176595"/>
    <w:rsid w:val="723A4FCA"/>
    <w:rsid w:val="72B11DEB"/>
    <w:rsid w:val="736E7642"/>
    <w:rsid w:val="73BE7B30"/>
    <w:rsid w:val="73C117A4"/>
    <w:rsid w:val="74D53DC7"/>
    <w:rsid w:val="75163771"/>
    <w:rsid w:val="755A0657"/>
    <w:rsid w:val="76337373"/>
    <w:rsid w:val="76CF092D"/>
    <w:rsid w:val="773E48AD"/>
    <w:rsid w:val="77764653"/>
    <w:rsid w:val="77784870"/>
    <w:rsid w:val="77A45D95"/>
    <w:rsid w:val="77BD02F0"/>
    <w:rsid w:val="78061E13"/>
    <w:rsid w:val="7868501B"/>
    <w:rsid w:val="787C5FFE"/>
    <w:rsid w:val="78A21CFB"/>
    <w:rsid w:val="78FA1FE6"/>
    <w:rsid w:val="79A3311C"/>
    <w:rsid w:val="7A564829"/>
    <w:rsid w:val="7B125E9B"/>
    <w:rsid w:val="7B722495"/>
    <w:rsid w:val="7C185889"/>
    <w:rsid w:val="7C5E3DD6"/>
    <w:rsid w:val="7D7E7C4A"/>
    <w:rsid w:val="7D93554A"/>
    <w:rsid w:val="7DBA7990"/>
    <w:rsid w:val="7E9678FB"/>
    <w:rsid w:val="7EF934A5"/>
    <w:rsid w:val="7F2B0B4A"/>
    <w:rsid w:val="7F3D6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after="120" w:afterLines="0" w:afterAutospacing="0"/>
    </w:pPr>
  </w:style>
  <w:style w:type="paragraph" w:styleId="4">
    <w:name w:val="footer"/>
    <w:basedOn w:val="1"/>
    <w:next w:val="1"/>
    <w:unhideWhenUsed/>
    <w:qFormat/>
    <w:uiPriority w:val="99"/>
    <w:pPr>
      <w:tabs>
        <w:tab w:val="center" w:pos="4153"/>
        <w:tab w:val="right" w:pos="8306"/>
      </w:tabs>
      <w:snapToGrid w:val="0"/>
      <w:jc w:val="left"/>
    </w:pPr>
    <w:rPr>
      <w:sz w:val="18"/>
      <w:szCs w:val="18"/>
    </w:rPr>
  </w:style>
  <w:style w:type="paragraph" w:styleId="5">
    <w:name w:val="Body Text First Indent"/>
    <w:basedOn w:val="3"/>
    <w:unhideWhenUsed/>
    <w:qFormat/>
    <w:uiPriority w:val="99"/>
    <w:pPr>
      <w:ind w:firstLine="420" w:firstLineChars="100"/>
    </w:p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2947</Words>
  <Characters>3031</Characters>
  <Lines>0</Lines>
  <Paragraphs>0</Paragraphs>
  <TotalTime>1064</TotalTime>
  <ScaleCrop>false</ScaleCrop>
  <LinksUpToDate>false</LinksUpToDate>
  <CharactersWithSpaces>3031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2023-12-26T16:46:00Z</dcterms:created>
  <dc:creator>Administrator.PC-201703160924</dc:creator>
  <cp:lastModifiedBy>少女</cp:lastModifiedBy>
  <dcterms:modified xsi:type="dcterms:W3CDTF">2025-03-14T02:17:55Z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7496E25B1D934B1B9D89E0FE49388AAB_13</vt:lpwstr>
  </property>
  <property fmtid="{D5CDD505-2E9C-101B-9397-08002B2CF9AE}" pid="4" name="KSOTemplateDocerSaveRecord">
    <vt:lpwstr>eyJoZGlkIjoiNGE4MTJiZDA2NGI0NmNlNTRiYzIzNDQwNDU3YzM1MGIiLCJ1c2VySWQiOiI3NDc0NjAzODMifQ==</vt:lpwstr>
  </property>
</Properties>
</file>