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after="0" w:line="440" w:lineRule="exact"/>
        <w:ind w:left="0" w:right="20" w:firstLine="0"/>
        <w:jc w:val="center"/>
        <w:rPr>
          <w:rFonts w:hint="eastAsia" w:ascii="方正小标宋_GBK" w:hAnsi="方正小标宋_GBK" w:eastAsia="方正小标宋_GBK" w:cs="方正小标宋_GBK"/>
          <w:color w:val="000000"/>
          <w:w w:val="100"/>
          <w:position w:val="0"/>
          <w:sz w:val="44"/>
          <w:szCs w:val="44"/>
          <w:lang w:val="zh-TW"/>
        </w:rPr>
      </w:pPr>
      <w:r>
        <w:rPr>
          <w:rFonts w:hint="eastAsia" w:ascii="方正小标宋_GBK" w:hAnsi="方正小标宋_GBK" w:eastAsia="方正小标宋_GBK" w:cs="方正小标宋_GBK"/>
          <w:color w:val="000000"/>
          <w:w w:val="100"/>
          <w:position w:val="0"/>
          <w:sz w:val="44"/>
          <w:szCs w:val="44"/>
          <w:lang w:val="zh-TW" w:eastAsia="zh-CN"/>
        </w:rPr>
        <w:t>石柱县经信委</w:t>
      </w:r>
      <w:r>
        <w:rPr>
          <w:rFonts w:hint="eastAsia" w:ascii="方正小标宋_GBK" w:hAnsi="方正小标宋_GBK" w:eastAsia="方正小标宋_GBK" w:cs="方正小标宋_GBK"/>
          <w:color w:val="000000"/>
          <w:w w:val="100"/>
          <w:position w:val="0"/>
          <w:sz w:val="44"/>
          <w:szCs w:val="44"/>
          <w:lang w:val="zh-TW"/>
        </w:rPr>
        <w:t>行政执法重大执法决定法制</w:t>
      </w:r>
    </w:p>
    <w:p>
      <w:pPr>
        <w:pStyle w:val="6"/>
        <w:keepNext/>
        <w:keepLines/>
        <w:widowControl w:val="0"/>
        <w:shd w:val="clear" w:color="auto" w:fill="auto"/>
        <w:bidi w:val="0"/>
        <w:spacing w:before="0" w:after="0" w:line="440" w:lineRule="exact"/>
        <w:ind w:left="0" w:right="20" w:firstLine="0"/>
        <w:jc w:val="center"/>
        <w:rPr>
          <w:rFonts w:hint="eastAsia" w:ascii="方正小标宋_GBK" w:hAnsi="方正小标宋_GBK" w:eastAsia="方正小标宋_GBK" w:cs="方正小标宋_GBK"/>
          <w:color w:val="000000"/>
          <w:w w:val="100"/>
          <w:position w:val="0"/>
          <w:sz w:val="44"/>
          <w:szCs w:val="44"/>
          <w:lang w:val="zh-TW" w:eastAsia="zh-CN"/>
        </w:rPr>
      </w:pPr>
      <w:r>
        <w:rPr>
          <w:rFonts w:hint="eastAsia" w:ascii="方正小标宋_GBK" w:hAnsi="方正小标宋_GBK" w:eastAsia="方正小标宋_GBK" w:cs="方正小标宋_GBK"/>
          <w:color w:val="000000"/>
          <w:w w:val="100"/>
          <w:position w:val="0"/>
          <w:sz w:val="44"/>
          <w:szCs w:val="44"/>
          <w:lang w:val="zh-TW"/>
        </w:rPr>
        <w:t>审核清单</w:t>
      </w:r>
      <w:r>
        <w:rPr>
          <w:rFonts w:hint="eastAsia" w:ascii="方正小标宋_GBK" w:hAnsi="方正小标宋_GBK" w:eastAsia="方正小标宋_GBK" w:cs="方正小标宋_GBK"/>
          <w:color w:val="000000"/>
          <w:w w:val="100"/>
          <w:position w:val="0"/>
          <w:sz w:val="44"/>
          <w:szCs w:val="44"/>
          <w:lang w:val="zh-TW" w:eastAsia="zh-CN"/>
        </w:rPr>
        <w:t>（部分）</w:t>
      </w:r>
    </w:p>
    <w:tbl>
      <w:tblPr>
        <w:tblStyle w:val="4"/>
        <w:tblW w:w="9173" w:type="dxa"/>
        <w:jc w:val="center"/>
        <w:shd w:val="clear" w:color="auto" w:fill="auto"/>
        <w:tblLayout w:type="fixed"/>
        <w:tblCellMar>
          <w:top w:w="0" w:type="dxa"/>
          <w:left w:w="10" w:type="dxa"/>
          <w:bottom w:w="0" w:type="dxa"/>
          <w:right w:w="10" w:type="dxa"/>
        </w:tblCellMar>
      </w:tblPr>
      <w:tblGrid>
        <w:gridCol w:w="466"/>
        <w:gridCol w:w="1091"/>
        <w:gridCol w:w="7616"/>
      </w:tblGrid>
      <w:tr>
        <w:tblPrEx>
          <w:shd w:val="clear" w:color="auto" w:fill="auto"/>
          <w:tblCellMar>
            <w:top w:w="0" w:type="dxa"/>
            <w:left w:w="10" w:type="dxa"/>
            <w:bottom w:w="0" w:type="dxa"/>
            <w:right w:w="10" w:type="dxa"/>
          </w:tblCellMar>
        </w:tblPrEx>
        <w:trPr>
          <w:trHeight w:val="1119" w:hRule="exact"/>
          <w:jc w:val="center"/>
        </w:trPr>
        <w:tc>
          <w:tcPr>
            <w:tcW w:w="466" w:type="dxa"/>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30" w:lineRule="exact"/>
              <w:ind w:left="160" w:right="0" w:firstLine="0"/>
              <w:jc w:val="left"/>
              <w:rPr>
                <w:rStyle w:val="8"/>
                <w:rFonts w:hint="eastAsia" w:ascii="方正仿宋_GBK" w:hAnsi="方正仿宋_GBK" w:eastAsia="方正仿宋_GBK" w:cs="方正仿宋_GBK"/>
                <w:b/>
                <w:bCs/>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30" w:lineRule="exact"/>
              <w:ind w:left="160" w:right="0" w:firstLine="0"/>
              <w:jc w:val="left"/>
              <w:rPr>
                <w:rFonts w:hint="eastAsia" w:ascii="方正仿宋_GBK" w:hAnsi="方正仿宋_GBK" w:eastAsia="方正仿宋_GBK" w:cs="方正仿宋_GBK"/>
                <w:b/>
                <w:bCs/>
                <w:sz w:val="24"/>
                <w:szCs w:val="24"/>
              </w:rPr>
            </w:pPr>
            <w:r>
              <w:rPr>
                <w:rStyle w:val="8"/>
                <w:rFonts w:hint="eastAsia" w:ascii="方正仿宋_GBK" w:hAnsi="方正仿宋_GBK" w:eastAsia="方正仿宋_GBK" w:cs="方正仿宋_GBK"/>
                <w:b/>
                <w:bCs/>
                <w:i w:val="0"/>
                <w:iCs w:val="0"/>
                <w:smallCaps w:val="0"/>
                <w:strike w:val="0"/>
                <w:sz w:val="24"/>
                <w:szCs w:val="24"/>
              </w:rPr>
              <w:t>序号</w:t>
            </w:r>
          </w:p>
        </w:tc>
        <w:tc>
          <w:tcPr>
            <w:tcW w:w="1091" w:type="dxa"/>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400" w:lineRule="exact"/>
              <w:ind w:left="0" w:right="0" w:firstLine="0"/>
              <w:jc w:val="center"/>
              <w:rPr>
                <w:rFonts w:hint="eastAsia" w:ascii="方正仿宋_GBK" w:hAnsi="方正仿宋_GBK" w:eastAsia="方正仿宋_GBK" w:cs="方正仿宋_GBK"/>
                <w:b/>
                <w:bCs/>
                <w:sz w:val="24"/>
                <w:szCs w:val="24"/>
              </w:rPr>
            </w:pPr>
            <w:r>
              <w:rPr>
                <w:rStyle w:val="8"/>
                <w:rFonts w:hint="eastAsia" w:ascii="方正仿宋_GBK" w:hAnsi="方正仿宋_GBK" w:eastAsia="方正仿宋_GBK" w:cs="方正仿宋_GBK"/>
                <w:b/>
                <w:bCs/>
                <w:i w:val="0"/>
                <w:iCs w:val="0"/>
                <w:smallCaps w:val="0"/>
                <w:strike w:val="0"/>
                <w:sz w:val="24"/>
                <w:szCs w:val="24"/>
              </w:rPr>
              <w:t>重大行政执法决定类别</w:t>
            </w:r>
          </w:p>
        </w:tc>
        <w:tc>
          <w:tcPr>
            <w:tcW w:w="7616" w:type="dxa"/>
            <w:tcBorders>
              <w:top w:val="single" w:color="auto" w:sz="4" w:space="0"/>
              <w:left w:val="single" w:color="auto" w:sz="4" w:space="0"/>
              <w:righ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30" w:lineRule="exact"/>
              <w:ind w:left="0" w:right="0" w:firstLine="0"/>
              <w:jc w:val="center"/>
              <w:rPr>
                <w:rStyle w:val="8"/>
                <w:rFonts w:hint="eastAsia" w:ascii="方正仿宋_GBK" w:hAnsi="方正仿宋_GBK" w:eastAsia="方正仿宋_GBK" w:cs="方正仿宋_GBK"/>
                <w:b/>
                <w:bCs/>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30" w:lineRule="exact"/>
              <w:ind w:left="0" w:right="0" w:firstLine="0"/>
              <w:jc w:val="center"/>
              <w:rPr>
                <w:rFonts w:hint="eastAsia" w:ascii="方正仿宋_GBK" w:hAnsi="方正仿宋_GBK" w:eastAsia="方正仿宋_GBK" w:cs="方正仿宋_GBK"/>
                <w:b/>
                <w:bCs/>
                <w:sz w:val="24"/>
                <w:szCs w:val="24"/>
              </w:rPr>
            </w:pPr>
            <w:r>
              <w:rPr>
                <w:rStyle w:val="8"/>
                <w:rFonts w:hint="eastAsia" w:ascii="方正仿宋_GBK" w:hAnsi="方正仿宋_GBK" w:eastAsia="方正仿宋_GBK" w:cs="方正仿宋_GBK"/>
                <w:b/>
                <w:bCs/>
                <w:i w:val="0"/>
                <w:iCs w:val="0"/>
                <w:smallCaps w:val="0"/>
                <w:strike w:val="0"/>
                <w:sz w:val="24"/>
                <w:szCs w:val="24"/>
              </w:rPr>
              <w:t>重大行政执法决定法制审核事项</w:t>
            </w:r>
          </w:p>
        </w:tc>
      </w:tr>
      <w:tr>
        <w:tblPrEx>
          <w:tblCellMar>
            <w:top w:w="0" w:type="dxa"/>
            <w:left w:w="10" w:type="dxa"/>
            <w:bottom w:w="0" w:type="dxa"/>
            <w:right w:w="10" w:type="dxa"/>
          </w:tblCellMar>
        </w:tblPrEx>
        <w:trPr>
          <w:trHeight w:val="412" w:hRule="exact"/>
          <w:jc w:val="center"/>
        </w:trPr>
        <w:tc>
          <w:tcPr>
            <w:tcW w:w="466" w:type="dxa"/>
            <w:vMerge w:val="restart"/>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center"/>
              <w:rPr>
                <w:rStyle w:val="10"/>
                <w:rFonts w:hint="eastAsia" w:ascii="方正仿宋_GBK" w:hAnsi="方正仿宋_GBK" w:eastAsia="方正仿宋_GBK" w:cs="方正仿宋_GBK"/>
                <w:b w:val="0"/>
                <w:bCs w:val="0"/>
                <w:i w:val="0"/>
                <w:iCs w:val="0"/>
                <w:smallCaps w:val="0"/>
                <w:strike w:val="0"/>
                <w:color w:val="auto"/>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240" w:firstLineChars="100"/>
              <w:jc w:val="both"/>
              <w:rPr>
                <w:rStyle w:val="10"/>
                <w:rFonts w:hint="eastAsia" w:ascii="方正仿宋_GBK" w:hAnsi="方正仿宋_GBK" w:eastAsia="方正仿宋_GBK" w:cs="方正仿宋_GBK"/>
                <w:b w:val="0"/>
                <w:bCs w:val="0"/>
                <w:i w:val="0"/>
                <w:iCs w:val="0"/>
                <w:smallCaps w:val="0"/>
                <w:strike w:val="0"/>
                <w:color w:val="auto"/>
                <w:sz w:val="24"/>
                <w:szCs w:val="24"/>
                <w:lang w:val="zh-TW"/>
              </w:rPr>
            </w:pPr>
            <w:r>
              <w:rPr>
                <w:rStyle w:val="10"/>
                <w:rFonts w:hint="eastAsia" w:ascii="方正仿宋_GBK" w:hAnsi="方正仿宋_GBK" w:eastAsia="方正仿宋_GBK" w:cs="方正仿宋_GBK"/>
                <w:b w:val="0"/>
                <w:bCs w:val="0"/>
                <w:i w:val="0"/>
                <w:iCs w:val="0"/>
                <w:smallCaps w:val="0"/>
                <w:strike w:val="0"/>
                <w:color w:val="auto"/>
                <w:sz w:val="24"/>
                <w:szCs w:val="24"/>
                <w:lang w:val="zh-TW"/>
              </w:rPr>
              <w:t>1</w:t>
            </w: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sz w:val="24"/>
                <w:szCs w:val="24"/>
                <w:lang w:val="zh-TW"/>
              </w:rPr>
            </w:pPr>
          </w:p>
          <w:p>
            <w:pPr>
              <w:pStyle w:val="7"/>
              <w:keepNext w:val="0"/>
              <w:keepLines w:val="0"/>
              <w:framePr w:w="9173" w:wrap="notBeside" w:vAnchor="text" w:hAnchor="text" w:xAlign="center" w:y="1"/>
              <w:widowControl w:val="0"/>
              <w:shd w:val="clear" w:color="auto" w:fill="auto"/>
              <w:tabs>
                <w:tab w:val="left" w:pos="497"/>
              </w:tabs>
              <w:bidi w:val="0"/>
              <w:spacing w:before="0" w:after="0" w:line="250" w:lineRule="exact"/>
              <w:ind w:right="0" w:firstLine="300" w:firstLineChars="100"/>
              <w:jc w:val="both"/>
              <w:rPr>
                <w:rFonts w:hint="eastAsia" w:ascii="方正仿宋_GBK" w:hAnsi="方正仿宋_GBK" w:eastAsia="方正仿宋_GBK" w:cs="方正仿宋_GBK"/>
                <w:sz w:val="24"/>
                <w:szCs w:val="24"/>
                <w:lang w:eastAsia="zh-CN"/>
              </w:rPr>
            </w:pPr>
          </w:p>
        </w:tc>
        <w:tc>
          <w:tcPr>
            <w:tcW w:w="1091" w:type="dxa"/>
            <w:vMerge w:val="restart"/>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240" w:firstLineChars="100"/>
              <w:jc w:val="center"/>
              <w:rPr>
                <w:rStyle w:val="11"/>
                <w:rFonts w:hint="eastAsia" w:ascii="方正仿宋_GBK" w:hAnsi="方正仿宋_GBK" w:eastAsia="方正仿宋_GBK" w:cs="方正仿宋_GBK"/>
                <w:b w:val="0"/>
                <w:bCs w:val="0"/>
                <w:i w:val="0"/>
                <w:iCs w:val="0"/>
                <w:smallCaps w:val="0"/>
                <w:strike w:val="0"/>
                <w:color w:val="auto"/>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right="0"/>
              <w:jc w:val="both"/>
              <w:rPr>
                <w:rStyle w:val="11"/>
                <w:rFonts w:hint="eastAsia" w:ascii="方正仿宋_GBK" w:hAnsi="方正仿宋_GBK" w:eastAsia="方正仿宋_GBK" w:cs="方正仿宋_GBK"/>
                <w:b w:val="0"/>
                <w:bCs w:val="0"/>
                <w:i w:val="0"/>
                <w:iCs w:val="0"/>
                <w:smallCaps w:val="0"/>
                <w:strike w:val="0"/>
                <w:color w:val="auto"/>
                <w:sz w:val="24"/>
                <w:szCs w:val="24"/>
              </w:rPr>
            </w:pPr>
            <w:r>
              <w:rPr>
                <w:rStyle w:val="11"/>
                <w:rFonts w:hint="eastAsia" w:ascii="方正仿宋_GBK" w:hAnsi="方正仿宋_GBK" w:eastAsia="方正仿宋_GBK" w:cs="方正仿宋_GBK"/>
                <w:b w:val="0"/>
                <w:bCs w:val="0"/>
                <w:i w:val="0"/>
                <w:iCs w:val="0"/>
                <w:smallCaps w:val="0"/>
                <w:strike w:val="0"/>
                <w:color w:val="auto"/>
                <w:sz w:val="24"/>
                <w:szCs w:val="24"/>
              </w:rPr>
              <w:t>行政处罚</w:t>
            </w: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both"/>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两次及以上拆除、损毁电力设施安全警示标识的</w:t>
            </w:r>
          </w:p>
        </w:tc>
      </w:tr>
      <w:tr>
        <w:tblPrEx>
          <w:tblCellMar>
            <w:top w:w="0" w:type="dxa"/>
            <w:left w:w="10" w:type="dxa"/>
            <w:bottom w:w="0" w:type="dxa"/>
            <w:right w:w="10" w:type="dxa"/>
          </w:tblCellMar>
        </w:tblPrEx>
        <w:trPr>
          <w:trHeight w:val="475"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auto"/>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auto"/>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val="en-US" w:eastAsia="zh-CN"/>
              </w:rPr>
              <w:t>未取得燃气经营许可从事燃气经营活动的行为</w:t>
            </w:r>
          </w:p>
        </w:tc>
      </w:tr>
      <w:tr>
        <w:tblPrEx>
          <w:tblCellMar>
            <w:top w:w="0" w:type="dxa"/>
            <w:left w:w="10" w:type="dxa"/>
            <w:bottom w:w="0" w:type="dxa"/>
            <w:right w:w="10" w:type="dxa"/>
          </w:tblCellMar>
        </w:tblPrEx>
        <w:trPr>
          <w:trHeight w:val="653"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auto"/>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auto"/>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燃气经营者不按照燃气经营许可证的规定从事燃气经营活动的行为。</w:t>
            </w:r>
          </w:p>
        </w:tc>
      </w:tr>
      <w:tr>
        <w:tblPrEx>
          <w:tblCellMar>
            <w:top w:w="0" w:type="dxa"/>
            <w:left w:w="10" w:type="dxa"/>
            <w:bottom w:w="0" w:type="dxa"/>
            <w:right w:w="10" w:type="dxa"/>
          </w:tblCellMar>
        </w:tblPrEx>
        <w:trPr>
          <w:trHeight w:val="748"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拒绝向市政燃气管网覆盖范围内符合用气条件的单位或者个人供气的行为。</w:t>
            </w:r>
          </w:p>
        </w:tc>
      </w:tr>
      <w:tr>
        <w:tblPrEx>
          <w:tblCellMar>
            <w:top w:w="0" w:type="dxa"/>
            <w:left w:w="10" w:type="dxa"/>
            <w:bottom w:w="0" w:type="dxa"/>
            <w:right w:w="10" w:type="dxa"/>
          </w:tblCellMar>
        </w:tblPrEx>
        <w:trPr>
          <w:trHeight w:val="585"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倒卖、抵押、出租、出借、转让、涂改燃气经营许可证的行为。</w:t>
            </w:r>
          </w:p>
        </w:tc>
      </w:tr>
      <w:tr>
        <w:tblPrEx>
          <w:tblCellMar>
            <w:top w:w="0" w:type="dxa"/>
            <w:left w:w="10" w:type="dxa"/>
            <w:bottom w:w="0" w:type="dxa"/>
            <w:right w:w="10" w:type="dxa"/>
          </w:tblCellMar>
        </w:tblPrEx>
        <w:trPr>
          <w:trHeight w:val="721"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未履行必要告知义务擅自停止供气、调整供气量，或者未经审批擅自停业或者歇业的行为</w:t>
            </w:r>
          </w:p>
        </w:tc>
      </w:tr>
      <w:tr>
        <w:tblPrEx>
          <w:tblCellMar>
            <w:top w:w="0" w:type="dxa"/>
            <w:left w:w="10" w:type="dxa"/>
            <w:bottom w:w="0" w:type="dxa"/>
            <w:right w:w="10" w:type="dxa"/>
          </w:tblCellMar>
        </w:tblPrEx>
        <w:trPr>
          <w:trHeight w:val="622" w:hRule="exact"/>
          <w:jc w:val="center"/>
        </w:trPr>
        <w:tc>
          <w:tcPr>
            <w:tcW w:w="466"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1091" w:type="dxa"/>
            <w:vMerge w:val="continue"/>
            <w:tcBorders>
              <w:left w:val="single" w:color="auto" w:sz="4" w:space="0"/>
            </w:tcBorders>
            <w:shd w:val="clear" w:color="auto" w:fill="auto"/>
            <w:vAlign w:val="top"/>
          </w:tcPr>
          <w:p>
            <w:pPr>
              <w:framePr w:w="9173" w:wrap="notBeside" w:vAnchor="text" w:hAnchor="text" w:xAlign="center" w:y="1"/>
              <w:jc w:val="center"/>
              <w:rPr>
                <w:rFonts w:hint="eastAsia" w:ascii="方正仿宋_GBK" w:hAnsi="方正仿宋_GBK" w:eastAsia="方正仿宋_GBK" w:cs="方正仿宋_GBK"/>
                <w:color w:val="0000FF"/>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lang w:eastAsia="zh-CN"/>
              </w:rPr>
            </w:pPr>
            <w:r>
              <w:rPr>
                <w:rStyle w:val="12"/>
                <w:rFonts w:hint="eastAsia" w:ascii="方正仿宋_GBK" w:hAnsi="方正仿宋_GBK" w:eastAsia="方正仿宋_GBK" w:cs="方正仿宋_GBK"/>
                <w:b w:val="0"/>
                <w:bCs w:val="0"/>
                <w:i w:val="0"/>
                <w:iCs w:val="0"/>
                <w:smallCaps w:val="0"/>
                <w:strike w:val="0"/>
                <w:sz w:val="24"/>
                <w:szCs w:val="24"/>
                <w:lang w:eastAsia="zh-CN"/>
              </w:rPr>
              <w:t>向未取得燃气经营许可证的单位或者个人提供用于经营的燃气的行为。</w:t>
            </w:r>
          </w:p>
        </w:tc>
      </w:tr>
      <w:tr>
        <w:tblPrEx>
          <w:tblCellMar>
            <w:top w:w="0" w:type="dxa"/>
            <w:left w:w="10" w:type="dxa"/>
            <w:bottom w:w="0" w:type="dxa"/>
            <w:right w:w="10" w:type="dxa"/>
          </w:tblCellMar>
        </w:tblPrEx>
        <w:trPr>
          <w:trHeight w:val="527" w:hRule="exact"/>
          <w:jc w:val="center"/>
        </w:trPr>
        <w:tc>
          <w:tcPr>
            <w:tcW w:w="466"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right="0"/>
              <w:jc w:val="both"/>
              <w:rPr>
                <w:rFonts w:hint="eastAsia" w:ascii="方正仿宋_GBK" w:hAnsi="方正仿宋_GBK" w:eastAsia="方正仿宋_GBK" w:cs="方正仿宋_GBK"/>
                <w:sz w:val="24"/>
                <w:szCs w:val="24"/>
              </w:rPr>
            </w:pPr>
          </w:p>
        </w:tc>
        <w:tc>
          <w:tcPr>
            <w:tcW w:w="1091"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both"/>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rPr>
            </w:pPr>
            <w:r>
              <w:rPr>
                <w:rStyle w:val="12"/>
                <w:rFonts w:hint="eastAsia" w:ascii="方正仿宋_GBK" w:hAnsi="方正仿宋_GBK" w:eastAsia="方正仿宋_GBK" w:cs="方正仿宋_GBK"/>
                <w:b w:val="0"/>
                <w:bCs w:val="0"/>
                <w:i w:val="0"/>
                <w:iCs w:val="0"/>
                <w:smallCaps w:val="0"/>
                <w:strike w:val="0"/>
                <w:sz w:val="24"/>
                <w:szCs w:val="24"/>
                <w:lang w:eastAsia="zh-CN"/>
              </w:rPr>
              <w:t>未经许可生产、销售民用爆炸物品的行为</w:t>
            </w:r>
          </w:p>
        </w:tc>
      </w:tr>
      <w:tr>
        <w:tblPrEx>
          <w:tblCellMar>
            <w:top w:w="0" w:type="dxa"/>
            <w:left w:w="10" w:type="dxa"/>
            <w:bottom w:w="0" w:type="dxa"/>
            <w:right w:w="10" w:type="dxa"/>
          </w:tblCellMar>
        </w:tblPrEx>
        <w:trPr>
          <w:trHeight w:val="718" w:hRule="exact"/>
          <w:jc w:val="center"/>
        </w:trPr>
        <w:tc>
          <w:tcPr>
            <w:tcW w:w="466"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right="0" w:firstLine="300" w:firstLineChars="100"/>
              <w:jc w:val="both"/>
              <w:rPr>
                <w:rFonts w:hint="eastAsia" w:ascii="方正仿宋_GBK" w:hAnsi="方正仿宋_GBK" w:eastAsia="方正仿宋_GBK" w:cs="方正仿宋_GBK"/>
                <w:sz w:val="24"/>
                <w:szCs w:val="24"/>
              </w:rPr>
            </w:pPr>
          </w:p>
        </w:tc>
        <w:tc>
          <w:tcPr>
            <w:tcW w:w="1091"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both"/>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left"/>
              <w:rPr>
                <w:rStyle w:val="12"/>
                <w:rFonts w:hint="eastAsia" w:ascii="方正仿宋_GBK" w:hAnsi="方正仿宋_GBK" w:eastAsia="方正仿宋_GBK" w:cs="方正仿宋_GBK"/>
                <w:b w:val="0"/>
                <w:bCs w:val="0"/>
                <w:i w:val="0"/>
                <w:iCs w:val="0"/>
                <w:smallCaps w:val="0"/>
                <w:strike w:val="0"/>
                <w:sz w:val="24"/>
                <w:szCs w:val="24"/>
              </w:rPr>
            </w:pPr>
            <w:r>
              <w:rPr>
                <w:rStyle w:val="12"/>
                <w:rFonts w:hint="eastAsia" w:ascii="方正仿宋_GBK" w:hAnsi="方正仿宋_GBK" w:eastAsia="方正仿宋_GBK" w:cs="方正仿宋_GBK"/>
                <w:b w:val="0"/>
                <w:bCs w:val="0"/>
                <w:i w:val="0"/>
                <w:iCs w:val="0"/>
                <w:smallCaps w:val="0"/>
                <w:strike w:val="0"/>
                <w:sz w:val="24"/>
                <w:szCs w:val="24"/>
                <w:lang w:eastAsia="zh-CN"/>
              </w:rPr>
              <w:t>生产、销售民用爆炸物品的企业民用爆炸物品的质量不符合相关标准的行为</w:t>
            </w:r>
          </w:p>
        </w:tc>
      </w:tr>
      <w:tr>
        <w:tblPrEx>
          <w:tblCellMar>
            <w:top w:w="0" w:type="dxa"/>
            <w:left w:w="10" w:type="dxa"/>
            <w:bottom w:w="0" w:type="dxa"/>
            <w:right w:w="10" w:type="dxa"/>
          </w:tblCellMar>
        </w:tblPrEx>
        <w:trPr>
          <w:trHeight w:val="1164" w:hRule="exact"/>
          <w:jc w:val="center"/>
        </w:trPr>
        <w:tc>
          <w:tcPr>
            <w:tcW w:w="466" w:type="dxa"/>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300" w:firstLineChars="1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091" w:type="dxa"/>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1"/>
                <w:rFonts w:hint="eastAsia" w:ascii="方正仿宋_GBK" w:hAnsi="方正仿宋_GBK" w:eastAsia="方正仿宋_GBK" w:cs="方正仿宋_GBK"/>
                <w:b w:val="0"/>
                <w:bCs w:val="0"/>
                <w:i w:val="0"/>
                <w:iCs w:val="0"/>
                <w:smallCaps w:val="0"/>
                <w:strike w:val="0"/>
                <w:sz w:val="24"/>
                <w:szCs w:val="24"/>
                <w:lang w:eastAsia="zh-CN"/>
              </w:rPr>
            </w:pPr>
            <w:r>
              <w:rPr>
                <w:rStyle w:val="11"/>
                <w:rFonts w:hint="eastAsia" w:ascii="方正仿宋_GBK" w:hAnsi="方正仿宋_GBK" w:eastAsia="方正仿宋_GBK" w:cs="方正仿宋_GBK"/>
                <w:b w:val="0"/>
                <w:bCs w:val="0"/>
                <w:i w:val="0"/>
                <w:iCs w:val="0"/>
                <w:smallCaps w:val="0"/>
                <w:strike w:val="0"/>
                <w:sz w:val="24"/>
                <w:szCs w:val="24"/>
              </w:rPr>
              <w:t>行政</w:t>
            </w:r>
            <w:r>
              <w:rPr>
                <w:rStyle w:val="11"/>
                <w:rFonts w:hint="eastAsia" w:ascii="方正仿宋_GBK" w:hAnsi="方正仿宋_GBK" w:eastAsia="方正仿宋_GBK" w:cs="方正仿宋_GBK"/>
                <w:b w:val="0"/>
                <w:bCs w:val="0"/>
                <w:i w:val="0"/>
                <w:iCs w:val="0"/>
                <w:smallCaps w:val="0"/>
                <w:strike w:val="0"/>
                <w:sz w:val="24"/>
                <w:szCs w:val="24"/>
                <w:lang w:eastAsia="zh-CN"/>
              </w:rPr>
              <w:t>强制</w:t>
            </w: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bottom"/>
          </w:tcPr>
          <w:p>
            <w:pPr>
              <w:keepNext w:val="0"/>
              <w:keepLines w:val="0"/>
              <w:framePr w:w="9173" w:wrap="notBeside" w:vAnchor="text" w:hAnchor="text" w:xAlign="center" w:y="1"/>
              <w:widowControl/>
              <w:suppressLineNumbers w:val="0"/>
              <w:jc w:val="left"/>
              <w:textAlignment w:val="bottom"/>
              <w:rPr>
                <w:rStyle w:val="12"/>
                <w:rFonts w:hint="eastAsia" w:ascii="方正仿宋_GBK" w:hAnsi="方正仿宋_GBK" w:eastAsia="方正仿宋_GBK" w:cs="方正仿宋_GBK"/>
                <w:b w:val="0"/>
                <w:bCs w:val="0"/>
                <w:i w:val="0"/>
                <w:iCs w:val="0"/>
                <w:smallCaps w:val="0"/>
                <w:strike w:val="0"/>
                <w:kern w:val="2"/>
                <w:sz w:val="24"/>
                <w:szCs w:val="24"/>
                <w:u w:val="none"/>
                <w:lang w:val="en-US" w:eastAsia="zh-CN" w:bidi="ar-SA"/>
              </w:rPr>
            </w:pPr>
            <w:r>
              <w:rPr>
                <w:rStyle w:val="12"/>
                <w:rFonts w:hint="default" w:ascii="方正仿宋_GBK" w:hAnsi="方正仿宋_GBK" w:eastAsia="方正仿宋_GBK" w:cs="方正仿宋_GBK"/>
                <w:b w:val="0"/>
                <w:bCs w:val="0"/>
                <w:i w:val="0"/>
                <w:iCs w:val="0"/>
                <w:smallCaps w:val="0"/>
                <w:strike w:val="0"/>
                <w:kern w:val="2"/>
                <w:sz w:val="24"/>
                <w:szCs w:val="24"/>
                <w:u w:val="none"/>
                <w:lang w:val="en-US" w:eastAsia="zh-CN" w:bidi="ar-SA"/>
              </w:rPr>
              <w:t>对未经批准或者未采取安全措施在电力设施周围或者在依法划定的电力设施保护区内进行作业，危及电力设施安全的强制</w:t>
            </w:r>
          </w:p>
        </w:tc>
      </w:tr>
      <w:tr>
        <w:tblPrEx>
          <w:shd w:val="clear" w:color="auto" w:fill="auto"/>
          <w:tblCellMar>
            <w:top w:w="0" w:type="dxa"/>
            <w:left w:w="10" w:type="dxa"/>
            <w:bottom w:w="0" w:type="dxa"/>
            <w:right w:w="10" w:type="dxa"/>
          </w:tblCellMar>
        </w:tblPrEx>
        <w:trPr>
          <w:trHeight w:val="1055" w:hRule="exact"/>
          <w:jc w:val="center"/>
        </w:trPr>
        <w:tc>
          <w:tcPr>
            <w:tcW w:w="466" w:type="dxa"/>
            <w:vMerge w:val="restart"/>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Style w:val="10"/>
                <w:rFonts w:hint="eastAsia" w:ascii="方正仿宋_GBK" w:hAnsi="方正仿宋_GBK" w:eastAsia="方正仿宋_GBK" w:cs="方正仿宋_GBK"/>
                <w:b w:val="0"/>
                <w:bCs w:val="0"/>
                <w:i w:val="0"/>
                <w:iCs w:val="0"/>
                <w:smallCaps w:val="0"/>
                <w:strike w:val="0"/>
                <w:sz w:val="24"/>
                <w:szCs w:val="24"/>
                <w:lang w:val="zh-TW"/>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300" w:firstLineChars="100"/>
              <w:jc w:val="both"/>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300" w:firstLineChars="100"/>
              <w:jc w:val="both"/>
              <w:rPr>
                <w:rFonts w:hint="eastAsia" w:ascii="方正仿宋_GBK" w:hAnsi="方正仿宋_GBK" w:eastAsia="方正仿宋_GBK" w:cs="方正仿宋_GBK"/>
                <w:sz w:val="24"/>
                <w:szCs w:val="24"/>
                <w:lang w:val="en-US" w:eastAsia="zh-CN"/>
              </w:rPr>
            </w:pPr>
          </w:p>
          <w:p>
            <w:pPr>
              <w:pStyle w:val="7"/>
              <w:keepNext w:val="0"/>
              <w:keepLines w:val="0"/>
              <w:framePr w:w="9173" w:wrap="notBeside" w:vAnchor="text" w:hAnchor="text" w:xAlign="center" w:y="1"/>
              <w:widowControl w:val="0"/>
              <w:shd w:val="clear" w:color="auto" w:fill="auto"/>
              <w:bidi w:val="0"/>
              <w:spacing w:before="0" w:after="0" w:line="250" w:lineRule="exact"/>
              <w:ind w:right="0" w:firstLine="300" w:firstLineChars="1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091" w:type="dxa"/>
            <w:vMerge w:val="restart"/>
            <w:tcBorders>
              <w:top w:val="single" w:color="auto" w:sz="4" w:space="0"/>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2"/>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行政检查</w:t>
            </w:r>
          </w:p>
        </w:tc>
        <w:tc>
          <w:tcPr>
            <w:tcW w:w="7616" w:type="dxa"/>
            <w:tcBorders>
              <w:top w:val="single" w:color="auto" w:sz="4" w:space="0"/>
              <w:left w:val="single" w:color="auto" w:sz="4" w:space="0"/>
              <w:right w:val="single" w:color="auto" w:sz="4" w:space="0"/>
            </w:tcBorders>
            <w:shd w:val="clear" w:color="auto" w:fill="auto"/>
            <w:vAlign w:val="bottom"/>
          </w:tcPr>
          <w:p>
            <w:pPr>
              <w:keepNext w:val="0"/>
              <w:keepLines w:val="0"/>
              <w:framePr w:w="9173" w:wrap="notBeside" w:vAnchor="text" w:hAnchor="text" w:xAlign="center" w:y="1"/>
              <w:widowControl/>
              <w:suppressLineNumbers w:val="0"/>
              <w:jc w:val="left"/>
              <w:textAlignment w:val="bottom"/>
              <w:rPr>
                <w:rStyle w:val="12"/>
                <w:rFonts w:hint="eastAsia" w:ascii="方正仿宋_GBK" w:hAnsi="方正仿宋_GBK" w:eastAsia="方正仿宋_GBK" w:cs="方正仿宋_GBK"/>
                <w:b w:val="0"/>
                <w:bCs w:val="0"/>
                <w:i w:val="0"/>
                <w:iCs w:val="0"/>
                <w:smallCaps w:val="0"/>
                <w:strike w:val="0"/>
                <w:kern w:val="2"/>
                <w:sz w:val="24"/>
                <w:szCs w:val="24"/>
                <w:u w:val="none"/>
                <w:lang w:val="en-US" w:eastAsia="zh-CN" w:bidi="ar-SA"/>
              </w:rPr>
            </w:pPr>
            <w:r>
              <w:rPr>
                <w:rStyle w:val="12"/>
                <w:rFonts w:hint="default" w:ascii="方正仿宋_GBK" w:hAnsi="方正仿宋_GBK" w:eastAsia="方正仿宋_GBK" w:cs="方正仿宋_GBK"/>
                <w:b w:val="0"/>
                <w:bCs w:val="0"/>
                <w:i w:val="0"/>
                <w:iCs w:val="0"/>
                <w:smallCaps w:val="0"/>
                <w:strike w:val="0"/>
                <w:kern w:val="2"/>
                <w:sz w:val="24"/>
                <w:szCs w:val="24"/>
                <w:u w:val="none"/>
                <w:lang w:val="en-US" w:eastAsia="zh-CN" w:bidi="ar-SA"/>
              </w:rPr>
              <w:t>对民用爆炸物品生产、销售企业执行相关法律法规规章及有关规定的监督检查、安全监督管理</w:t>
            </w:r>
          </w:p>
        </w:tc>
      </w:tr>
      <w:tr>
        <w:tblPrEx>
          <w:shd w:val="clear" w:color="auto" w:fill="auto"/>
          <w:tblCellMar>
            <w:top w:w="0" w:type="dxa"/>
            <w:left w:w="10" w:type="dxa"/>
            <w:bottom w:w="0" w:type="dxa"/>
            <w:right w:w="10" w:type="dxa"/>
          </w:tblCellMar>
        </w:tblPrEx>
        <w:trPr>
          <w:trHeight w:val="609" w:hRule="exact"/>
          <w:jc w:val="center"/>
        </w:trPr>
        <w:tc>
          <w:tcPr>
            <w:tcW w:w="466"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rPr>
            </w:pPr>
          </w:p>
        </w:tc>
        <w:tc>
          <w:tcPr>
            <w:tcW w:w="1091"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bottom"/>
          </w:tcPr>
          <w:p>
            <w:pPr>
              <w:keepNext w:val="0"/>
              <w:keepLines w:val="0"/>
              <w:framePr w:w="9173" w:wrap="notBeside" w:vAnchor="text" w:hAnchor="text" w:xAlign="center" w:y="1"/>
              <w:widowControl/>
              <w:suppressLineNumbers w:val="0"/>
              <w:jc w:val="left"/>
              <w:textAlignment w:val="bottom"/>
              <w:rPr>
                <w:rStyle w:val="12"/>
                <w:rFonts w:hint="eastAsia" w:ascii="方正仿宋_GBK" w:hAnsi="方正仿宋_GBK" w:eastAsia="方正仿宋_GBK" w:cs="方正仿宋_GBK"/>
                <w:b w:val="0"/>
                <w:bCs w:val="0"/>
                <w:i w:val="0"/>
                <w:iCs w:val="0"/>
                <w:smallCaps w:val="0"/>
                <w:strike w:val="0"/>
                <w:kern w:val="2"/>
                <w:sz w:val="24"/>
                <w:szCs w:val="24"/>
                <w:u w:val="none"/>
                <w:lang w:val="en-US" w:eastAsia="zh-CN" w:bidi="ar-SA"/>
              </w:rPr>
            </w:pPr>
            <w:r>
              <w:rPr>
                <w:rStyle w:val="12"/>
                <w:rFonts w:hint="default" w:ascii="方正仿宋_GBK" w:hAnsi="方正仿宋_GBK" w:eastAsia="方正仿宋_GBK" w:cs="方正仿宋_GBK"/>
                <w:b w:val="0"/>
                <w:bCs w:val="0"/>
                <w:i w:val="0"/>
                <w:iCs w:val="0"/>
                <w:smallCaps w:val="0"/>
                <w:strike w:val="0"/>
                <w:kern w:val="2"/>
                <w:sz w:val="24"/>
                <w:szCs w:val="24"/>
                <w:u w:val="none"/>
                <w:lang w:val="en-US" w:eastAsia="zh-CN" w:bidi="ar-SA"/>
              </w:rPr>
              <w:t>对电力企业和用户执行电力法律、行政法规的情况的监督检查</w:t>
            </w:r>
          </w:p>
        </w:tc>
      </w:tr>
      <w:tr>
        <w:tblPrEx>
          <w:shd w:val="clear" w:color="auto" w:fill="auto"/>
          <w:tblCellMar>
            <w:top w:w="0" w:type="dxa"/>
            <w:left w:w="10" w:type="dxa"/>
            <w:bottom w:w="0" w:type="dxa"/>
            <w:right w:w="10" w:type="dxa"/>
          </w:tblCellMar>
        </w:tblPrEx>
        <w:trPr>
          <w:trHeight w:val="691" w:hRule="exact"/>
          <w:jc w:val="center"/>
        </w:trPr>
        <w:tc>
          <w:tcPr>
            <w:tcW w:w="466"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rPr>
            </w:pPr>
          </w:p>
        </w:tc>
        <w:tc>
          <w:tcPr>
            <w:tcW w:w="1091"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center"/>
          </w:tcPr>
          <w:p>
            <w:pPr>
              <w:keepNext w:val="0"/>
              <w:keepLines w:val="0"/>
              <w:framePr w:w="9173" w:wrap="notBeside" w:vAnchor="text" w:hAnchor="text" w:xAlign="center" w:y="1"/>
              <w:widowControl/>
              <w:suppressLineNumbers w:val="0"/>
              <w:jc w:val="left"/>
              <w:textAlignment w:val="bottom"/>
              <w:rPr>
                <w:rStyle w:val="12"/>
                <w:rFonts w:hint="eastAsia" w:ascii="方正仿宋_GBK" w:hAnsi="方正仿宋_GBK" w:eastAsia="方正仿宋_GBK" w:cs="方正仿宋_GBK"/>
                <w:b w:val="0"/>
                <w:bCs w:val="0"/>
                <w:i w:val="0"/>
                <w:iCs w:val="0"/>
                <w:smallCaps w:val="0"/>
                <w:strike w:val="0"/>
                <w:kern w:val="2"/>
                <w:sz w:val="24"/>
                <w:szCs w:val="24"/>
                <w:u w:val="none"/>
                <w:lang w:val="en-US" w:eastAsia="zh-CN" w:bidi="ar-SA"/>
              </w:rPr>
            </w:pPr>
            <w:r>
              <w:rPr>
                <w:rStyle w:val="12"/>
                <w:rFonts w:hint="default" w:ascii="方正仿宋_GBK" w:hAnsi="方正仿宋_GBK" w:eastAsia="方正仿宋_GBK" w:cs="方正仿宋_GBK"/>
                <w:b w:val="0"/>
                <w:bCs w:val="0"/>
                <w:i w:val="0"/>
                <w:iCs w:val="0"/>
                <w:smallCaps w:val="0"/>
                <w:strike w:val="0"/>
                <w:kern w:val="2"/>
                <w:sz w:val="24"/>
                <w:szCs w:val="24"/>
                <w:u w:val="none"/>
                <w:lang w:val="en-US" w:eastAsia="zh-CN" w:bidi="ar-SA"/>
              </w:rPr>
              <w:t>对燃气经营企业执行相关法律法规规章及有关规定的监督检查、安全检查</w:t>
            </w:r>
          </w:p>
        </w:tc>
      </w:tr>
      <w:tr>
        <w:tblPrEx>
          <w:shd w:val="clear" w:color="auto" w:fill="auto"/>
          <w:tblCellMar>
            <w:top w:w="0" w:type="dxa"/>
            <w:left w:w="10" w:type="dxa"/>
            <w:bottom w:w="0" w:type="dxa"/>
            <w:right w:w="10" w:type="dxa"/>
          </w:tblCellMar>
        </w:tblPrEx>
        <w:trPr>
          <w:trHeight w:val="1154" w:hRule="exact"/>
          <w:jc w:val="center"/>
        </w:trPr>
        <w:tc>
          <w:tcPr>
            <w:tcW w:w="466"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rPr>
            </w:pPr>
          </w:p>
        </w:tc>
        <w:tc>
          <w:tcPr>
            <w:tcW w:w="1091" w:type="dxa"/>
            <w:vMerge w:val="continue"/>
            <w:tcBorders>
              <w:lef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rPr>
            </w:pPr>
          </w:p>
        </w:tc>
        <w:tc>
          <w:tcPr>
            <w:tcW w:w="7616" w:type="dxa"/>
            <w:tcBorders>
              <w:top w:val="single" w:color="auto" w:sz="4" w:space="0"/>
              <w:left w:val="single" w:color="auto" w:sz="4" w:space="0"/>
              <w:right w:val="single" w:color="auto" w:sz="4" w:space="0"/>
            </w:tcBorders>
            <w:shd w:val="clear" w:color="auto" w:fill="auto"/>
            <w:vAlign w:val="bottom"/>
          </w:tcPr>
          <w:p>
            <w:pPr>
              <w:keepNext w:val="0"/>
              <w:keepLines w:val="0"/>
              <w:framePr w:w="9173" w:wrap="notBeside" w:vAnchor="text" w:hAnchor="text" w:xAlign="center" w:y="1"/>
              <w:widowControl/>
              <w:suppressLineNumbers w:val="0"/>
              <w:jc w:val="left"/>
              <w:textAlignment w:val="bottom"/>
              <w:rPr>
                <w:rStyle w:val="12"/>
                <w:rFonts w:hint="eastAsia" w:ascii="方正仿宋_GBK" w:hAnsi="方正仿宋_GBK" w:eastAsia="方正仿宋_GBK" w:cs="方正仿宋_GBK"/>
                <w:b w:val="0"/>
                <w:bCs w:val="0"/>
                <w:i w:val="0"/>
                <w:iCs w:val="0"/>
                <w:smallCaps w:val="0"/>
                <w:strike w:val="0"/>
                <w:kern w:val="2"/>
                <w:sz w:val="24"/>
                <w:szCs w:val="24"/>
                <w:u w:val="none"/>
                <w:lang w:val="en-US" w:eastAsia="zh-CN" w:bidi="ar-SA"/>
              </w:rPr>
            </w:pPr>
            <w:r>
              <w:rPr>
                <w:rStyle w:val="12"/>
                <w:rFonts w:hint="default" w:ascii="方正仿宋_GBK" w:hAnsi="方正仿宋_GBK" w:eastAsia="方正仿宋_GBK" w:cs="方正仿宋_GBK"/>
                <w:b w:val="0"/>
                <w:bCs w:val="0"/>
                <w:i w:val="0"/>
                <w:iCs w:val="0"/>
                <w:smallCaps w:val="0"/>
                <w:strike w:val="0"/>
                <w:kern w:val="2"/>
                <w:sz w:val="24"/>
                <w:szCs w:val="24"/>
                <w:u w:val="none"/>
                <w:lang w:val="en-US" w:eastAsia="zh-CN" w:bidi="ar-SA"/>
              </w:rPr>
              <w:t>对工业企业节能法律、法规和节能标准执行情况的监督检查及违法行为查处</w:t>
            </w:r>
          </w:p>
        </w:tc>
      </w:tr>
      <w:tr>
        <w:tblPrEx>
          <w:shd w:val="clear" w:color="auto" w:fill="auto"/>
          <w:tblCellMar>
            <w:top w:w="0" w:type="dxa"/>
            <w:left w:w="10" w:type="dxa"/>
            <w:bottom w:w="0" w:type="dxa"/>
            <w:right w:w="10" w:type="dxa"/>
          </w:tblCellMar>
        </w:tblPrEx>
        <w:trPr>
          <w:trHeight w:val="637" w:hRule="exact"/>
          <w:jc w:val="center"/>
        </w:trPr>
        <w:tc>
          <w:tcPr>
            <w:tcW w:w="466" w:type="dxa"/>
            <w:tcBorders>
              <w:top w:val="single" w:color="auto" w:sz="4" w:space="0"/>
              <w:left w:val="single" w:color="auto" w:sz="4" w:space="0"/>
              <w:bottom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50" w:lineRule="exact"/>
              <w:ind w:left="320" w:right="0"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091" w:type="dxa"/>
            <w:tcBorders>
              <w:top w:val="single" w:color="auto" w:sz="4" w:space="0"/>
              <w:left w:val="single" w:color="auto" w:sz="4" w:space="0"/>
              <w:bottom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Style w:val="12"/>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0" w:right="0" w:firstLine="0"/>
              <w:jc w:val="center"/>
              <w:rPr>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b w:val="0"/>
                <w:bCs w:val="0"/>
                <w:i w:val="0"/>
                <w:iCs w:val="0"/>
                <w:smallCaps w:val="0"/>
                <w:strike w:val="0"/>
                <w:sz w:val="24"/>
                <w:szCs w:val="24"/>
              </w:rPr>
              <w:t>其他</w:t>
            </w:r>
          </w:p>
        </w:tc>
        <w:tc>
          <w:tcPr>
            <w:tcW w:w="7616" w:type="dxa"/>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center"/>
              <w:rPr>
                <w:rStyle w:val="12"/>
                <w:rFonts w:hint="eastAsia" w:ascii="方正仿宋_GBK" w:hAnsi="方正仿宋_GBK" w:eastAsia="方正仿宋_GBK" w:cs="方正仿宋_GBK"/>
                <w:b w:val="0"/>
                <w:bCs w:val="0"/>
                <w:i w:val="0"/>
                <w:iCs w:val="0"/>
                <w:smallCaps w:val="0"/>
                <w:strike w:val="0"/>
                <w:sz w:val="24"/>
                <w:szCs w:val="24"/>
              </w:rPr>
            </w:pPr>
          </w:p>
          <w:p>
            <w:pPr>
              <w:pStyle w:val="7"/>
              <w:keepNext w:val="0"/>
              <w:keepLines w:val="0"/>
              <w:framePr w:w="9173" w:wrap="notBeside" w:vAnchor="text" w:hAnchor="text" w:xAlign="center" w:y="1"/>
              <w:widowControl w:val="0"/>
              <w:shd w:val="clear" w:color="auto" w:fill="auto"/>
              <w:bidi w:val="0"/>
              <w:spacing w:before="0" w:after="0" w:line="220" w:lineRule="exact"/>
              <w:ind w:left="120" w:right="0" w:firstLine="0"/>
              <w:jc w:val="center"/>
              <w:rPr>
                <w:rFonts w:hint="eastAsia" w:ascii="方正仿宋_GBK" w:hAnsi="方正仿宋_GBK" w:eastAsia="方正仿宋_GBK" w:cs="方正仿宋_GBK"/>
                <w:sz w:val="24"/>
                <w:szCs w:val="24"/>
              </w:rPr>
            </w:pPr>
            <w:r>
              <w:rPr>
                <w:rStyle w:val="12"/>
                <w:rFonts w:hint="eastAsia" w:ascii="方正仿宋_GBK" w:hAnsi="方正仿宋_GBK" w:eastAsia="方正仿宋_GBK" w:cs="方正仿宋_GBK"/>
                <w:b w:val="0"/>
                <w:bCs w:val="0"/>
                <w:i w:val="0"/>
                <w:iCs w:val="0"/>
                <w:smallCaps w:val="0"/>
                <w:strike w:val="0"/>
                <w:sz w:val="24"/>
                <w:szCs w:val="24"/>
              </w:rPr>
              <w:t>法律、法规、规章或者规范性文件规定应当进行法制审核的</w:t>
            </w:r>
          </w:p>
        </w:tc>
      </w:tr>
    </w:tbl>
    <w:p>
      <w:pPr>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E745FD"/>
    <w:rsid w:val="5F92182D"/>
    <w:rsid w:val="8BDA64C5"/>
    <w:rsid w:val="DD6C6BFC"/>
    <w:rsid w:val="F696F1E4"/>
    <w:rsid w:val="F6FC8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qFormat/>
    <w:uiPriority w:val="0"/>
    <w:pPr>
      <w:keepNext/>
      <w:keepLines/>
      <w:spacing w:before="280" w:after="290" w:line="372" w:lineRule="auto"/>
      <w:outlineLvl w:val="3"/>
    </w:pPr>
    <w:rPr>
      <w:rFonts w:ascii="Arial" w:hAnsi="Arial"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题 #3"/>
    <w:basedOn w:val="1"/>
    <w:qFormat/>
    <w:uiPriority w:val="0"/>
    <w:pPr>
      <w:widowControl w:val="0"/>
      <w:shd w:val="clear" w:color="auto" w:fill="FFFFFF"/>
      <w:spacing w:line="0" w:lineRule="exact"/>
      <w:jc w:val="center"/>
      <w:outlineLvl w:val="2"/>
    </w:pPr>
    <w:rPr>
      <w:rFonts w:ascii="MingLiU" w:hAnsi="MingLiU" w:eastAsia="MingLiU" w:cs="MingLiU"/>
      <w:spacing w:val="-20"/>
      <w:sz w:val="44"/>
      <w:szCs w:val="44"/>
      <w:u w:val="none"/>
    </w:rPr>
  </w:style>
  <w:style w:type="paragraph" w:customStyle="1" w:styleId="7">
    <w:name w:val="正文文本1"/>
    <w:basedOn w:val="1"/>
    <w:link w:val="9"/>
    <w:qFormat/>
    <w:uiPriority w:val="0"/>
    <w:pPr>
      <w:widowControl w:val="0"/>
      <w:shd w:val="clear" w:color="auto" w:fill="FFFFFF"/>
      <w:spacing w:before="180" w:after="1200" w:line="0" w:lineRule="exact"/>
      <w:jc w:val="center"/>
    </w:pPr>
    <w:rPr>
      <w:rFonts w:ascii="MingLiU" w:hAnsi="MingLiU" w:eastAsia="MingLiU" w:cs="MingLiU"/>
      <w:spacing w:val="30"/>
      <w:sz w:val="30"/>
      <w:szCs w:val="30"/>
      <w:u w:val="none"/>
    </w:rPr>
  </w:style>
  <w:style w:type="character" w:customStyle="1" w:styleId="8">
    <w:name w:val="正文文本 + 11.5 pt"/>
    <w:basedOn w:val="9"/>
    <w:qFormat/>
    <w:uiPriority w:val="0"/>
    <w:rPr>
      <w:color w:val="000000"/>
      <w:spacing w:val="0"/>
      <w:w w:val="100"/>
      <w:position w:val="0"/>
      <w:sz w:val="23"/>
      <w:szCs w:val="23"/>
      <w:lang w:val="zh-TW"/>
    </w:rPr>
  </w:style>
  <w:style w:type="character" w:customStyle="1" w:styleId="9">
    <w:name w:val="正文文本_"/>
    <w:basedOn w:val="5"/>
    <w:link w:val="7"/>
    <w:qFormat/>
    <w:uiPriority w:val="0"/>
    <w:rPr>
      <w:rFonts w:ascii="MingLiU" w:hAnsi="MingLiU" w:eastAsia="MingLiU" w:cs="MingLiU"/>
      <w:spacing w:val="30"/>
      <w:sz w:val="30"/>
      <w:szCs w:val="30"/>
      <w:u w:val="none"/>
    </w:rPr>
  </w:style>
  <w:style w:type="character" w:customStyle="1" w:styleId="10">
    <w:name w:val="正文文本 + 12.5 pt"/>
    <w:basedOn w:val="9"/>
    <w:qFormat/>
    <w:uiPriority w:val="0"/>
    <w:rPr>
      <w:color w:val="000000"/>
      <w:spacing w:val="0"/>
      <w:w w:val="100"/>
      <w:position w:val="0"/>
      <w:sz w:val="25"/>
      <w:szCs w:val="25"/>
      <w:lang w:val="zh-CN"/>
    </w:rPr>
  </w:style>
  <w:style w:type="character" w:customStyle="1" w:styleId="11">
    <w:name w:val="正文文本 + 11 pt"/>
    <w:basedOn w:val="9"/>
    <w:qFormat/>
    <w:uiPriority w:val="0"/>
    <w:rPr>
      <w:color w:val="000000"/>
      <w:spacing w:val="0"/>
      <w:w w:val="100"/>
      <w:position w:val="0"/>
      <w:sz w:val="22"/>
      <w:szCs w:val="22"/>
      <w:lang w:val="zh-TW"/>
    </w:rPr>
  </w:style>
  <w:style w:type="character" w:customStyle="1" w:styleId="12">
    <w:name w:val="正文文本 + 11 pt1"/>
    <w:basedOn w:val="9"/>
    <w:qFormat/>
    <w:uiPriority w:val="0"/>
    <w:rPr>
      <w:color w:val="000000"/>
      <w:spacing w:val="0"/>
      <w:w w:val="100"/>
      <w:position w:val="0"/>
      <w:sz w:val="22"/>
      <w:szCs w:val="22"/>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2024-03-01T02:01:00Z</dcterms:created>
  <dc:creator>Administrator</dc:creator>
  <cp:lastModifiedBy>thtf</cp:lastModifiedBy>
  <cp:lastPrinted>2024-12-06T01:37:00Z</cp:lastPrinted>
  <dcterms:modified xsi:type="dcterms:W3CDTF">2024-12-06T09:51:57Z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95DB87B9CC7EF26763615167A2D6C330</vt:lpwstr>
  </property>
</Properties>
</file>