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0D4A5A" w14:textId="77777777" w:rsidR="001D4092" w:rsidRDefault="00ED1687" w:rsidP="00ED1687">
      <w:pPr>
        <w:spacing w:line="600" w:lineRule="exact"/>
        <w:jc w:val="center"/>
        <w:rPr>
          <w:rFonts w:ascii="Times New Roman" w:eastAsia="方正黑体_GBK" w:hAnsi="Times New Roman"/>
          <w:sz w:val="32"/>
          <w:szCs w:val="32"/>
        </w:rPr>
      </w:pPr>
      <w:r>
        <w:rPr>
          <w:rFonts w:ascii="Times New Roman" w:eastAsia="方正小标宋_GBK" w:hAnsi="Times New Roman" w:hint="eastAsia"/>
          <w:sz w:val="44"/>
          <w:szCs w:val="44"/>
        </w:rPr>
        <w:t>重庆石柱工业园区管理委员会</w:t>
      </w:r>
    </w:p>
    <w:p w14:paraId="24EA571B" w14:textId="77777777" w:rsidR="001D4092" w:rsidRDefault="00580C1F">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年部门预算情况说明</w:t>
      </w:r>
    </w:p>
    <w:p w14:paraId="4D1C7CC0" w14:textId="77777777" w:rsidR="001D4092" w:rsidRDefault="001D4092">
      <w:pPr>
        <w:spacing w:line="600" w:lineRule="exact"/>
        <w:ind w:firstLineChars="200" w:firstLine="640"/>
        <w:rPr>
          <w:rFonts w:ascii="Times New Roman" w:eastAsia="方正黑体_GBK" w:hAnsi="Times New Roman"/>
          <w:sz w:val="32"/>
          <w:szCs w:val="32"/>
        </w:rPr>
      </w:pPr>
    </w:p>
    <w:p w14:paraId="58EAB8B3" w14:textId="77777777"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14:paraId="3FBC9AE5" w14:textId="77777777" w:rsidR="001D4092" w:rsidRDefault="00580C1F">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14:paraId="418F244C" w14:textId="77777777" w:rsidR="00ED1687" w:rsidRDefault="00ED1687" w:rsidP="00ED1687">
      <w:pPr>
        <w:spacing w:line="600" w:lineRule="exact"/>
        <w:ind w:firstLineChars="200" w:firstLine="640"/>
        <w:rPr>
          <w:rFonts w:eastAsia="方正仿宋_GBK"/>
          <w:sz w:val="32"/>
          <w:szCs w:val="32"/>
        </w:rPr>
      </w:pPr>
      <w:r>
        <w:rPr>
          <w:rFonts w:ascii="方正仿宋_GBK" w:eastAsia="方正仿宋_GBK" w:hint="eastAsia"/>
          <w:sz w:val="32"/>
          <w:szCs w:val="32"/>
        </w:rPr>
        <w:t>根据</w:t>
      </w:r>
      <w:r>
        <w:rPr>
          <w:rFonts w:eastAsia="方正仿宋_GBK"/>
          <w:color w:val="000000"/>
          <w:sz w:val="33"/>
          <w:szCs w:val="33"/>
        </w:rPr>
        <w:t>石委编委</w:t>
      </w:r>
      <w:r>
        <w:rPr>
          <w:rFonts w:eastAsia="方正仿宋_GBK" w:hint="eastAsia"/>
          <w:color w:val="000000"/>
          <w:sz w:val="33"/>
          <w:szCs w:val="33"/>
        </w:rPr>
        <w:t>发</w:t>
      </w:r>
      <w:r>
        <w:rPr>
          <w:rFonts w:ascii="Times New Roman" w:eastAsia="方正仿宋_GBK" w:hAnsi="Times New Roman"/>
          <w:color w:val="000000"/>
          <w:sz w:val="33"/>
          <w:szCs w:val="33"/>
        </w:rPr>
        <w:t>〔</w:t>
      </w:r>
      <w:r>
        <w:rPr>
          <w:rFonts w:ascii="Times New Roman" w:eastAsia="方正仿宋_GBK" w:hAnsi="Times New Roman"/>
          <w:color w:val="000000"/>
          <w:sz w:val="33"/>
          <w:szCs w:val="33"/>
        </w:rPr>
        <w:t>2024</w:t>
      </w:r>
      <w:r>
        <w:rPr>
          <w:rFonts w:ascii="Times New Roman" w:eastAsia="方正仿宋_GBK" w:hAnsi="Times New Roman"/>
          <w:color w:val="000000"/>
          <w:sz w:val="33"/>
          <w:szCs w:val="33"/>
        </w:rPr>
        <w:t>〕</w:t>
      </w:r>
      <w:r>
        <w:rPr>
          <w:rFonts w:ascii="Times New Roman" w:eastAsia="方正仿宋_GBK" w:hAnsi="Times New Roman"/>
          <w:color w:val="000000"/>
          <w:sz w:val="33"/>
          <w:szCs w:val="33"/>
        </w:rPr>
        <w:t>4</w:t>
      </w:r>
      <w:r>
        <w:rPr>
          <w:rFonts w:eastAsia="方正仿宋_GBK"/>
          <w:color w:val="000000"/>
          <w:sz w:val="33"/>
          <w:szCs w:val="33"/>
        </w:rPr>
        <w:t>号</w:t>
      </w:r>
      <w:r>
        <w:rPr>
          <w:rFonts w:ascii="方正仿宋_GBK" w:eastAsia="方正仿宋_GBK" w:hint="eastAsia"/>
          <w:sz w:val="32"/>
          <w:szCs w:val="32"/>
        </w:rPr>
        <w:t>文件规定，本单位主要职责是：</w:t>
      </w:r>
      <w:r>
        <w:rPr>
          <w:rFonts w:eastAsia="方正仿宋_GBK"/>
          <w:sz w:val="32"/>
          <w:szCs w:val="32"/>
        </w:rPr>
        <w:t>贯彻落实县委关于园区工作的决策部署，在履行职责过程中坚持和加强党对园区工作的集中统一领导。宣传和贯彻执行国家有关法律、法规、规章和方针政策</w:t>
      </w:r>
      <w:r>
        <w:rPr>
          <w:rFonts w:eastAsia="方正仿宋_GBK" w:hint="eastAsia"/>
          <w:sz w:val="32"/>
          <w:szCs w:val="32"/>
        </w:rPr>
        <w:t>；</w:t>
      </w:r>
      <w:r>
        <w:rPr>
          <w:rFonts w:eastAsia="方正仿宋_GBK"/>
          <w:sz w:val="32"/>
          <w:szCs w:val="32"/>
        </w:rPr>
        <w:t>负责根据园区建设总体发展规划编制控制性详细规划、基础设施建设规划，并牵头组织实施</w:t>
      </w:r>
      <w:r>
        <w:rPr>
          <w:rFonts w:eastAsia="方正仿宋_GBK" w:hint="eastAsia"/>
          <w:sz w:val="32"/>
          <w:szCs w:val="32"/>
        </w:rPr>
        <w:t>；</w:t>
      </w:r>
      <w:r>
        <w:rPr>
          <w:rFonts w:eastAsia="方正仿宋_GBK"/>
          <w:sz w:val="32"/>
          <w:szCs w:val="32"/>
        </w:rPr>
        <w:t>负责制订园区产业发展规划、土地利用规划，并组织实施。负责入园企业建设项目管理及服务，监督和指导石柱工业发展集团有限公司开展基础设施建设、标准厂房租赁等工作。</w:t>
      </w:r>
      <w:r>
        <w:rPr>
          <w:rFonts w:eastAsia="方正仿宋_GBK" w:hint="eastAsia"/>
          <w:sz w:val="32"/>
          <w:szCs w:val="32"/>
        </w:rPr>
        <w:t>配合属地乡镇（街道）做好园区内的征地、拆迁和安置工作。负责园区土地利用的管理；</w:t>
      </w:r>
      <w:r>
        <w:rPr>
          <w:rFonts w:eastAsia="方正仿宋_GBK"/>
          <w:sz w:val="32"/>
          <w:szCs w:val="32"/>
        </w:rPr>
        <w:t>负责本机关及所属事业单位财务管理工作，负责园区财政体制结算工作，协助指导石柱工业发展集团有限公司融资贷款和债务化解工作</w:t>
      </w:r>
      <w:r>
        <w:rPr>
          <w:rFonts w:eastAsia="方正仿宋_GBK" w:hint="eastAsia"/>
          <w:sz w:val="32"/>
          <w:szCs w:val="32"/>
        </w:rPr>
        <w:t>；</w:t>
      </w:r>
      <w:r>
        <w:rPr>
          <w:rFonts w:eastAsia="方正仿宋_GBK"/>
          <w:sz w:val="32"/>
          <w:szCs w:val="32"/>
        </w:rPr>
        <w:t>负责园区招商引资和优惠政策兑现工作，负责清理清退违约企业，对入园企业进行综合协调、指导、服务</w:t>
      </w:r>
      <w:r>
        <w:rPr>
          <w:rFonts w:eastAsia="方正仿宋_GBK" w:hint="eastAsia"/>
          <w:sz w:val="32"/>
          <w:szCs w:val="32"/>
        </w:rPr>
        <w:t>；</w:t>
      </w:r>
      <w:r>
        <w:rPr>
          <w:rFonts w:eastAsia="方正仿宋_GBK"/>
          <w:sz w:val="32"/>
          <w:szCs w:val="32"/>
        </w:rPr>
        <w:t xml:space="preserve"> </w:t>
      </w:r>
      <w:r>
        <w:rPr>
          <w:rFonts w:eastAsia="方正仿宋_GBK" w:hint="eastAsia"/>
          <w:sz w:val="32"/>
          <w:szCs w:val="32"/>
        </w:rPr>
        <w:t>负责园区安全生产、涉企信访矛盾化解、综合治理、环境保护、节能减排、技术创新、园区数字重庆建设等工作；</w:t>
      </w:r>
      <w:r>
        <w:rPr>
          <w:rFonts w:eastAsia="方正仿宋_GBK"/>
          <w:sz w:val="32"/>
          <w:szCs w:val="32"/>
        </w:rPr>
        <w:t>负责本机关及所属事业单位法治工作，指导协调入园企业开展综合应急救援，配合有关部门开展联合执法工作</w:t>
      </w:r>
      <w:r>
        <w:rPr>
          <w:rFonts w:eastAsia="方正仿宋_GBK" w:hint="eastAsia"/>
          <w:sz w:val="32"/>
          <w:szCs w:val="32"/>
        </w:rPr>
        <w:t>；</w:t>
      </w:r>
      <w:r>
        <w:rPr>
          <w:rFonts w:eastAsia="方正仿宋_GBK"/>
          <w:sz w:val="32"/>
          <w:szCs w:val="32"/>
        </w:rPr>
        <w:t>承办县委和县政府交办的其他事项。</w:t>
      </w:r>
    </w:p>
    <w:p w14:paraId="2B706109" w14:textId="77777777" w:rsidR="001D4092" w:rsidRDefault="00580C1F">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lastRenderedPageBreak/>
        <w:t>（二）单位构成</w:t>
      </w:r>
    </w:p>
    <w:p w14:paraId="11475F8D" w14:textId="77777777" w:rsidR="001D4092" w:rsidRDefault="00ED1687">
      <w:pPr>
        <w:spacing w:line="600" w:lineRule="exact"/>
        <w:ind w:firstLineChars="200" w:firstLine="640"/>
        <w:rPr>
          <w:rFonts w:ascii="Times New Roman" w:eastAsia="方正仿宋_GBK" w:hAnsi="Times New Roman"/>
          <w:sz w:val="32"/>
          <w:szCs w:val="32"/>
        </w:rPr>
      </w:pPr>
      <w:r>
        <w:rPr>
          <w:rFonts w:eastAsia="方正仿宋_GBK" w:hint="eastAsia"/>
          <w:sz w:val="32"/>
          <w:szCs w:val="32"/>
        </w:rPr>
        <w:t>根据市委编委《关于调整石柱县园区开发区管理机构的批复》（渝委编委</w:t>
      </w:r>
      <w:r w:rsidRPr="00ED1687">
        <w:rPr>
          <w:rFonts w:eastAsia="方正仿宋_GBK"/>
          <w:sz w:val="32"/>
          <w:szCs w:val="32"/>
        </w:rPr>
        <w:t>〔</w:t>
      </w:r>
      <w:r w:rsidRPr="00ED1687">
        <w:rPr>
          <w:rFonts w:eastAsia="方正仿宋_GBK"/>
          <w:sz w:val="32"/>
          <w:szCs w:val="32"/>
        </w:rPr>
        <w:t>2024</w:t>
      </w:r>
      <w:r w:rsidRPr="00ED1687">
        <w:rPr>
          <w:rFonts w:eastAsia="方正仿宋_GBK"/>
          <w:sz w:val="32"/>
          <w:szCs w:val="32"/>
        </w:rPr>
        <w:t>〕</w:t>
      </w:r>
      <w:r w:rsidRPr="00ED1687">
        <w:rPr>
          <w:rFonts w:eastAsia="方正仿宋_GBK"/>
          <w:sz w:val="32"/>
          <w:szCs w:val="32"/>
        </w:rPr>
        <w:t>33</w:t>
      </w:r>
      <w:r w:rsidRPr="00ED1687">
        <w:rPr>
          <w:rFonts w:eastAsia="方正仿宋_GBK"/>
          <w:sz w:val="32"/>
          <w:szCs w:val="32"/>
        </w:rPr>
        <w:t>号</w:t>
      </w:r>
      <w:r>
        <w:rPr>
          <w:rFonts w:eastAsia="方正仿宋_GBK" w:hint="eastAsia"/>
          <w:sz w:val="32"/>
          <w:szCs w:val="32"/>
        </w:rPr>
        <w:t>）精神，结合工作实际，</w:t>
      </w:r>
      <w:r>
        <w:rPr>
          <w:rFonts w:eastAsia="方正仿宋_GBK"/>
          <w:sz w:val="32"/>
          <w:szCs w:val="32"/>
        </w:rPr>
        <w:t>石委编委</w:t>
      </w:r>
      <w:r>
        <w:rPr>
          <w:rFonts w:eastAsia="方正仿宋_GBK" w:hint="eastAsia"/>
          <w:sz w:val="32"/>
          <w:szCs w:val="32"/>
        </w:rPr>
        <w:t>发</w:t>
      </w:r>
      <w:r>
        <w:rPr>
          <w:rFonts w:eastAsia="方正仿宋_GBK"/>
          <w:sz w:val="32"/>
          <w:szCs w:val="32"/>
        </w:rPr>
        <w:t>〔</w:t>
      </w:r>
      <w:r>
        <w:rPr>
          <w:rFonts w:ascii="Times New Roman" w:eastAsia="方正仿宋_GBK" w:hAnsi="Times New Roman"/>
          <w:sz w:val="32"/>
          <w:szCs w:val="32"/>
        </w:rPr>
        <w:t>2024</w:t>
      </w:r>
      <w:r>
        <w:rPr>
          <w:rFonts w:eastAsia="方正仿宋_GBK"/>
          <w:sz w:val="32"/>
          <w:szCs w:val="32"/>
        </w:rPr>
        <w:t>〕</w:t>
      </w:r>
      <w:r>
        <w:rPr>
          <w:rFonts w:eastAsia="方正仿宋_GBK" w:hint="eastAsia"/>
          <w:sz w:val="32"/>
          <w:szCs w:val="32"/>
        </w:rPr>
        <w:t>4</w:t>
      </w:r>
      <w:r>
        <w:rPr>
          <w:rFonts w:eastAsia="方正仿宋_GBK"/>
          <w:sz w:val="32"/>
          <w:szCs w:val="32"/>
        </w:rPr>
        <w:t>号</w:t>
      </w:r>
      <w:r>
        <w:rPr>
          <w:rFonts w:eastAsia="方正仿宋_GBK" w:hint="eastAsia"/>
          <w:sz w:val="32"/>
          <w:szCs w:val="32"/>
        </w:rPr>
        <w:t>文件对本单位机构编制进行了审定：重庆石柱工业园区管理委员会为县政府派出机构，为正科级。设综合科、</w:t>
      </w:r>
      <w:r>
        <w:rPr>
          <w:rFonts w:eastAsia="方正仿宋_GBK"/>
          <w:sz w:val="32"/>
          <w:szCs w:val="32"/>
        </w:rPr>
        <w:t>产业发展科</w:t>
      </w:r>
      <w:r>
        <w:rPr>
          <w:rFonts w:eastAsia="方正仿宋_GBK" w:hint="eastAsia"/>
          <w:sz w:val="32"/>
          <w:szCs w:val="32"/>
        </w:rPr>
        <w:t>、</w:t>
      </w:r>
      <w:r>
        <w:rPr>
          <w:rFonts w:eastAsia="方正仿宋_GBK"/>
          <w:sz w:val="32"/>
          <w:szCs w:val="32"/>
        </w:rPr>
        <w:t>规划建设科</w:t>
      </w:r>
      <w:r>
        <w:rPr>
          <w:rFonts w:eastAsia="方正仿宋_GBK" w:hint="eastAsia"/>
          <w:sz w:val="32"/>
          <w:szCs w:val="32"/>
        </w:rPr>
        <w:t>、招商科、</w:t>
      </w:r>
      <w:r>
        <w:rPr>
          <w:rFonts w:eastAsia="方正仿宋_GBK"/>
          <w:sz w:val="32"/>
          <w:szCs w:val="32"/>
        </w:rPr>
        <w:t>企业服务科</w:t>
      </w:r>
      <w:r>
        <w:rPr>
          <w:rFonts w:eastAsia="方正仿宋_GBK" w:hint="eastAsia"/>
          <w:sz w:val="32"/>
          <w:szCs w:val="32"/>
        </w:rPr>
        <w:t>、应急环保科</w:t>
      </w:r>
      <w:r>
        <w:rPr>
          <w:rFonts w:eastAsia="方正仿宋_GBK" w:hint="eastAsia"/>
          <w:sz w:val="32"/>
          <w:szCs w:val="32"/>
        </w:rPr>
        <w:t>6</w:t>
      </w:r>
      <w:r>
        <w:rPr>
          <w:rFonts w:eastAsia="方正仿宋_GBK" w:hint="eastAsia"/>
          <w:sz w:val="32"/>
          <w:szCs w:val="32"/>
        </w:rPr>
        <w:t>个内设机构。</w:t>
      </w:r>
      <w:r>
        <w:rPr>
          <w:rFonts w:ascii="Times New Roman" w:eastAsia="方正仿宋_GBK" w:hAnsi="Times New Roman" w:hint="eastAsia"/>
          <w:sz w:val="32"/>
          <w:szCs w:val="32"/>
        </w:rPr>
        <w:t>下设二级预算单位</w:t>
      </w:r>
      <w:r>
        <w:rPr>
          <w:rFonts w:ascii="Times New Roman" w:eastAsia="方正仿宋_GBK" w:hAnsi="Times New Roman" w:hint="eastAsia"/>
          <w:sz w:val="32"/>
          <w:szCs w:val="32"/>
        </w:rPr>
        <w:t>3</w:t>
      </w:r>
      <w:r>
        <w:rPr>
          <w:rFonts w:ascii="Times New Roman" w:eastAsia="方正仿宋_GBK" w:hAnsi="Times New Roman" w:hint="eastAsia"/>
          <w:sz w:val="32"/>
          <w:szCs w:val="32"/>
        </w:rPr>
        <w:t>个，分别是：重庆石柱工业园区管理委员会本级、重庆石柱工业园区事务中心和重庆工业园区招商服务中心。</w:t>
      </w:r>
    </w:p>
    <w:p w14:paraId="7A29706C" w14:textId="77777777"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14:paraId="22CAD506" w14:textId="77777777" w:rsidR="001D4092" w:rsidRDefault="00580C1F" w:rsidP="00ED1687">
      <w:pPr>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sidR="00ED1687" w:rsidRPr="00ED1687">
        <w:rPr>
          <w:rFonts w:ascii="Times New Roman" w:eastAsia="方正仿宋_GBK" w:hAnsi="Times New Roman"/>
          <w:sz w:val="32"/>
          <w:szCs w:val="32"/>
        </w:rPr>
        <w:t>1,778.41</w:t>
      </w:r>
      <w:r>
        <w:rPr>
          <w:rFonts w:ascii="Times New Roman" w:eastAsia="方正仿宋_GBK" w:hAnsi="Times New Roman"/>
          <w:sz w:val="32"/>
          <w:szCs w:val="32"/>
        </w:rPr>
        <w:t>万元，其中：一般公共预算拨款</w:t>
      </w:r>
      <w:r w:rsidR="00ED1687" w:rsidRPr="00ED1687">
        <w:rPr>
          <w:rFonts w:ascii="Times New Roman" w:eastAsia="方正仿宋_GBK" w:hAnsi="Times New Roman"/>
          <w:sz w:val="32"/>
          <w:szCs w:val="32"/>
        </w:rPr>
        <w:t>978.41</w:t>
      </w:r>
      <w:r>
        <w:rPr>
          <w:rFonts w:ascii="Times New Roman" w:eastAsia="方正仿宋_GBK" w:hAnsi="Times New Roman"/>
          <w:sz w:val="32"/>
          <w:szCs w:val="32"/>
        </w:rPr>
        <w:t>万元，政府性基金预算拨款</w:t>
      </w:r>
      <w:r w:rsidR="00ED1687">
        <w:rPr>
          <w:rFonts w:ascii="Times New Roman" w:eastAsia="方正仿宋_GBK" w:hAnsi="Times New Roman" w:hint="eastAsia"/>
          <w:sz w:val="32"/>
          <w:szCs w:val="32"/>
        </w:rPr>
        <w:t>800</w:t>
      </w:r>
      <w:r>
        <w:rPr>
          <w:rFonts w:ascii="Times New Roman" w:eastAsia="方正仿宋_GBK" w:hAnsi="Times New Roman"/>
          <w:sz w:val="32"/>
          <w:szCs w:val="32"/>
        </w:rPr>
        <w:t>万元；收入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ED1687">
        <w:rPr>
          <w:rFonts w:ascii="Times New Roman" w:eastAsia="方正仿宋_GBK" w:hAnsi="Times New Roman" w:hint="eastAsia"/>
          <w:sz w:val="32"/>
          <w:szCs w:val="32"/>
        </w:rPr>
        <w:t>564.68</w:t>
      </w:r>
      <w:r>
        <w:rPr>
          <w:rFonts w:ascii="Times New Roman" w:eastAsia="方正仿宋_GBK" w:hAnsi="Times New Roman"/>
          <w:sz w:val="32"/>
          <w:szCs w:val="32"/>
        </w:rPr>
        <w:t>万元，主要是一般公共预算拨款减少</w:t>
      </w:r>
      <w:r>
        <w:rPr>
          <w:rFonts w:ascii="Times New Roman" w:eastAsia="方正仿宋_GBK" w:hAnsi="Times New Roman"/>
          <w:sz w:val="32"/>
          <w:szCs w:val="32"/>
        </w:rPr>
        <w:t xml:space="preserve"> </w:t>
      </w:r>
      <w:r w:rsidR="00ED1687">
        <w:rPr>
          <w:rFonts w:ascii="Times New Roman" w:eastAsia="方正仿宋_GBK" w:hAnsi="Times New Roman" w:hint="eastAsia"/>
          <w:sz w:val="32"/>
          <w:szCs w:val="32"/>
        </w:rPr>
        <w:t>235.32</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政府性基金预算拨款增加</w:t>
      </w:r>
      <w:r w:rsidR="00ED1687">
        <w:rPr>
          <w:rFonts w:ascii="Times New Roman" w:eastAsia="方正仿宋_GBK" w:hAnsi="Times New Roman" w:hint="eastAsia"/>
          <w:sz w:val="32"/>
          <w:szCs w:val="32"/>
        </w:rPr>
        <w:t>800</w:t>
      </w:r>
      <w:r>
        <w:rPr>
          <w:rFonts w:ascii="Times New Roman" w:eastAsia="方正仿宋_GBK" w:hAnsi="Times New Roman"/>
          <w:sz w:val="32"/>
          <w:szCs w:val="32"/>
        </w:rPr>
        <w:t>万元。</w:t>
      </w:r>
    </w:p>
    <w:p w14:paraId="5A5B0F56" w14:textId="77777777" w:rsidR="001D4092" w:rsidRDefault="00580C1F">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sidR="00ED1687" w:rsidRPr="00ED1687">
        <w:rPr>
          <w:rFonts w:ascii="Times New Roman" w:eastAsia="方正仿宋_GBK" w:hAnsi="Times New Roman"/>
          <w:sz w:val="32"/>
          <w:szCs w:val="32"/>
        </w:rPr>
        <w:t>1,778.41</w:t>
      </w:r>
      <w:r>
        <w:rPr>
          <w:rFonts w:ascii="Times New Roman" w:eastAsia="方正仿宋_GBK" w:hAnsi="Times New Roman"/>
          <w:sz w:val="32"/>
          <w:szCs w:val="32"/>
        </w:rPr>
        <w:t>万元，其中：一般公共服务支出</w:t>
      </w:r>
      <w:r w:rsidR="00FB76E9">
        <w:rPr>
          <w:rFonts w:ascii="Times New Roman" w:eastAsia="方正仿宋_GBK" w:hAnsi="Times New Roman" w:hint="eastAsia"/>
          <w:sz w:val="32"/>
          <w:szCs w:val="32"/>
        </w:rPr>
        <w:t>160</w:t>
      </w:r>
      <w:r>
        <w:rPr>
          <w:rFonts w:ascii="Times New Roman" w:eastAsia="方正仿宋_GBK" w:hAnsi="Times New Roman"/>
          <w:sz w:val="32"/>
          <w:szCs w:val="32"/>
        </w:rPr>
        <w:t>万元，社会保障和就业支出</w:t>
      </w:r>
      <w:r w:rsidR="00FB76E9">
        <w:rPr>
          <w:rFonts w:ascii="Times New Roman" w:eastAsia="方正仿宋_GBK" w:hAnsi="Times New Roman" w:hint="eastAsia"/>
          <w:sz w:val="32"/>
          <w:szCs w:val="32"/>
        </w:rPr>
        <w:t>153.80</w:t>
      </w:r>
      <w:r>
        <w:rPr>
          <w:rFonts w:ascii="Times New Roman" w:eastAsia="方正仿宋_GBK" w:hAnsi="Times New Roman"/>
          <w:sz w:val="32"/>
          <w:szCs w:val="32"/>
        </w:rPr>
        <w:t>万元，卫生健康支出</w:t>
      </w:r>
      <w:r w:rsidR="00FB76E9">
        <w:rPr>
          <w:rFonts w:ascii="Times New Roman" w:eastAsia="方正仿宋_GBK" w:hAnsi="Times New Roman" w:hint="eastAsia"/>
          <w:sz w:val="32"/>
          <w:szCs w:val="32"/>
        </w:rPr>
        <w:t>43.81</w:t>
      </w:r>
      <w:r>
        <w:rPr>
          <w:rFonts w:ascii="Times New Roman" w:eastAsia="方正仿宋_GBK" w:hAnsi="Times New Roman"/>
          <w:sz w:val="32"/>
          <w:szCs w:val="32"/>
        </w:rPr>
        <w:t>万元，住房保障支出</w:t>
      </w:r>
      <w:r w:rsidR="00FB76E9">
        <w:rPr>
          <w:rFonts w:ascii="Times New Roman" w:eastAsia="方正仿宋_GBK" w:hAnsi="Times New Roman" w:hint="eastAsia"/>
          <w:sz w:val="32"/>
          <w:szCs w:val="32"/>
        </w:rPr>
        <w:t>49.81</w:t>
      </w:r>
      <w:r>
        <w:rPr>
          <w:rFonts w:ascii="Times New Roman" w:eastAsia="方正仿宋_GBK" w:hAnsi="Times New Roman"/>
          <w:sz w:val="32"/>
          <w:szCs w:val="32"/>
        </w:rPr>
        <w:t>万元</w:t>
      </w:r>
      <w:r w:rsidR="00FB76E9">
        <w:rPr>
          <w:rFonts w:ascii="Times New Roman" w:eastAsia="方正仿宋_GBK" w:hAnsi="Times New Roman" w:hint="eastAsia"/>
          <w:sz w:val="32"/>
          <w:szCs w:val="32"/>
        </w:rPr>
        <w:t>,</w:t>
      </w:r>
      <w:r w:rsidR="00FB76E9" w:rsidRPr="00FB76E9">
        <w:rPr>
          <w:rFonts w:hint="eastAsia"/>
        </w:rPr>
        <w:t xml:space="preserve"> </w:t>
      </w:r>
      <w:r w:rsidR="00FB76E9" w:rsidRPr="00FB76E9">
        <w:rPr>
          <w:rFonts w:ascii="Times New Roman" w:eastAsia="方正仿宋_GBK" w:hAnsi="Times New Roman" w:hint="eastAsia"/>
          <w:sz w:val="32"/>
          <w:szCs w:val="32"/>
        </w:rPr>
        <w:t>资源勘探工业信息等支出</w:t>
      </w:r>
      <w:r w:rsidR="00FB76E9">
        <w:rPr>
          <w:rFonts w:ascii="Times New Roman" w:eastAsia="方正仿宋_GBK" w:hAnsi="Times New Roman" w:hint="eastAsia"/>
          <w:sz w:val="32"/>
          <w:szCs w:val="32"/>
        </w:rPr>
        <w:t>570.99</w:t>
      </w:r>
      <w:r w:rsidR="00FB76E9">
        <w:rPr>
          <w:rFonts w:ascii="Times New Roman" w:eastAsia="方正仿宋_GBK" w:hAnsi="Times New Roman" w:hint="eastAsia"/>
          <w:sz w:val="32"/>
          <w:szCs w:val="32"/>
        </w:rPr>
        <w:t>万元</w:t>
      </w:r>
      <w:r>
        <w:rPr>
          <w:rFonts w:ascii="Times New Roman" w:eastAsia="方正仿宋_GBK" w:hAnsi="Times New Roman"/>
          <w:sz w:val="32"/>
          <w:szCs w:val="32"/>
        </w:rPr>
        <w:t>；支出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FB76E9">
        <w:rPr>
          <w:rFonts w:ascii="Times New Roman" w:eastAsia="方正仿宋_GBK" w:hAnsi="Times New Roman" w:hint="eastAsia"/>
          <w:sz w:val="32"/>
          <w:szCs w:val="32"/>
        </w:rPr>
        <w:t>564.68</w:t>
      </w:r>
      <w:r>
        <w:rPr>
          <w:rFonts w:ascii="Times New Roman" w:eastAsia="方正仿宋_GBK" w:hAnsi="Times New Roman"/>
          <w:sz w:val="32"/>
          <w:szCs w:val="32"/>
        </w:rPr>
        <w:t>万元，主要是基本支出增加</w:t>
      </w:r>
      <w:r w:rsidR="00FB76E9">
        <w:rPr>
          <w:rFonts w:ascii="Times New Roman" w:eastAsia="方正仿宋_GBK" w:hAnsi="Times New Roman" w:hint="eastAsia"/>
          <w:sz w:val="32"/>
          <w:szCs w:val="32"/>
        </w:rPr>
        <w:t>15.68</w:t>
      </w:r>
      <w:r>
        <w:rPr>
          <w:rFonts w:ascii="Times New Roman" w:eastAsia="方正仿宋_GBK" w:hAnsi="Times New Roman"/>
          <w:sz w:val="32"/>
          <w:szCs w:val="32"/>
        </w:rPr>
        <w:t>万元，项目支出增加</w:t>
      </w:r>
      <w:r w:rsidR="00FB76E9">
        <w:rPr>
          <w:rFonts w:ascii="Times New Roman" w:eastAsia="方正仿宋_GBK" w:hAnsi="Times New Roman" w:hint="eastAsia"/>
          <w:sz w:val="32"/>
          <w:szCs w:val="32"/>
        </w:rPr>
        <w:t>550</w:t>
      </w:r>
      <w:r>
        <w:rPr>
          <w:rFonts w:ascii="Times New Roman" w:eastAsia="方正仿宋_GBK" w:hAnsi="Times New Roman"/>
          <w:sz w:val="32"/>
          <w:szCs w:val="32"/>
        </w:rPr>
        <w:t>万元。</w:t>
      </w:r>
    </w:p>
    <w:p w14:paraId="72682D02" w14:textId="77777777"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14:paraId="21938C9B" w14:textId="77777777" w:rsidR="008F0124" w:rsidRDefault="00580C1F">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一般公共预算财政拨款收入</w:t>
      </w:r>
      <w:r w:rsidR="00F10794">
        <w:rPr>
          <w:rFonts w:ascii="Times New Roman" w:eastAsia="方正仿宋_GBK" w:hAnsi="Times New Roman" w:hint="eastAsia"/>
          <w:sz w:val="32"/>
          <w:szCs w:val="32"/>
        </w:rPr>
        <w:t>978.41</w:t>
      </w:r>
      <w:r>
        <w:rPr>
          <w:rFonts w:ascii="Times New Roman" w:eastAsia="方正仿宋_GBK" w:hAnsi="Times New Roman"/>
          <w:sz w:val="32"/>
          <w:szCs w:val="32"/>
        </w:rPr>
        <w:t>万元，一般公共预算财政拨款支出</w:t>
      </w:r>
      <w:r w:rsidR="00F10794">
        <w:rPr>
          <w:rFonts w:ascii="Times New Roman" w:eastAsia="方正仿宋_GBK" w:hAnsi="Times New Roman" w:hint="eastAsia"/>
          <w:sz w:val="32"/>
          <w:szCs w:val="32"/>
        </w:rPr>
        <w:t>978.41</w:t>
      </w:r>
      <w:r>
        <w:rPr>
          <w:rFonts w:ascii="Times New Roman" w:eastAsia="方正仿宋_GBK" w:hAnsi="Times New Roman"/>
          <w:sz w:val="32"/>
          <w:szCs w:val="32"/>
        </w:rPr>
        <w:t>万元，比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F10794">
        <w:rPr>
          <w:rFonts w:ascii="Times New Roman" w:eastAsia="方正仿宋_GBK" w:hAnsi="Times New Roman" w:hint="eastAsia"/>
          <w:sz w:val="32"/>
          <w:szCs w:val="32"/>
        </w:rPr>
        <w:t>564.68</w:t>
      </w:r>
      <w:r>
        <w:rPr>
          <w:rFonts w:ascii="Times New Roman" w:eastAsia="方正仿宋_GBK" w:hAnsi="Times New Roman"/>
          <w:sz w:val="32"/>
          <w:szCs w:val="32"/>
        </w:rPr>
        <w:t>万元。其中：基本支出</w:t>
      </w:r>
      <w:r w:rsidR="00F10794">
        <w:rPr>
          <w:rFonts w:ascii="Times New Roman" w:eastAsia="方正仿宋_GBK" w:hAnsi="Times New Roman" w:hint="eastAsia"/>
          <w:sz w:val="32"/>
          <w:szCs w:val="32"/>
        </w:rPr>
        <w:t>769.41</w:t>
      </w:r>
      <w:r>
        <w:rPr>
          <w:rFonts w:ascii="Times New Roman" w:eastAsia="方正仿宋_GBK" w:hAnsi="Times New Roman"/>
          <w:sz w:val="32"/>
          <w:szCs w:val="32"/>
        </w:rPr>
        <w:t>万元，主要用于</w:t>
      </w:r>
      <w:r w:rsidR="00F10794">
        <w:rPr>
          <w:rFonts w:ascii="Times New Roman" w:eastAsia="方正仿宋_GBK" w:hAnsi="Times New Roman"/>
          <w:sz w:val="32"/>
          <w:szCs w:val="32"/>
        </w:rPr>
        <w:t>保障</w:t>
      </w:r>
      <w:r w:rsidR="00F10794">
        <w:rPr>
          <w:rFonts w:ascii="Times New Roman" w:eastAsia="方正仿宋_GBK" w:hAnsi="Times New Roman" w:hint="eastAsia"/>
          <w:sz w:val="32"/>
          <w:szCs w:val="32"/>
        </w:rPr>
        <w:t>重庆石柱工业园区管理委员</w:t>
      </w:r>
      <w:r w:rsidR="00F10794">
        <w:rPr>
          <w:rFonts w:ascii="Times New Roman" w:eastAsia="方正仿宋_GBK" w:hAnsi="Times New Roman" w:hint="eastAsia"/>
          <w:sz w:val="32"/>
          <w:szCs w:val="32"/>
        </w:rPr>
        <w:lastRenderedPageBreak/>
        <w:t>会部门</w:t>
      </w:r>
      <w:r w:rsidR="00F10794">
        <w:rPr>
          <w:rFonts w:ascii="Times New Roman" w:eastAsia="方正仿宋_GBK" w:hAnsi="Times New Roman"/>
          <w:sz w:val="32"/>
          <w:szCs w:val="32"/>
        </w:rPr>
        <w:t>在职人员</w:t>
      </w:r>
      <w:r>
        <w:rPr>
          <w:rFonts w:ascii="Times New Roman" w:eastAsia="方正仿宋_GBK" w:hAnsi="Times New Roman"/>
          <w:sz w:val="32"/>
          <w:szCs w:val="32"/>
        </w:rPr>
        <w:t>工资福利及社会保险缴费、离休人员离休费、退休人员补助等，保障部门正常运转的各项商品服务支出，比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8F0124">
        <w:rPr>
          <w:rFonts w:ascii="Times New Roman" w:eastAsia="方正仿宋_GBK" w:hAnsi="Times New Roman" w:hint="eastAsia"/>
          <w:sz w:val="32"/>
          <w:szCs w:val="32"/>
        </w:rPr>
        <w:t>15.68</w:t>
      </w:r>
      <w:r>
        <w:rPr>
          <w:rFonts w:ascii="Times New Roman" w:eastAsia="方正仿宋_GBK" w:hAnsi="Times New Roman"/>
          <w:sz w:val="32"/>
          <w:szCs w:val="32"/>
        </w:rPr>
        <w:t>万元，主要原因是</w:t>
      </w:r>
      <w:r w:rsidR="008F0124">
        <w:rPr>
          <w:rFonts w:ascii="Times New Roman" w:eastAsia="方正仿宋_GBK" w:hAnsi="Times New Roman" w:hint="eastAsia"/>
          <w:sz w:val="32"/>
          <w:szCs w:val="32"/>
        </w:rPr>
        <w:t>本年度较上年度增加职工</w:t>
      </w:r>
      <w:r w:rsidR="008F0124">
        <w:rPr>
          <w:rFonts w:ascii="Times New Roman" w:eastAsia="方正仿宋_GBK" w:hAnsi="Times New Roman" w:hint="eastAsia"/>
          <w:sz w:val="32"/>
          <w:szCs w:val="32"/>
        </w:rPr>
        <w:t>1</w:t>
      </w:r>
      <w:r w:rsidR="008F0124">
        <w:rPr>
          <w:rFonts w:ascii="Times New Roman" w:eastAsia="方正仿宋_GBK" w:hAnsi="Times New Roman" w:hint="eastAsia"/>
          <w:sz w:val="32"/>
          <w:szCs w:val="32"/>
        </w:rPr>
        <w:t>人以及在职人员正常晋职晋级导致工资福利等人员经费及商品服务支出增加</w:t>
      </w:r>
      <w:r w:rsidR="008F0124">
        <w:rPr>
          <w:rFonts w:ascii="Times New Roman" w:eastAsia="方正仿宋_GBK" w:hAnsi="Times New Roman" w:hint="eastAsia"/>
          <w:sz w:val="32"/>
          <w:szCs w:val="32"/>
        </w:rPr>
        <w:t>15.68</w:t>
      </w:r>
      <w:r w:rsidR="008F0124">
        <w:rPr>
          <w:rFonts w:ascii="Times New Roman" w:eastAsia="方正仿宋_GBK" w:hAnsi="Times New Roman" w:hint="eastAsia"/>
          <w:sz w:val="32"/>
          <w:szCs w:val="32"/>
        </w:rPr>
        <w:t>万元</w:t>
      </w:r>
      <w:r w:rsidR="008F0124">
        <w:rPr>
          <w:rFonts w:ascii="Times New Roman" w:eastAsia="方正仿宋_GBK" w:hAnsi="Times New Roman"/>
          <w:sz w:val="32"/>
          <w:szCs w:val="32"/>
        </w:rPr>
        <w:t>；项目支出</w:t>
      </w:r>
      <w:r w:rsidR="008F0124">
        <w:rPr>
          <w:rFonts w:ascii="Times New Roman" w:eastAsia="方正仿宋_GBK" w:hAnsi="Times New Roman" w:hint="eastAsia"/>
          <w:sz w:val="32"/>
          <w:szCs w:val="32"/>
        </w:rPr>
        <w:t>209</w:t>
      </w:r>
      <w:r w:rsidR="008F0124">
        <w:rPr>
          <w:rFonts w:ascii="Times New Roman" w:eastAsia="方正仿宋_GBK" w:hAnsi="Times New Roman"/>
          <w:sz w:val="32"/>
          <w:szCs w:val="32"/>
        </w:rPr>
        <w:t>万元，主要用于工业园区重点企业招工稳岗补贴重点工作</w:t>
      </w:r>
      <w:r w:rsidR="008F0124">
        <w:rPr>
          <w:rFonts w:ascii="Times New Roman" w:eastAsia="方正仿宋_GBK" w:hAnsi="Times New Roman" w:hint="eastAsia"/>
          <w:sz w:val="32"/>
          <w:szCs w:val="32"/>
        </w:rPr>
        <w:t>和</w:t>
      </w:r>
      <w:r w:rsidR="008F0124">
        <w:rPr>
          <w:rFonts w:ascii="方正仿宋_GBK" w:eastAsia="方正仿宋_GBK" w:hint="eastAsia"/>
          <w:sz w:val="32"/>
        </w:rPr>
        <w:t>县泵阀仪器仪表招商攻坚专班</w:t>
      </w:r>
      <w:r w:rsidR="008F0124">
        <w:rPr>
          <w:rFonts w:ascii="Times New Roman" w:eastAsia="方正仿宋_GBK" w:hAnsi="Times New Roman" w:hint="eastAsia"/>
          <w:sz w:val="32"/>
          <w:szCs w:val="32"/>
        </w:rPr>
        <w:t>工作经费</w:t>
      </w:r>
      <w:r w:rsidR="008F0124">
        <w:rPr>
          <w:rFonts w:ascii="Times New Roman" w:eastAsia="方正仿宋_GBK" w:hAnsi="Times New Roman"/>
          <w:sz w:val="32"/>
          <w:szCs w:val="32"/>
        </w:rPr>
        <w:t>，比</w:t>
      </w:r>
      <w:r w:rsidR="008F0124">
        <w:rPr>
          <w:rFonts w:ascii="Times New Roman" w:eastAsia="方正仿宋_GBK" w:hAnsi="Times New Roman" w:hint="eastAsia"/>
          <w:sz w:val="32"/>
          <w:szCs w:val="32"/>
        </w:rPr>
        <w:t>2025</w:t>
      </w:r>
      <w:r w:rsidR="008F0124">
        <w:rPr>
          <w:rFonts w:ascii="Times New Roman" w:eastAsia="方正仿宋_GBK" w:hAnsi="Times New Roman" w:hint="eastAsia"/>
          <w:sz w:val="32"/>
          <w:szCs w:val="32"/>
        </w:rPr>
        <w:t>年减少</w:t>
      </w:r>
      <w:r w:rsidR="008F0124">
        <w:rPr>
          <w:rFonts w:ascii="Times New Roman" w:eastAsia="方正仿宋_GBK" w:hAnsi="Times New Roman" w:hint="eastAsia"/>
          <w:sz w:val="32"/>
          <w:szCs w:val="32"/>
        </w:rPr>
        <w:t>250</w:t>
      </w:r>
      <w:r w:rsidR="008F0124">
        <w:rPr>
          <w:rFonts w:ascii="Times New Roman" w:eastAsia="方正仿宋_GBK" w:hAnsi="Times New Roman"/>
          <w:sz w:val="32"/>
          <w:szCs w:val="32"/>
        </w:rPr>
        <w:t>万元，主要原因是</w:t>
      </w:r>
      <w:r w:rsidR="008F0124">
        <w:rPr>
          <w:rFonts w:ascii="Times New Roman" w:eastAsia="方正仿宋_GBK" w:hAnsi="Times New Roman" w:hint="eastAsia"/>
          <w:sz w:val="32"/>
          <w:szCs w:val="32"/>
        </w:rPr>
        <w:t>本年度减少了</w:t>
      </w:r>
      <w:r w:rsidR="008F0124">
        <w:rPr>
          <w:rFonts w:ascii="Times New Roman" w:eastAsia="方正仿宋_GBK" w:hAnsi="Times New Roman"/>
          <w:sz w:val="32"/>
          <w:szCs w:val="32"/>
        </w:rPr>
        <w:t>石柱县公共服务能力提升项</w:t>
      </w:r>
      <w:r w:rsidR="008F0124">
        <w:rPr>
          <w:rFonts w:ascii="Times New Roman" w:eastAsia="方正仿宋_GBK" w:hAnsi="Times New Roman" w:hint="eastAsia"/>
          <w:sz w:val="32"/>
          <w:szCs w:val="32"/>
        </w:rPr>
        <w:t>目</w:t>
      </w:r>
      <w:r w:rsidR="008F0124">
        <w:rPr>
          <w:rFonts w:ascii="方正仿宋_GBK" w:eastAsia="方正仿宋_GBK"/>
          <w:sz w:val="32"/>
        </w:rPr>
        <w:t>（石柱县孵化楼服务能力提升项目）</w:t>
      </w:r>
      <w:r w:rsidR="008F0124">
        <w:rPr>
          <w:rFonts w:ascii="Times New Roman" w:eastAsia="方正仿宋_GBK" w:hAnsi="Times New Roman" w:hint="eastAsia"/>
          <w:sz w:val="32"/>
          <w:szCs w:val="32"/>
        </w:rPr>
        <w:t>支出。</w:t>
      </w:r>
    </w:p>
    <w:p w14:paraId="3485D8EC" w14:textId="77777777" w:rsidR="008F0124" w:rsidRDefault="008F0124" w:rsidP="008F0124">
      <w:pPr>
        <w:spacing w:line="600" w:lineRule="exact"/>
        <w:ind w:firstLineChars="200" w:firstLine="640"/>
        <w:rPr>
          <w:rFonts w:ascii="Times New Roman" w:eastAsia="方正仿宋_GBK" w:hAnsi="Times New Roman" w:cs="仿宋_GB2312"/>
          <w:sz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政府性基金预算财政拨款收入</w:t>
      </w:r>
      <w:r>
        <w:rPr>
          <w:rFonts w:ascii="Times New Roman" w:eastAsia="方正仿宋_GBK" w:hAnsi="Times New Roman" w:hint="eastAsia"/>
          <w:sz w:val="32"/>
          <w:szCs w:val="32"/>
        </w:rPr>
        <w:t>800</w:t>
      </w:r>
      <w:r>
        <w:rPr>
          <w:rFonts w:ascii="Times New Roman" w:eastAsia="方正仿宋_GBK" w:hAnsi="Times New Roman"/>
          <w:sz w:val="32"/>
          <w:szCs w:val="32"/>
        </w:rPr>
        <w:t>万元，政府性基金预算支出</w:t>
      </w:r>
      <w:r>
        <w:rPr>
          <w:rFonts w:ascii="Times New Roman" w:eastAsia="方正仿宋_GBK" w:hAnsi="Times New Roman" w:hint="eastAsia"/>
          <w:sz w:val="32"/>
          <w:szCs w:val="32"/>
        </w:rPr>
        <w:t>800</w:t>
      </w:r>
      <w:r>
        <w:rPr>
          <w:rFonts w:ascii="Times New Roman" w:eastAsia="方正仿宋_GBK" w:hAnsi="Times New Roman"/>
          <w:sz w:val="32"/>
          <w:szCs w:val="32"/>
        </w:rPr>
        <w:t>万元，主要用于</w:t>
      </w:r>
      <w:r w:rsidRPr="00006013">
        <w:rPr>
          <w:rFonts w:ascii="Times New Roman" w:eastAsia="方正仿宋_GBK" w:hAnsi="Times New Roman"/>
          <w:sz w:val="32"/>
          <w:szCs w:val="32"/>
        </w:rPr>
        <w:t>石柱县工业园区下路工业园区组团污水管网建设项</w:t>
      </w:r>
      <w:r w:rsidRPr="00006013">
        <w:rPr>
          <w:rFonts w:ascii="Times New Roman" w:eastAsia="方正仿宋_GBK" w:hAnsi="Times New Roman" w:hint="eastAsia"/>
          <w:sz w:val="32"/>
          <w:szCs w:val="32"/>
        </w:rPr>
        <w:t>目</w:t>
      </w:r>
      <w:r>
        <w:rPr>
          <w:rFonts w:ascii="Times New Roman" w:eastAsia="方正仿宋_GBK" w:hAnsi="Times New Roman"/>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800</w:t>
      </w:r>
      <w:r>
        <w:rPr>
          <w:rFonts w:ascii="Times New Roman" w:eastAsia="方正仿宋_GBK" w:hAnsi="Times New Roman"/>
          <w:sz w:val="32"/>
          <w:szCs w:val="32"/>
        </w:rPr>
        <w:t>万元，主要原因是</w:t>
      </w:r>
      <w:r w:rsidRPr="00006013">
        <w:rPr>
          <w:rFonts w:ascii="Times New Roman" w:eastAsia="方正仿宋_GBK" w:hAnsi="Times New Roman" w:hint="eastAsia"/>
          <w:sz w:val="32"/>
          <w:szCs w:val="32"/>
        </w:rPr>
        <w:t>其他政府性基金及对应专项债务收入安排的支出</w:t>
      </w:r>
      <w:r>
        <w:rPr>
          <w:rFonts w:ascii="Times New Roman" w:eastAsia="方正仿宋_GBK" w:hAnsi="Times New Roman" w:hint="eastAsia"/>
          <w:sz w:val="32"/>
          <w:szCs w:val="32"/>
        </w:rPr>
        <w:t>安排了</w:t>
      </w:r>
      <w:r w:rsidRPr="00006013">
        <w:rPr>
          <w:rFonts w:ascii="Times New Roman" w:eastAsia="方正仿宋_GBK" w:hAnsi="Times New Roman"/>
          <w:sz w:val="32"/>
          <w:szCs w:val="32"/>
        </w:rPr>
        <w:t>石柱县工业园区下路工业园区组团污水管网建设项</w:t>
      </w:r>
      <w:r w:rsidRPr="00006013">
        <w:rPr>
          <w:rFonts w:ascii="Times New Roman" w:eastAsia="方正仿宋_GBK" w:hAnsi="Times New Roman" w:hint="eastAsia"/>
          <w:sz w:val="32"/>
          <w:szCs w:val="32"/>
        </w:rPr>
        <w:t>目</w:t>
      </w:r>
      <w:r w:rsidRPr="00006013">
        <w:rPr>
          <w:rFonts w:ascii="Times New Roman" w:eastAsia="方正仿宋_GBK" w:hAnsi="Times New Roman" w:hint="eastAsia"/>
          <w:sz w:val="32"/>
          <w:szCs w:val="32"/>
        </w:rPr>
        <w:t>800</w:t>
      </w:r>
      <w:r w:rsidRPr="00006013">
        <w:rPr>
          <w:rFonts w:ascii="Times New Roman" w:eastAsia="方正仿宋_GBK" w:hAnsi="Times New Roman" w:hint="eastAsia"/>
          <w:sz w:val="32"/>
          <w:szCs w:val="32"/>
        </w:rPr>
        <w:t>万元。</w:t>
      </w:r>
    </w:p>
    <w:p w14:paraId="0DDF9B92" w14:textId="77777777"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hint="eastAsia"/>
          <w:sz w:val="32"/>
          <w:szCs w:val="32"/>
        </w:rPr>
        <w:t>“</w:t>
      </w:r>
      <w:r>
        <w:rPr>
          <w:rFonts w:ascii="Times New Roman" w:eastAsia="方正黑体_GBK" w:hAnsi="Times New Roman"/>
          <w:sz w:val="32"/>
          <w:szCs w:val="32"/>
        </w:rPr>
        <w:t>三公</w:t>
      </w:r>
      <w:r>
        <w:rPr>
          <w:rFonts w:ascii="Times New Roman" w:eastAsia="方正黑体_GBK" w:hAnsi="Times New Roman" w:hint="eastAsia"/>
          <w:sz w:val="32"/>
          <w:szCs w:val="32"/>
        </w:rPr>
        <w:t>”</w:t>
      </w:r>
      <w:r>
        <w:rPr>
          <w:rFonts w:ascii="Times New Roman" w:eastAsia="方正黑体_GBK" w:hAnsi="Times New Roman"/>
          <w:sz w:val="32"/>
          <w:szCs w:val="32"/>
        </w:rPr>
        <w:t>经费情况说明</w:t>
      </w:r>
    </w:p>
    <w:p w14:paraId="565FEE9A" w14:textId="77777777" w:rsidR="008F0124" w:rsidRDefault="008F0124" w:rsidP="008F0124">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三公</w:t>
      </w:r>
      <w:r>
        <w:rPr>
          <w:rFonts w:ascii="Times New Roman" w:eastAsia="方正仿宋_GBK" w:hAnsi="Times New Roman" w:hint="eastAsia"/>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4.79</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。其中：公务接待费</w:t>
      </w:r>
      <w:r>
        <w:rPr>
          <w:rFonts w:ascii="Times New Roman" w:eastAsia="方正仿宋_GBK" w:hAnsi="Times New Roman" w:hint="eastAsia"/>
          <w:sz w:val="32"/>
          <w:szCs w:val="32"/>
        </w:rPr>
        <w:t>2.19</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；公务用车运行维护费</w:t>
      </w:r>
      <w:r>
        <w:rPr>
          <w:rFonts w:ascii="Times New Roman" w:eastAsia="方正仿宋_GBK" w:hAnsi="Times New Roman" w:hint="eastAsia"/>
          <w:sz w:val="32"/>
          <w:szCs w:val="32"/>
        </w:rPr>
        <w:t>2.6</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；公务用车购置费</w:t>
      </w:r>
      <w:r>
        <w:rPr>
          <w:rFonts w:ascii="Times New Roman" w:eastAsia="方正仿宋_GBK" w:hAnsi="Times New Roman" w:hint="eastAsia"/>
          <w:sz w:val="32"/>
          <w:szCs w:val="32"/>
        </w:rPr>
        <w:t>0</w:t>
      </w:r>
      <w:r>
        <w:rPr>
          <w:rFonts w:ascii="Times New Roman" w:eastAsia="方正仿宋_GBK" w:hAnsi="Times New Roman"/>
          <w:sz w:val="32"/>
          <w:szCs w:val="32"/>
        </w:rPr>
        <w:t>万元。</w:t>
      </w:r>
    </w:p>
    <w:p w14:paraId="39517D7C" w14:textId="77777777"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14:paraId="0647DB56" w14:textId="77777777" w:rsidR="001D4092" w:rsidRDefault="00580C1F">
      <w:pPr>
        <w:ind w:firstLineChars="200" w:firstLine="640"/>
        <w:rPr>
          <w:rFonts w:ascii="Times New Roman" w:eastAsia="方正仿宋_GBK" w:hAnsi="Times New Roman"/>
          <w:b/>
          <w:bCs/>
          <w:sz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一般公共预算财政拨款运行经费</w:t>
      </w:r>
      <w:r w:rsidR="0071651C">
        <w:rPr>
          <w:rFonts w:ascii="Times New Roman" w:eastAsia="方正仿宋_GBK" w:hAnsi="Times New Roman" w:hint="eastAsia"/>
          <w:sz w:val="32"/>
          <w:szCs w:val="32"/>
        </w:rPr>
        <w:t>120.01</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sidR="009F640C">
        <w:rPr>
          <w:rFonts w:ascii="Times New Roman" w:eastAsia="方正仿宋_GBK" w:hAnsi="Times New Roman" w:hint="eastAsia"/>
          <w:sz w:val="32"/>
          <w:szCs w:val="32"/>
        </w:rPr>
        <w:t>3.42</w:t>
      </w:r>
      <w:r>
        <w:rPr>
          <w:rFonts w:ascii="Times New Roman" w:eastAsia="方正仿宋_GBK" w:hAnsi="Times New Roman"/>
          <w:sz w:val="32"/>
          <w:szCs w:val="32"/>
        </w:rPr>
        <w:t>万元，主要原因为</w:t>
      </w:r>
      <w:r w:rsidR="009F640C">
        <w:rPr>
          <w:rFonts w:ascii="Times New Roman" w:eastAsia="方正仿宋_GBK" w:hAnsi="Times New Roman" w:hint="eastAsia"/>
          <w:sz w:val="32"/>
          <w:szCs w:val="32"/>
        </w:rPr>
        <w:t>严格落实过紧日子的要求，压减办公成本，单位内部会议尽量使用无纸化会议，多开展线上业务指导和交流</w:t>
      </w:r>
      <w:r w:rsidR="009F640C">
        <w:rPr>
          <w:rFonts w:ascii="Times New Roman" w:eastAsia="方正仿宋_GBK" w:hAnsi="Times New Roman"/>
          <w:sz w:val="32"/>
          <w:szCs w:val="32"/>
        </w:rPr>
        <w:t>；</w:t>
      </w:r>
      <w:r>
        <w:rPr>
          <w:rFonts w:ascii="Times New Roman" w:eastAsia="方正仿宋_GBK" w:hAnsi="Times New Roman"/>
          <w:sz w:val="32"/>
          <w:szCs w:val="32"/>
        </w:rPr>
        <w:t>主要用于办公费、印刷费、</w:t>
      </w:r>
      <w:r>
        <w:rPr>
          <w:rFonts w:ascii="Times New Roman" w:eastAsia="方正仿宋_GBK" w:hAnsi="Times New Roman"/>
          <w:sz w:val="32"/>
          <w:szCs w:val="32"/>
        </w:rPr>
        <w:lastRenderedPageBreak/>
        <w:t>邮电费、水电</w:t>
      </w:r>
      <w:r>
        <w:rPr>
          <w:rFonts w:ascii="Times New Roman" w:eastAsia="方正仿宋_GBK" w:hAnsi="Times New Roman"/>
          <w:sz w:val="32"/>
        </w:rPr>
        <w:t>费、物管费、差旅费、会议费、培训费及其他商品和服务支出等。</w:t>
      </w:r>
    </w:p>
    <w:p w14:paraId="0DB62B31" w14:textId="77777777" w:rsidR="001D4092" w:rsidRDefault="00580C1F">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政府采购情况。所属各预算单位政府采购预算总额</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万元：政府采购货物预算</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万元；其中一般公共预算拨款政府采购</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万元：政府采购货物预算</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w:t>
      </w:r>
    </w:p>
    <w:p w14:paraId="20A3AC14" w14:textId="77777777" w:rsidR="001D4092" w:rsidRDefault="00580C1F">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项目支出均实行了绩效目标管理，涉及一般公共预算财政拨款</w:t>
      </w:r>
      <w:r w:rsidR="00AB0F56">
        <w:rPr>
          <w:rFonts w:ascii="Times New Roman" w:eastAsia="方正仿宋_GBK" w:hAnsi="Times New Roman" w:hint="eastAsia"/>
          <w:sz w:val="32"/>
          <w:szCs w:val="32"/>
        </w:rPr>
        <w:t>209</w:t>
      </w:r>
      <w:r>
        <w:rPr>
          <w:rFonts w:ascii="Times New Roman" w:eastAsia="方正仿宋_GBK" w:hAnsi="Times New Roman"/>
          <w:sz w:val="32"/>
          <w:szCs w:val="32"/>
        </w:rPr>
        <w:t>万元。</w:t>
      </w:r>
    </w:p>
    <w:p w14:paraId="420D345C" w14:textId="4A969E1D" w:rsidR="001D4092" w:rsidRDefault="00580C1F">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国有资产占有使用情况。截</w:t>
      </w:r>
      <w:r w:rsidR="00EA3692">
        <w:rPr>
          <w:rFonts w:ascii="Times New Roman" w:eastAsia="方正仿宋_GBK" w:hAnsi="Times New Roman" w:hint="eastAsia"/>
          <w:sz w:val="32"/>
          <w:szCs w:val="32"/>
        </w:rPr>
        <w:t>至</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月，所属各预算单位共有车辆</w:t>
      </w:r>
      <w:r w:rsidR="00AB0F56">
        <w:rPr>
          <w:rFonts w:ascii="Times New Roman" w:eastAsia="方正仿宋_GBK" w:hAnsi="Times New Roman" w:hint="eastAsia"/>
          <w:sz w:val="32"/>
          <w:szCs w:val="32"/>
        </w:rPr>
        <w:t>1</w:t>
      </w:r>
      <w:r>
        <w:rPr>
          <w:rFonts w:ascii="Times New Roman" w:eastAsia="方正仿宋_GBK" w:hAnsi="Times New Roman"/>
          <w:sz w:val="32"/>
          <w:szCs w:val="32"/>
        </w:rPr>
        <w:t>辆，其中一般公务用车</w:t>
      </w:r>
      <w:r w:rsidR="00AB0F56">
        <w:rPr>
          <w:rFonts w:ascii="Times New Roman" w:eastAsia="方正仿宋_GBK" w:hAnsi="Times New Roman" w:hint="eastAsia"/>
          <w:sz w:val="32"/>
          <w:szCs w:val="32"/>
        </w:rPr>
        <w:t>1</w:t>
      </w:r>
      <w:r w:rsidR="00AB0F56">
        <w:rPr>
          <w:rFonts w:ascii="Times New Roman" w:eastAsia="方正仿宋_GBK" w:hAnsi="Times New Roman"/>
          <w:sz w:val="32"/>
          <w:szCs w:val="32"/>
        </w:rPr>
        <w:t>辆</w:t>
      </w:r>
      <w:r>
        <w:rPr>
          <w:rFonts w:ascii="Times New Roman" w:eastAsia="方正仿宋_GBK" w:hAnsi="Times New Roman"/>
          <w:sz w:val="32"/>
          <w:szCs w:val="32"/>
        </w:rPr>
        <w:t>。</w:t>
      </w:r>
      <w:r w:rsidR="00AB0F56">
        <w:rPr>
          <w:rFonts w:ascii="Times New Roman" w:eastAsia="方正仿宋_GBK" w:hAnsi="Times New Roman" w:cs="仿宋_GB2312" w:hint="eastAsia"/>
          <w:color w:val="000000"/>
          <w:sz w:val="32"/>
        </w:rPr>
        <w:t>2026</w:t>
      </w:r>
      <w:r w:rsidR="00AB0F56">
        <w:rPr>
          <w:rFonts w:ascii="仿宋_GB2312" w:eastAsia="仿宋_GB2312" w:hAnsi="仿宋_GB2312" w:cs="仿宋_GB2312" w:hint="eastAsia"/>
          <w:color w:val="000000"/>
          <w:sz w:val="32"/>
        </w:rPr>
        <w:t>年</w:t>
      </w:r>
      <w:r w:rsidR="00AB0F56">
        <w:rPr>
          <w:rFonts w:ascii="方正仿宋_GBK" w:eastAsia="方正仿宋_GBK" w:hAnsi="方正仿宋_GBK" w:cs="方正仿宋_GBK" w:hint="eastAsia"/>
          <w:color w:val="000000"/>
          <w:sz w:val="32"/>
          <w:szCs w:val="32"/>
        </w:rPr>
        <w:t>一般公共预算未安排购置车辆</w:t>
      </w:r>
      <w:r>
        <w:rPr>
          <w:rFonts w:ascii="Times New Roman" w:eastAsia="方正仿宋_GBK" w:hAnsi="Times New Roman"/>
          <w:sz w:val="32"/>
          <w:szCs w:val="32"/>
        </w:rPr>
        <w:t>。</w:t>
      </w:r>
    </w:p>
    <w:p w14:paraId="0F9E9700" w14:textId="77777777" w:rsidR="001D4092" w:rsidRDefault="00580C1F">
      <w:pPr>
        <w:spacing w:line="600" w:lineRule="exact"/>
        <w:ind w:firstLineChars="200" w:firstLine="640"/>
        <w:rPr>
          <w:rFonts w:ascii="Times New Roman" w:eastAsia="方正黑体_GBK" w:hAnsi="Times New Roman" w:cs="仿宋_GB2312"/>
          <w:sz w:val="32"/>
        </w:rPr>
      </w:pPr>
      <w:r>
        <w:rPr>
          <w:rFonts w:ascii="Times New Roman" w:eastAsia="方正黑体_GBK" w:hAnsi="Times New Roman"/>
          <w:sz w:val="32"/>
        </w:rPr>
        <w:t>六、专业性名词解释</w:t>
      </w:r>
      <w:r>
        <w:rPr>
          <w:rFonts w:ascii="Times New Roman" w:eastAsia="方正黑体_GBK" w:hAnsi="Times New Roman" w:cs="仿宋_GB2312" w:hint="eastAsia"/>
          <w:sz w:val="32"/>
        </w:rPr>
        <w:t>（纳入向社会公开范围的单位必须填写）</w:t>
      </w:r>
    </w:p>
    <w:p w14:paraId="52138BDA" w14:textId="77777777"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14:paraId="52E91485" w14:textId="77777777"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hint="eastAsia"/>
          <w:sz w:val="32"/>
        </w:rPr>
        <w:t>“</w:t>
      </w:r>
      <w:r>
        <w:rPr>
          <w:rFonts w:ascii="Times New Roman" w:eastAsia="方正仿宋_GBK" w:hAnsi="Times New Roman"/>
          <w:sz w:val="32"/>
        </w:rPr>
        <w:t>财政拨款收入</w:t>
      </w:r>
      <w:r>
        <w:rPr>
          <w:rFonts w:ascii="Times New Roman" w:eastAsia="方正仿宋_GBK" w:hAnsi="Times New Roman" w:hint="eastAsia"/>
          <w:sz w:val="32"/>
        </w:rPr>
        <w:t>”</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rPr>
        <w:t>事业收入</w:t>
      </w:r>
      <w:r>
        <w:rPr>
          <w:rFonts w:ascii="Times New Roman" w:eastAsia="方正仿宋_GBK" w:hAnsi="Times New Roman" w:hint="eastAsia"/>
          <w:sz w:val="32"/>
        </w:rPr>
        <w:t>”</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rPr>
        <w:t>经营收入</w:t>
      </w:r>
      <w:r>
        <w:rPr>
          <w:rFonts w:ascii="Times New Roman" w:eastAsia="方正仿宋_GBK" w:hAnsi="Times New Roman" w:hint="eastAsia"/>
          <w:sz w:val="32"/>
        </w:rPr>
        <w:t>”</w:t>
      </w:r>
      <w:r>
        <w:rPr>
          <w:rFonts w:ascii="Times New Roman" w:eastAsia="方正仿宋_GBK" w:hAnsi="Times New Roman"/>
          <w:sz w:val="32"/>
        </w:rPr>
        <w:t>等以外的收入。</w:t>
      </w:r>
    </w:p>
    <w:p w14:paraId="52C5027D" w14:textId="77777777"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14:paraId="6AFD5CE2" w14:textId="77777777"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14:paraId="14E14463" w14:textId="77777777"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hint="eastAsia"/>
          <w:sz w:val="32"/>
        </w:rPr>
        <w:t>“</w:t>
      </w:r>
      <w:r>
        <w:rPr>
          <w:rFonts w:ascii="Times New Roman" w:eastAsia="方正楷体_GBK" w:hAnsi="Times New Roman"/>
          <w:sz w:val="32"/>
        </w:rPr>
        <w:t>三公</w:t>
      </w:r>
      <w:r>
        <w:rPr>
          <w:rFonts w:ascii="Times New Roman" w:eastAsia="方正楷体_GBK" w:hAnsi="Times New Roman" w:hint="eastAsia"/>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w:t>
      </w:r>
      <w:r>
        <w:rPr>
          <w:rFonts w:ascii="Times New Roman" w:eastAsia="方正仿宋_GBK" w:hAnsi="Times New Roman"/>
          <w:sz w:val="32"/>
        </w:rPr>
        <w:lastRenderedPageBreak/>
        <w:t>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1094E3A" w14:textId="77777777" w:rsidR="001D4092" w:rsidRDefault="001D4092">
      <w:pPr>
        <w:ind w:firstLineChars="200" w:firstLine="640"/>
        <w:rPr>
          <w:rFonts w:ascii="Times New Roman" w:eastAsia="方正仿宋_GBK" w:hAnsi="Times New Roman"/>
          <w:sz w:val="32"/>
          <w:szCs w:val="32"/>
        </w:rPr>
      </w:pPr>
    </w:p>
    <w:p w14:paraId="7D0ACCC0" w14:textId="77777777" w:rsidR="001D4092" w:rsidRDefault="00580C1F">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部门预算公开联系人：</w:t>
      </w:r>
      <w:r w:rsidR="00AB0F56">
        <w:rPr>
          <w:rFonts w:ascii="Times New Roman" w:eastAsia="方正仿宋_GBK" w:hAnsi="Times New Roman" w:hint="eastAsia"/>
          <w:sz w:val="32"/>
          <w:szCs w:val="32"/>
        </w:rPr>
        <w:t>徐晓永</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sidR="00AB0F56">
        <w:rPr>
          <w:rFonts w:ascii="Times New Roman" w:eastAsia="方正仿宋_GBK" w:hAnsi="Times New Roman" w:hint="eastAsia"/>
          <w:sz w:val="32"/>
          <w:szCs w:val="32"/>
        </w:rPr>
        <w:t>73328389</w:t>
      </w:r>
    </w:p>
    <w:sectPr w:rsidR="001D4092">
      <w:footerReference w:type="default" r:id="rId7"/>
      <w:pgSz w:w="11906" w:h="16838"/>
      <w:pgMar w:top="1440" w:right="1440" w:bottom="1440" w:left="1440" w:header="851" w:footer="147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0717E" w14:textId="77777777" w:rsidR="00126230" w:rsidRDefault="00126230">
      <w:r>
        <w:separator/>
      </w:r>
    </w:p>
  </w:endnote>
  <w:endnote w:type="continuationSeparator" w:id="0">
    <w:p w14:paraId="474A2B2F" w14:textId="77777777" w:rsidR="00126230" w:rsidRDefault="0012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5061" w14:textId="77777777" w:rsidR="001D4092" w:rsidRDefault="00580C1F">
    <w:pPr>
      <w:pStyle w:val="a5"/>
    </w:pPr>
    <w:r>
      <w:rPr>
        <w:noProof/>
      </w:rPr>
      <mc:AlternateContent>
        <mc:Choice Requires="wps">
          <w:drawing>
            <wp:anchor distT="0" distB="0" distL="114300" distR="114300" simplePos="0" relativeHeight="251659264" behindDoc="0" locked="0" layoutInCell="1" allowOverlap="1" wp14:anchorId="1106DA40" wp14:editId="4EEF759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FA987" w14:textId="77777777" w:rsidR="001D4092" w:rsidRDefault="00580C1F">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30A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06DA40"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37FA987" w14:textId="77777777" w:rsidR="001D4092" w:rsidRDefault="00580C1F">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30A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A9059" w14:textId="77777777" w:rsidR="00126230" w:rsidRDefault="00126230">
      <w:r>
        <w:separator/>
      </w:r>
    </w:p>
  </w:footnote>
  <w:footnote w:type="continuationSeparator" w:id="0">
    <w:p w14:paraId="56539ADB" w14:textId="77777777" w:rsidR="00126230" w:rsidRDefault="00126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CF0"/>
    <w:rsid w:val="000065FF"/>
    <w:rsid w:val="00025D49"/>
    <w:rsid w:val="000E6986"/>
    <w:rsid w:val="000E7A86"/>
    <w:rsid w:val="00104156"/>
    <w:rsid w:val="00126230"/>
    <w:rsid w:val="001C295B"/>
    <w:rsid w:val="001D4092"/>
    <w:rsid w:val="001F62A7"/>
    <w:rsid w:val="00201E27"/>
    <w:rsid w:val="0026729D"/>
    <w:rsid w:val="00295D2E"/>
    <w:rsid w:val="002F0B32"/>
    <w:rsid w:val="00315FF1"/>
    <w:rsid w:val="00326B00"/>
    <w:rsid w:val="00357D5D"/>
    <w:rsid w:val="00366915"/>
    <w:rsid w:val="003C56C2"/>
    <w:rsid w:val="003F3271"/>
    <w:rsid w:val="00412B49"/>
    <w:rsid w:val="0048380D"/>
    <w:rsid w:val="005124F3"/>
    <w:rsid w:val="00562209"/>
    <w:rsid w:val="00580C1F"/>
    <w:rsid w:val="005A5BC6"/>
    <w:rsid w:val="005D30A6"/>
    <w:rsid w:val="006E66F0"/>
    <w:rsid w:val="0071651C"/>
    <w:rsid w:val="00733337"/>
    <w:rsid w:val="00746575"/>
    <w:rsid w:val="0075644E"/>
    <w:rsid w:val="0076031D"/>
    <w:rsid w:val="00825E43"/>
    <w:rsid w:val="00892B61"/>
    <w:rsid w:val="008F0124"/>
    <w:rsid w:val="009027F8"/>
    <w:rsid w:val="009A024E"/>
    <w:rsid w:val="009C0C1E"/>
    <w:rsid w:val="009F640C"/>
    <w:rsid w:val="00A85988"/>
    <w:rsid w:val="00AB0F56"/>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EA3692"/>
    <w:rsid w:val="00ED1687"/>
    <w:rsid w:val="00F07238"/>
    <w:rsid w:val="00F10794"/>
    <w:rsid w:val="00F35787"/>
    <w:rsid w:val="00F602BE"/>
    <w:rsid w:val="00FB76E9"/>
    <w:rsid w:val="00FE3041"/>
    <w:rsid w:val="0D7A365A"/>
    <w:rsid w:val="133B1901"/>
    <w:rsid w:val="19DB55F5"/>
    <w:rsid w:val="1BA22995"/>
    <w:rsid w:val="1DD801A3"/>
    <w:rsid w:val="1EAF42D1"/>
    <w:rsid w:val="26BD17DD"/>
    <w:rsid w:val="274B199A"/>
    <w:rsid w:val="2A1750A8"/>
    <w:rsid w:val="2BE20CDE"/>
    <w:rsid w:val="2CCF2174"/>
    <w:rsid w:val="32513FE1"/>
    <w:rsid w:val="387110B4"/>
    <w:rsid w:val="3A720DEA"/>
    <w:rsid w:val="3B9B3520"/>
    <w:rsid w:val="489617E1"/>
    <w:rsid w:val="4D5D69EE"/>
    <w:rsid w:val="5A254D94"/>
    <w:rsid w:val="5B8E1A9F"/>
    <w:rsid w:val="5CF21E57"/>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1A31F"/>
  <w15:docId w15:val="{35C5F498-BC2B-4B60-90A4-77E2BD50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snapToGrid w:val="0"/>
      <w:jc w:val="left"/>
    </w:pPr>
    <w:rPr>
      <w:sz w:val="18"/>
      <w:szCs w:val="18"/>
    </w:rPr>
  </w:style>
  <w:style w:type="paragraph" w:styleId="a7">
    <w:name w:val="header"/>
    <w:basedOn w:val="a"/>
    <w:link w:val="a8"/>
    <w:qFormat/>
    <w:pPr>
      <w:pBdr>
        <w:bottom w:val="single" w:sz="6" w:space="1" w:color="auto"/>
      </w:pBdr>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a4">
    <w:name w:val="批注框文本 字符"/>
    <w:link w:val="a3"/>
    <w:qFormat/>
    <w:rPr>
      <w:kern w:val="2"/>
      <w:sz w:val="18"/>
      <w:szCs w:val="18"/>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paragraph" w:styleId="aa">
    <w:name w:val="List Paragraph"/>
    <w:basedOn w:val="a"/>
    <w:qFormat/>
    <w:pPr>
      <w:ind w:firstLineChars="200" w:firstLine="420"/>
    </w:pPr>
  </w:style>
  <w:style w:type="character" w:customStyle="1" w:styleId="23">
    <w:name w:val="23"/>
    <w:basedOn w:val="a0"/>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35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1177</Words>
  <Characters>1285</Characters>
  <Application>Microsoft Office Word</Application>
  <DocSecurity>0</DocSecurity>
  <Lines>51</Lines>
  <Paragraphs>27</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ZQ</cp:lastModifiedBy>
  <cp:revision>6</cp:revision>
  <cp:lastPrinted>2018-01-02T08:11:00Z</cp:lastPrinted>
  <dcterms:created xsi:type="dcterms:W3CDTF">2026-02-10T03:17:00Z</dcterms:created>
  <dcterms:modified xsi:type="dcterms:W3CDTF">2026-07-08T03:30:00Z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BC46DE40CF9B4776AA076014997ADBE0</vt:lpwstr>
  </property>
</Properties>
</file>