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ind w:left="0"/>
        <w:jc w:val="center"/>
        <w:rPr>
          <w:rFonts w:hint="eastAsia" w:ascii="方正小标宋_GBK" w:hAnsi="方正小标宋_GBK" w:eastAsia="方正小标宋_GBK" w:cs="方正小标宋_GBK"/>
          <w:kern w:val="0"/>
          <w:sz w:val="36"/>
          <w:szCs w:val="36"/>
        </w:rPr>
      </w:pPr>
      <w:bookmarkStart w:id="0" w:name="_GoBack"/>
      <w:bookmarkEnd w:id="0"/>
      <w:r>
        <w:rPr>
          <w:rFonts w:hint="eastAsia" w:ascii="方正小标宋_GBK" w:hAnsi="方正小标宋_GBK" w:eastAsia="方正小标宋_GBK" w:cs="方正小标宋_GBK"/>
          <w:kern w:val="0"/>
          <w:sz w:val="36"/>
          <w:szCs w:val="36"/>
          <w:shd w:val="clear" w:fill="FFFFFF"/>
        </w:rPr>
        <w:t>重庆市石柱土家族自治县供销合作社联合社</w:t>
      </w:r>
    </w:p>
    <w:p>
      <w:pPr>
        <w:pStyle w:val="4"/>
        <w:keepNext w:val="0"/>
        <w:keepLines w:val="0"/>
        <w:widowControl/>
        <w:suppressLineNumbers w:val="0"/>
        <w:spacing w:before="0" w:beforeAutospacing="0"/>
        <w:ind w:left="0"/>
        <w:jc w:val="center"/>
        <w:rPr>
          <w:rFonts w:hint="eastAsia" w:ascii="宋体" w:hAnsi="宋体" w:eastAsia="宋体" w:cs="宋体"/>
          <w:kern w:val="0"/>
          <w:sz w:val="36"/>
          <w:szCs w:val="36"/>
        </w:rPr>
      </w:pPr>
      <w:r>
        <w:rPr>
          <w:rFonts w:hint="eastAsia" w:ascii="方正小标宋_GBK" w:hAnsi="方正小标宋_GBK" w:eastAsia="方正小标宋_GBK" w:cs="方正小标宋_GBK"/>
          <w:kern w:val="0"/>
          <w:sz w:val="36"/>
          <w:szCs w:val="36"/>
          <w:shd w:val="clear" w:fill="FFFFFF"/>
        </w:rPr>
        <w:t>2021年度部门决算情况说明</w:t>
      </w:r>
    </w:p>
    <w:p>
      <w:pPr>
        <w:pStyle w:val="4"/>
        <w:keepNext w:val="0"/>
        <w:keepLines w:val="0"/>
        <w:widowControl/>
        <w:suppressLineNumbers w:val="0"/>
        <w:autoSpaceDE w:val="0"/>
        <w:autoSpaceDN/>
        <w:spacing w:before="0" w:beforeAutospacing="0" w:line="600" w:lineRule="exact"/>
        <w:ind w:left="0"/>
        <w:jc w:val="left"/>
        <w:rPr>
          <w:rFonts w:hint="eastAsia" w:ascii="方正黑体_GBK" w:hAnsi="方正黑体_GBK" w:eastAsia="方正黑体_GBK" w:cs="方正黑体_GBK"/>
          <w:kern w:val="0"/>
          <w:sz w:val="32"/>
          <w:szCs w:val="32"/>
        </w:rPr>
      </w:pPr>
      <w:r>
        <w:rPr>
          <w:rStyle w:val="5"/>
          <w:rFonts w:hint="eastAsia" w:ascii="宋体" w:hAnsi="宋体" w:eastAsia="宋体" w:cs="宋体"/>
          <w:b/>
          <w:bCs w:val="0"/>
          <w:sz w:val="32"/>
          <w:szCs w:val="32"/>
          <w:shd w:val="clear" w:fill="FFFFFF"/>
        </w:rPr>
        <w:t xml:space="preserve"> </w:t>
      </w:r>
      <w:r>
        <w:rPr>
          <w:rStyle w:val="6"/>
          <w:rFonts w:hint="eastAsia" w:ascii="方正黑体_GBK" w:hAnsi="方正黑体_GBK" w:eastAsia="方正黑体_GBK" w:cs="方正黑体_GBK"/>
          <w:b/>
          <w:bCs w:val="0"/>
          <w:sz w:val="32"/>
          <w:szCs w:val="32"/>
          <w:shd w:val="clear" w:fill="FFFFFF"/>
        </w:rPr>
        <w:t>一、部门基本情况</w:t>
      </w:r>
    </w:p>
    <w:p>
      <w:pPr>
        <w:pStyle w:val="4"/>
        <w:keepNext w:val="0"/>
        <w:keepLines w:val="0"/>
        <w:widowControl/>
        <w:suppressLineNumbers w:val="0"/>
        <w:autoSpaceDE w:val="0"/>
        <w:autoSpaceDN/>
        <w:spacing w:before="0" w:beforeAutospacing="0" w:line="600" w:lineRule="exact"/>
        <w:ind w:left="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shd w:val="clear" w:fill="FFFFFF"/>
        </w:rPr>
        <w:t xml:space="preserve">  </w:t>
      </w:r>
      <w:r>
        <w:rPr>
          <w:rStyle w:val="6"/>
          <w:rFonts w:hint="eastAsia" w:ascii="方正楷体_GBK" w:hAnsi="方正楷体_GBK" w:eastAsia="方正楷体_GBK" w:cs="方正楷体_GBK"/>
          <w:b/>
          <w:bCs w:val="0"/>
          <w:sz w:val="32"/>
          <w:szCs w:val="32"/>
          <w:shd w:val="clear" w:fill="FFFFFF"/>
        </w:rPr>
        <w:t>（一）职能职责</w:t>
      </w:r>
    </w:p>
    <w:p>
      <w:pPr>
        <w:keepNext w:val="0"/>
        <w:keepLines w:val="0"/>
        <w:widowControl/>
        <w:suppressLineNumbers w:val="0"/>
        <w:autoSpaceDE w:val="0"/>
        <w:autoSpaceDN/>
        <w:snapToGrid w:val="0"/>
        <w:spacing w:line="600" w:lineRule="exact"/>
        <w:ind w:left="0" w:firstLine="405" w:firstLineChars="150"/>
        <w:rPr>
          <w:rFonts w:hint="eastAsia" w:ascii="方正仿宋_GBK" w:hAnsi="方正仿宋_GBK" w:eastAsia="方正仿宋_GBK" w:cs="方正仿宋_GBK"/>
          <w:kern w:val="0"/>
          <w:sz w:val="32"/>
          <w:szCs w:val="32"/>
        </w:rPr>
      </w:pPr>
      <w:r>
        <w:rPr>
          <w:rStyle w:val="6"/>
          <w:rFonts w:hint="eastAsia" w:ascii="方正仿宋_GBK" w:hAnsi="方正仿宋_GBK" w:eastAsia="方正仿宋_GBK" w:cs="方正仿宋_GBK"/>
          <w:b/>
          <w:bCs w:val="0"/>
          <w:sz w:val="27"/>
          <w:szCs w:val="27"/>
          <w:shd w:val="clear" w:fill="FFFFFF"/>
        </w:rPr>
        <w:t xml:space="preserve"> </w:t>
      </w:r>
      <w:r>
        <w:rPr>
          <w:rFonts w:hint="eastAsia" w:ascii="方正仿宋_GBK" w:hAnsi="方正仿宋_GBK" w:eastAsia="方正仿宋_GBK" w:cs="方正仿宋_GBK"/>
          <w:kern w:val="0"/>
          <w:sz w:val="32"/>
          <w:szCs w:val="32"/>
        </w:rPr>
        <w:t>1、贯彻执行党中央、国务院、市委、市政府和县委、县政府有关农村经济工作和社会发展的方针政策。</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2、研究拟订全县供销合作社联合社的发展战略和发展规划；指导全县供销合作社联合社的改革和发展;组织起草审查供销合作社有关规范性文件。</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3、按照政府授权对重要农业生产资料、再生资源及农副产品等经营进行组织、协调和管理，负责指导全县供销合作社联合社系统做好化肥储备和供应工作。</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指导推进全县农村合作经济组织发展；牵头组建、指导和推动全县发展各类专业合作社；加强农村综合服务体系建设，开拓培育城乡市场；参与农业产业化经营工作；参与农村现代流通网络建设；组织开展对农村合作经济组织人员的培训工作。</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5、依法管理运营社有资产，建立完善现代企业制度，监督社有资产保值增值；指导社有出资企业改革发展；对社有出资企业行使出资人职责。</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6、协调与政府部门、社会组织的关系，指导主管行业协会的业务工作及成员社的业务活动。</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7、承担全县烟花爆竹安全经营管理和烟花爆竹市场有序供应的责任；负责全县烟花爆竹统一归口管理，承担全县烟花爆竹专营管理的日常工作。</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8、承办县政府交办的其他事项。</w:t>
      </w:r>
    </w:p>
    <w:p>
      <w:pPr>
        <w:pStyle w:val="4"/>
        <w:keepNext w:val="0"/>
        <w:keepLines w:val="0"/>
        <w:widowControl/>
        <w:suppressLineNumbers w:val="0"/>
        <w:autoSpaceDE w:val="0"/>
        <w:autoSpaceDN/>
        <w:spacing w:before="0" w:beforeAutospacing="0" w:line="600" w:lineRule="exact"/>
        <w:ind w:left="0"/>
        <w:jc w:val="left"/>
        <w:rPr>
          <w:rFonts w:hint="eastAsia" w:ascii="方正楷体_GBK" w:hAnsi="方正楷体_GBK" w:eastAsia="方正楷体_GBK" w:cs="方正楷体_GBK"/>
          <w:b/>
          <w:bCs w:val="0"/>
          <w:sz w:val="32"/>
          <w:szCs w:val="32"/>
          <w:shd w:val="clear" w:fill="FFFFFF"/>
        </w:rPr>
      </w:pPr>
      <w:r>
        <w:rPr>
          <w:rStyle w:val="6"/>
          <w:rFonts w:hint="eastAsia" w:ascii="方正楷体_GBK" w:hAnsi="方正楷体_GBK" w:eastAsia="方正楷体_GBK" w:cs="方正楷体_GBK"/>
          <w:b/>
          <w:bCs w:val="0"/>
          <w:sz w:val="32"/>
          <w:szCs w:val="32"/>
          <w:shd w:val="clear" w:fill="FFFFFF"/>
        </w:rPr>
        <w:t xml:space="preserve">  （二）机构设置</w:t>
      </w:r>
    </w:p>
    <w:p>
      <w:pPr>
        <w:keepNext w:val="0"/>
        <w:keepLines w:val="0"/>
        <w:widowControl/>
        <w:suppressLineNumbers w:val="0"/>
        <w:autoSpaceDE w:val="0"/>
        <w:autoSpaceDN/>
        <w:snapToGrid w:val="0"/>
        <w:spacing w:line="600" w:lineRule="exact"/>
        <w:ind w:left="0" w:firstLine="405" w:firstLineChars="150"/>
        <w:rPr>
          <w:rFonts w:hint="eastAsia" w:ascii="仿宋_GB2312" w:hAnsi="宋体" w:eastAsia="仿宋_GB2312" w:cs="宋体"/>
          <w:kern w:val="0"/>
          <w:sz w:val="32"/>
          <w:szCs w:val="32"/>
        </w:rPr>
      </w:pPr>
      <w:r>
        <w:rPr>
          <w:rFonts w:hint="eastAsia" w:ascii="宋体" w:hAnsi="宋体" w:eastAsia="宋体" w:cs="宋体"/>
          <w:color w:val="FF0000"/>
          <w:kern w:val="0"/>
          <w:sz w:val="27"/>
          <w:szCs w:val="27"/>
          <w:shd w:val="clear" w:fill="FFFFFF"/>
        </w:rPr>
        <w:t xml:space="preserve"> </w:t>
      </w:r>
      <w:r>
        <w:rPr>
          <w:rFonts w:hint="eastAsia" w:ascii="仿宋_GB2312" w:hAnsi="宋体" w:eastAsia="仿宋_GB2312" w:cs="仿宋_GB2312"/>
          <w:kern w:val="0"/>
          <w:sz w:val="32"/>
          <w:szCs w:val="32"/>
        </w:rPr>
        <w:t>石柱土家族自治县供销合作社联合社设</w:t>
      </w:r>
      <w:r>
        <w:rPr>
          <w:rFonts w:hint="eastAsia" w:ascii="仿宋_GB2312" w:hAnsi="宋体" w:eastAsia="仿宋_GB2312" w:cs="宋体"/>
          <w:kern w:val="0"/>
          <w:sz w:val="32"/>
          <w:szCs w:val="32"/>
        </w:rPr>
        <w:t>4个内设机构：</w:t>
      </w:r>
    </w:p>
    <w:p>
      <w:pPr>
        <w:keepNext w:val="0"/>
        <w:keepLines w:val="0"/>
        <w:widowControl/>
        <w:suppressLineNumbers w:val="0"/>
        <w:autoSpaceDE w:val="0"/>
        <w:autoSpaceDN/>
        <w:snapToGrid w:val="0"/>
        <w:spacing w:line="600" w:lineRule="exact"/>
        <w:ind w:left="0"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shd w:val="clear" w:fill="FFFFFF"/>
        </w:rPr>
        <w:t>1、综合科（挂县烟花爆竹专营管理办公室牌子）。</w:t>
      </w:r>
      <w:r>
        <w:rPr>
          <w:rFonts w:hint="eastAsia" w:ascii="方正仿宋_GBK" w:hAnsi="方正仿宋_GBK" w:eastAsia="方正仿宋_GBK" w:cs="方正仿宋_GBK"/>
          <w:kern w:val="0"/>
          <w:sz w:val="32"/>
          <w:szCs w:val="32"/>
        </w:rPr>
        <w:t>负责文电、会务、机要、档案等机关日常运转工作；负责机关日常工作的协调和督查；承担宣传、信息、调研、保密、政务公开等工作；负责机关和指导社属企业单位党建、领导班子建设、队伍建设、职工思想政治工作；负责机关人事、机构编制、教育工作和精神文明建设；负责机关后勤保障和节能减排工作；负责机关离退休人员管理工作；负责爱国卫生和环境保护等工作；负责群团及计划生育等工作；承担机关信访工作，指导社属单位的信访稳定工作；负责指导社属企业的安全生产监督管理，拟订公共安全突发事件应急管理预案；负责系统消防安全工作；负责社会综合治理和法治建设工作；负责全县</w:t>
      </w:r>
      <w:r>
        <w:rPr>
          <w:rFonts w:hint="eastAsia" w:ascii="方正仿宋_GBK" w:hAnsi="方正仿宋_GBK" w:eastAsia="方正仿宋_GBK" w:cs="方正仿宋_GBK"/>
          <w:kern w:val="0"/>
          <w:sz w:val="32"/>
          <w:szCs w:val="32"/>
          <w:lang w:eastAsia="zh-CN"/>
        </w:rPr>
        <w:t>烟花爆竹专营</w:t>
      </w:r>
      <w:r>
        <w:rPr>
          <w:rFonts w:hint="eastAsia" w:ascii="方正仿宋_GBK" w:hAnsi="方正仿宋_GBK" w:eastAsia="方正仿宋_GBK" w:cs="方正仿宋_GBK"/>
          <w:kern w:val="0"/>
          <w:sz w:val="32"/>
          <w:szCs w:val="32"/>
        </w:rPr>
        <w:t>管理工作，承担全县烟花爆竹专营管理的日常工作；指导系统烟花爆竹连锁化经营体系建设，确保全县烟花爆竹安全经营管理。</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shd w:val="clear" w:fill="FFFFFF"/>
        </w:rPr>
        <w:t>2、财务审计资产科。</w:t>
      </w:r>
      <w:r>
        <w:rPr>
          <w:rFonts w:hint="eastAsia" w:ascii="方正仿宋_GBK" w:hAnsi="方正仿宋_GBK" w:eastAsia="方正仿宋_GBK" w:cs="方正仿宋_GBK"/>
          <w:kern w:val="0"/>
          <w:sz w:val="32"/>
          <w:szCs w:val="32"/>
        </w:rPr>
        <w:t>负责县供销社机关各类资金的管理、使用、监督；督促检查社属企业单位的财务工作；负责编制系统财务会计报表；负责指导系统财务会计工作；负责系统财会人员管理培训工作；负责机关人员工资、统计相关工作；负责对社有出资企业单位的资产及相关人员进行审计监督，对系统重大财务收支、经济效益等问题进行审计调查；负责社有资产的运营、监督和管理，建立健全社有资产管理制度，确保社有资产保值增值，拟订社有资产的重组、整合指导意见。</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shd w:val="clear" w:fill="FFFFFF"/>
        </w:rPr>
        <w:t>3、合作指导科。</w:t>
      </w:r>
      <w:r>
        <w:rPr>
          <w:rFonts w:hint="eastAsia" w:ascii="方正仿宋_GBK" w:hAnsi="方正仿宋_GBK" w:eastAsia="方正仿宋_GBK" w:cs="方正仿宋_GBK"/>
          <w:kern w:val="0"/>
          <w:sz w:val="32"/>
          <w:szCs w:val="32"/>
        </w:rPr>
        <w:t>负责合作经济组织规划指导协调工作；负责宣传贯彻《中华人民共和国农民专业合作社法》，引导农民专业合作社的发展，规范农民专业合作社的组织和行为；负责指导全县专业合作社制度建设；负责指导全县农村合作经济发展和规范管理工作；负责对全县专业合作社建设和发展的考核考评；组织开展对农村合作经济组织人员的培训工作；负责起草专业合作社发展相关文件及材料；负责编制有关专业合作社的项目材料和先进典型推荐材料；负责指导合作经济行业协会工作；参与农业产业化发展指导工作。</w:t>
      </w:r>
    </w:p>
    <w:p>
      <w:pPr>
        <w:keepNext w:val="0"/>
        <w:keepLines w:val="0"/>
        <w:widowControl/>
        <w:suppressLineNumbers w:val="0"/>
        <w:autoSpaceDE w:val="0"/>
        <w:autoSpaceDN/>
        <w:snapToGrid w:val="0"/>
        <w:spacing w:line="600" w:lineRule="exact"/>
        <w:ind w:left="0" w:firstLine="480" w:firstLineChars="15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shd w:val="clear" w:fill="FFFFFF"/>
        </w:rPr>
        <w:t>4、经济发展与信息科。</w:t>
      </w:r>
      <w:r>
        <w:rPr>
          <w:rFonts w:hint="eastAsia" w:ascii="方正仿宋_GBK" w:hAnsi="方正仿宋_GBK" w:eastAsia="方正仿宋_GBK" w:cs="方正仿宋_GBK"/>
          <w:kern w:val="0"/>
          <w:sz w:val="32"/>
          <w:szCs w:val="32"/>
        </w:rPr>
        <w:t>负责指导全县供销合作社所属出资企业的经营和发展工作；组织实施农村“新网工程”建设，参与农村现代流通网络建设；加强农村综合服务体系建设，开拓培育城乡市场；负责指导系统化肥储备和供应工作；负责指导日用品配送体系的建设和发展工作；负责招商引资和争资立项工作；负责指导系统发展现代服务业、现代物流业和再生资源等工作；负责系统商品流转统计工作。</w:t>
      </w:r>
    </w:p>
    <w:p>
      <w:pPr>
        <w:pStyle w:val="4"/>
        <w:keepNext w:val="0"/>
        <w:keepLines w:val="0"/>
        <w:widowControl/>
        <w:suppressLineNumbers w:val="0"/>
        <w:autoSpaceDE w:val="0"/>
        <w:autoSpaceDN/>
        <w:spacing w:before="0" w:beforeAutospacing="0" w:line="600" w:lineRule="exact"/>
        <w:ind w:left="0"/>
        <w:jc w:val="left"/>
        <w:rPr>
          <w:rFonts w:hint="eastAsia" w:ascii="方正黑体_GBK" w:hAnsi="方正黑体_GBK" w:eastAsia="方正黑体_GBK" w:cs="方正黑体_GBK"/>
          <w:kern w:val="0"/>
          <w:sz w:val="32"/>
          <w:szCs w:val="32"/>
        </w:rPr>
      </w:pPr>
      <w:r>
        <w:rPr>
          <w:rFonts w:hint="eastAsia" w:ascii="宋体" w:hAnsi="宋体" w:eastAsia="宋体" w:cs="宋体"/>
          <w:kern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黑体_GBK" w:hAnsi="方正黑体_GBK" w:eastAsia="方正黑体_GBK" w:cs="方正黑体_GBK"/>
          <w:b/>
          <w:bCs w:val="0"/>
          <w:sz w:val="32"/>
          <w:szCs w:val="32"/>
          <w:shd w:val="clear" w:fill="FFFFFF"/>
        </w:rPr>
        <w:t xml:space="preserve">  二、部门决算情况说明</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kern w:val="0"/>
          <w:sz w:val="32"/>
          <w:szCs w:val="32"/>
        </w:rPr>
      </w:pPr>
      <w:r>
        <w:rPr>
          <w:rStyle w:val="5"/>
          <w:rFonts w:hint="eastAsia" w:ascii="方正楷体_GBK" w:hAnsi="方正楷体_GBK" w:eastAsia="方正楷体_GBK" w:cs="方正楷体_GBK"/>
          <w:b/>
          <w:bCs w:val="0"/>
          <w:sz w:val="32"/>
          <w:szCs w:val="32"/>
          <w:shd w:val="clear" w:fill="FFFFFF"/>
        </w:rPr>
        <w:t xml:space="preserve">     （一）收入支出决算总体情况说明。</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color w:val="000000"/>
          <w:kern w:val="0"/>
          <w:sz w:val="32"/>
          <w:szCs w:val="32"/>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1.总体情况。</w:t>
      </w:r>
      <w:r>
        <w:rPr>
          <w:rFonts w:hint="eastAsia" w:ascii="方正仿宋_GBK" w:hAnsi="方正仿宋_GBK" w:eastAsia="方正仿宋_GBK" w:cs="方正仿宋_GBK"/>
          <w:kern w:val="0"/>
          <w:sz w:val="32"/>
          <w:szCs w:val="32"/>
          <w:shd w:val="clear" w:fill="FFFFFF"/>
        </w:rPr>
        <w:t>2021年度收入总计616.42万元，支出总计616.42万元。收支较上年决算数减少623.93万元、下降50.3%，主要原因是</w:t>
      </w:r>
      <w:r>
        <w:rPr>
          <w:rFonts w:hint="eastAsia" w:ascii="方正仿宋_GBK" w:hAnsi="方正仿宋_GBK" w:eastAsia="方正仿宋_GBK" w:cs="方正仿宋_GBK"/>
          <w:color w:val="000000"/>
          <w:kern w:val="0"/>
          <w:sz w:val="32"/>
          <w:szCs w:val="32"/>
        </w:rPr>
        <w:t>项目拨款和支出减少。</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2.收入情况。</w:t>
      </w:r>
      <w:r>
        <w:rPr>
          <w:rFonts w:hint="eastAsia" w:ascii="方正仿宋_GBK" w:hAnsi="方正仿宋_GBK" w:eastAsia="方正仿宋_GBK" w:cs="方正仿宋_GBK"/>
          <w:kern w:val="0"/>
          <w:sz w:val="32"/>
          <w:szCs w:val="32"/>
          <w:shd w:val="clear" w:fill="FFFFFF"/>
        </w:rPr>
        <w:t>2021年度收入合计616.42万元，较上年决算数减少623.93万元，下降50.3%，主要原因是项目拨款收入减少。其中：财政拨款收入616.42万元，占100%。</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3.支出情况。</w:t>
      </w:r>
      <w:r>
        <w:rPr>
          <w:rFonts w:hint="eastAsia" w:ascii="方正仿宋_GBK" w:hAnsi="方正仿宋_GBK" w:eastAsia="方正仿宋_GBK" w:cs="方正仿宋_GBK"/>
          <w:kern w:val="0"/>
          <w:sz w:val="32"/>
          <w:szCs w:val="32"/>
          <w:shd w:val="clear" w:fill="FFFFFF"/>
        </w:rPr>
        <w:t>2021年度支出合计616.42万元，较上年决算数减少623.93万元，下降50.3%，主要原因是项目支出减少。其中：基本支出384.96万元，占62.5%；项目支出231.46万元，占37.5%。</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4.结转结余情况。</w:t>
      </w:r>
      <w:r>
        <w:rPr>
          <w:rFonts w:hint="eastAsia" w:ascii="方正仿宋_GBK" w:hAnsi="方正仿宋_GBK" w:eastAsia="方正仿宋_GBK" w:cs="方正仿宋_GBK"/>
          <w:kern w:val="0"/>
          <w:sz w:val="32"/>
          <w:szCs w:val="32"/>
          <w:shd w:val="clear" w:fill="FFFFFF"/>
        </w:rPr>
        <w:t xml:space="preserve">2021年度年末结转和结余0.00万元，与上年决算数相同。  </w:t>
      </w:r>
    </w:p>
    <w:p>
      <w:pPr>
        <w:pStyle w:val="4"/>
        <w:keepNext w:val="0"/>
        <w:keepLines w:val="0"/>
        <w:widowControl/>
        <w:suppressLineNumbers w:val="0"/>
        <w:spacing w:before="0" w:beforeAutospacing="0"/>
        <w:ind w:left="0" w:firstLine="640" w:firstLineChars="20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（二）财政拨款收入支出决算总体情况说明。</w:t>
      </w:r>
    </w:p>
    <w:p>
      <w:pPr>
        <w:pStyle w:val="4"/>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2021年度财政拨款收、支总计616.42万元。与2020年相比，财政拨款收、支总计各减少623.93万元，下降50.3%。主要原因是减少了项目收入支出。</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（三）一般公共预算财政拨款收入支出决算情况说明。</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1.收入情况。</w:t>
      </w:r>
      <w:r>
        <w:rPr>
          <w:rFonts w:hint="eastAsia" w:ascii="方正仿宋_GBK" w:hAnsi="方正仿宋_GBK" w:eastAsia="方正仿宋_GBK" w:cs="方正仿宋_GBK"/>
          <w:kern w:val="0"/>
          <w:sz w:val="32"/>
          <w:szCs w:val="32"/>
          <w:shd w:val="clear" w:fill="FFFFFF"/>
        </w:rPr>
        <w:t>2021年度一般公共预算财政拨款收入616.42万元，较上年决算数减少623.93万元，下降50.3%。主要原因减少了项目收入。较年初预算数减少180.36万元，下降22.6%。主要原因是预算项目的调整。此外，年初财政拨款结转和结余0.00万元。</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2.支出情况。</w:t>
      </w:r>
      <w:r>
        <w:rPr>
          <w:rFonts w:hint="eastAsia" w:ascii="方正仿宋_GBK" w:hAnsi="方正仿宋_GBK" w:eastAsia="方正仿宋_GBK" w:cs="方正仿宋_GBK"/>
          <w:kern w:val="0"/>
          <w:sz w:val="32"/>
          <w:szCs w:val="32"/>
          <w:shd w:val="clear" w:fill="FFFFFF"/>
        </w:rPr>
        <w:t>2021年度一般公共预算财政拨款支出616.42万元，较上年决算数减少623.93万元，下降50.3%。主要原因是项目支出减少。较年初预算数减少180.36万元，下降22.6%，主要原因项目的调整。</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3.结转结余情况。</w:t>
      </w:r>
      <w:r>
        <w:rPr>
          <w:rFonts w:hint="eastAsia" w:ascii="方正仿宋_GBK" w:hAnsi="方正仿宋_GBK" w:eastAsia="方正仿宋_GBK" w:cs="方正仿宋_GBK"/>
          <w:kern w:val="0"/>
          <w:sz w:val="32"/>
          <w:szCs w:val="32"/>
          <w:shd w:val="clear" w:fill="FFFFFF"/>
        </w:rPr>
        <w:t>2021年度年末一般公共预算财政拨款结转和结余0.00万元，与上年无变化。</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4.比较情况。</w:t>
      </w:r>
      <w:r>
        <w:rPr>
          <w:rFonts w:hint="eastAsia" w:ascii="方正仿宋_GBK" w:hAnsi="方正仿宋_GBK" w:eastAsia="方正仿宋_GBK" w:cs="方正仿宋_GBK"/>
          <w:kern w:val="0"/>
          <w:sz w:val="32"/>
          <w:szCs w:val="32"/>
          <w:shd w:val="clear" w:fill="FFFFFF"/>
        </w:rPr>
        <w:t>本部门2021年度一般公共预算财政拨款支出主要用于以下几个方面：</w:t>
      </w:r>
    </w:p>
    <w:p>
      <w:pPr>
        <w:pStyle w:val="4"/>
        <w:keepNext w:val="0"/>
        <w:keepLines w:val="0"/>
        <w:widowControl/>
        <w:suppressLineNumbers w:val="0"/>
        <w:spacing w:before="0" w:beforeAutospacing="0"/>
        <w:ind w:left="0" w:firstLine="54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（1）社会保障与就业支出37.03万元，占6%，较年初预算数减少1.55万元，下降4%，主要原因是人员退休减少了支出。</w:t>
      </w:r>
    </w:p>
    <w:p>
      <w:pPr>
        <w:pStyle w:val="4"/>
        <w:keepNext w:val="0"/>
        <w:keepLines w:val="0"/>
        <w:widowControl/>
        <w:suppressLineNumbers w:val="0"/>
        <w:spacing w:before="0" w:beforeAutospacing="0"/>
        <w:ind w:left="0" w:firstLine="54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（2）卫生健康支出22.47万元，占3.6%，较年初预算数增加1.49万元，增长7.1%，主要原因是职工缴费基数调标。</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（3）节能环保支出84.00万元，占13.6%，较年初预算数增加10.00万元，增长13.5%，主要原因是项目预算调整。</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（4）农林水支出146.79万元，占23.8%，较年初预算数减少91.21万元，下降38.32%，主要原因是年中进行项目调整。</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（5）商业服务业等支出302.64万元，占49.1%，较年初预算数减少103.30万元，下降25.4%，主要原因是预算调整财政拨款减少。</w:t>
      </w:r>
    </w:p>
    <w:p>
      <w:pPr>
        <w:pStyle w:val="4"/>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（6）住房保障支出22.82万元，占3.7%，较年初预算数增加3.53万元，增长18.3%，主要原因是职工住房公积金基数调整。</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（7）其他支出0.68万元，占0.1%，较年初预算数增加0.68万元，无变化。</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（四）一般公共预算财政拨款基本支出决算情况说明。</w:t>
      </w:r>
    </w:p>
    <w:p>
      <w:pPr>
        <w:pStyle w:val="4"/>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2021年度一般公共财政拨款基本支出384.96万元。其中：人员经费343.64万元，较上年决算数减少55.80万元，下降14%，主要原因是预算调整，减少人员经费支出。人员经费用途主要包括基本工资、津贴补贴、奖金、机关事业单位养老保险费、住房公积金、绩效考核以及退休干部健康休养费等。公用经费41.32万元，较上年决算数减少16.84万元，下降29%，主要原因是办公费、差旅费及其他交通费用减少。公用经费用途主要包括办公费、邮电费、咨询费</w:t>
      </w:r>
      <w:r>
        <w:rPr>
          <w:rFonts w:hint="eastAsia" w:ascii="方正仿宋_GBK" w:hAnsi="方正仿宋_GBK" w:eastAsia="方正仿宋_GBK" w:cs="方正仿宋_GBK"/>
          <w:kern w:val="0"/>
          <w:sz w:val="32"/>
          <w:szCs w:val="32"/>
        </w:rPr>
        <w:t>、水费、电费、会议费、培训费、差旅费、公务接待费、其他交通费用等。</w:t>
      </w:r>
    </w:p>
    <w:p>
      <w:pPr>
        <w:pStyle w:val="4"/>
        <w:keepNext w:val="0"/>
        <w:keepLines w:val="0"/>
        <w:widowControl/>
        <w:suppressLineNumbers w:val="0"/>
        <w:spacing w:before="0" w:beforeAutospacing="0"/>
        <w:ind w:lef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（五）政府性基金预算收支决算情况说明。</w:t>
      </w:r>
    </w:p>
    <w:p>
      <w:pPr>
        <w:pStyle w:val="4"/>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本部门2021年度无政府性基金预算财政拨款收支。</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（六）国有资本经营预算财政拨款支出决算情况说明。</w:t>
      </w:r>
    </w:p>
    <w:p>
      <w:pPr>
        <w:pStyle w:val="4"/>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本部门2021年度无国有资本经营预算财政拨款支出。</w:t>
      </w:r>
    </w:p>
    <w:p>
      <w:pPr>
        <w:pStyle w:val="4"/>
        <w:keepNext w:val="0"/>
        <w:keepLines w:val="0"/>
        <w:widowControl/>
        <w:suppressLineNumbers w:val="0"/>
        <w:spacing w:before="0" w:beforeAutospacing="0"/>
        <w:ind w:left="0"/>
        <w:jc w:val="left"/>
        <w:rPr>
          <w:rFonts w:hint="eastAsia" w:ascii="方正黑体_GBK" w:hAnsi="方正黑体_GBK" w:eastAsia="方正黑体_GBK" w:cs="方正黑体_GBK"/>
          <w:b/>
          <w:bCs w:val="0"/>
          <w:kern w:val="0"/>
          <w:sz w:val="32"/>
          <w:szCs w:val="32"/>
          <w:shd w:val="clear" w:fill="FFFFFF"/>
        </w:rPr>
      </w:pPr>
      <w:r>
        <w:rPr>
          <w:rStyle w:val="5"/>
          <w:rFonts w:hint="eastAsia" w:ascii="方正黑体_GBK" w:hAnsi="方正黑体_GBK" w:eastAsia="方正黑体_GBK" w:cs="方正黑体_GBK"/>
          <w:b/>
          <w:bCs w:val="0"/>
          <w:sz w:val="32"/>
          <w:szCs w:val="32"/>
          <w:shd w:val="clear" w:fill="FFFFFF"/>
        </w:rPr>
        <w:t xml:space="preserve">     三、“三公”经费情况说明</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（一）“三公”经费支出总体情况说明。</w:t>
      </w:r>
    </w:p>
    <w:p>
      <w:pPr>
        <w:pStyle w:val="4"/>
        <w:keepNext w:val="0"/>
        <w:keepLines w:val="0"/>
        <w:widowControl/>
        <w:suppressLineNumbers w:val="0"/>
        <w:autoSpaceDE w:val="0"/>
        <w:autoSpaceDN/>
        <w:spacing w:before="0" w:beforeAutospacing="0" w:line="600" w:lineRule="exact"/>
        <w:ind w:left="0" w:firstLine="540" w:firstLineChars="200"/>
        <w:jc w:val="left"/>
        <w:rPr>
          <w:rFonts w:hint="eastAsia" w:ascii="方正仿宋_GBK" w:hAnsi="方正仿宋_GBK" w:eastAsia="方正仿宋_GBK" w:cs="方正仿宋_GBK"/>
          <w:kern w:val="0"/>
          <w:sz w:val="32"/>
          <w:szCs w:val="32"/>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2021年度“三公”经费支出共计1.12万元，较年初预算数减少0.03万元，下降2.6%，</w:t>
      </w:r>
      <w:r>
        <w:rPr>
          <w:rFonts w:hint="eastAsia" w:ascii="方正仿宋_GBK" w:hAnsi="方正仿宋_GBK" w:eastAsia="方正仿宋_GBK" w:cs="方正仿宋_GBK"/>
          <w:kern w:val="0"/>
          <w:sz w:val="32"/>
          <w:szCs w:val="32"/>
        </w:rPr>
        <w:t>主要原因是严格执行预算标准，控制接待。</w:t>
      </w:r>
      <w:r>
        <w:rPr>
          <w:rFonts w:hint="eastAsia" w:ascii="方正仿宋_GBK" w:hAnsi="方正仿宋_GBK" w:eastAsia="方正仿宋_GBK" w:cs="方正仿宋_GBK"/>
          <w:kern w:val="0"/>
          <w:sz w:val="32"/>
          <w:szCs w:val="32"/>
          <w:shd w:val="clear" w:fill="FFFFFF"/>
        </w:rPr>
        <w:t>较上年支出数增加0.07万元，增长6.7%，</w:t>
      </w:r>
      <w:r>
        <w:rPr>
          <w:rFonts w:hint="eastAsia" w:ascii="方正仿宋_GBK" w:hAnsi="方正仿宋_GBK" w:eastAsia="方正仿宋_GBK" w:cs="方正仿宋_GBK"/>
          <w:kern w:val="0"/>
          <w:sz w:val="32"/>
          <w:szCs w:val="32"/>
        </w:rPr>
        <w:t>主要原因是在上年的基础上接待人数增加。</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w:t>
      </w:r>
      <w:r>
        <w:rPr>
          <w:rFonts w:hint="eastAsia" w:ascii="方正仿宋_GBK" w:hAnsi="方正仿宋_GBK" w:eastAsia="方正仿宋_GBK" w:cs="方正仿宋_GBK"/>
          <w:kern w:val="0"/>
          <w:sz w:val="32"/>
          <w:szCs w:val="32"/>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（二）“三公”经费分项支出情况。</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本单位 2021年度未发生因公出国（境）费用。  </w:t>
      </w:r>
    </w:p>
    <w:p>
      <w:pPr>
        <w:pStyle w:val="4"/>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本单位2021年度未发生公务车购置费。</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本单位2021年度未发生公务车运行维护费。</w:t>
      </w:r>
    </w:p>
    <w:p>
      <w:pPr>
        <w:pStyle w:val="4"/>
        <w:keepNext w:val="0"/>
        <w:keepLines w:val="0"/>
        <w:widowControl/>
        <w:suppressLineNumbers w:val="0"/>
        <w:spacing w:before="0" w:beforeAutospacing="0"/>
        <w:ind w:left="0" w:firstLine="57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公务接待费1.12万元，主要用于接待市社考核组到我县考核检查工作，其他区县供销社到我社学习交流经验等接待支出。费用支出较年初预算数减少0.03万元，下降2.6%，主要原因是</w:t>
      </w:r>
      <w:r>
        <w:rPr>
          <w:rFonts w:hint="eastAsia" w:ascii="方正仿宋_GBK" w:hAnsi="方正仿宋_GBK" w:eastAsia="方正仿宋_GBK" w:cs="方正仿宋_GBK"/>
          <w:kern w:val="0"/>
          <w:sz w:val="32"/>
          <w:szCs w:val="32"/>
        </w:rPr>
        <w:t>严格执行预算标准，控制接待</w:t>
      </w:r>
      <w:r>
        <w:rPr>
          <w:rFonts w:hint="eastAsia" w:ascii="方正仿宋_GBK" w:hAnsi="方正仿宋_GBK" w:eastAsia="方正仿宋_GBK" w:cs="方正仿宋_GBK"/>
          <w:kern w:val="0"/>
          <w:sz w:val="32"/>
          <w:szCs w:val="32"/>
          <w:shd w:val="clear" w:fill="FFFFFF"/>
        </w:rPr>
        <w:t>。较上年支出数增加0.07万元，增长6.7%，主要原因是</w:t>
      </w:r>
      <w:r>
        <w:rPr>
          <w:rFonts w:hint="eastAsia" w:ascii="方正仿宋_GBK" w:hAnsi="方正仿宋_GBK" w:eastAsia="方正仿宋_GBK" w:cs="方正仿宋_GBK"/>
          <w:kern w:val="0"/>
          <w:sz w:val="32"/>
          <w:szCs w:val="32"/>
        </w:rPr>
        <w:t>上年的基础上接待人数增加。</w:t>
      </w:r>
    </w:p>
    <w:p>
      <w:pPr>
        <w:pStyle w:val="4"/>
        <w:keepNext w:val="0"/>
        <w:keepLines w:val="0"/>
        <w:widowControl/>
        <w:suppressLineNumbers w:val="0"/>
        <w:spacing w:before="0" w:beforeAutospacing="0"/>
        <w:ind w:left="0" w:firstLine="640" w:firstLineChars="20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（三）“三公”经费实物量情况。</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 xml:space="preserve">  2021年度本部门因公出国（境）共计0个团组，0人；公务用车购置0辆，公务车保有量为0辆；国内公务接待6批次129人，其中：国内外事接待0批次，0人；国（境）外公务接待0批次，0人。2021年本部门人均接待费87.19元，车均购置费0.00万元，车均维护费0.00万元。</w:t>
      </w:r>
    </w:p>
    <w:p>
      <w:pPr>
        <w:pStyle w:val="4"/>
        <w:keepNext w:val="0"/>
        <w:keepLines w:val="0"/>
        <w:widowControl/>
        <w:suppressLineNumbers w:val="0"/>
        <w:spacing w:before="0" w:beforeAutospacing="0"/>
        <w:ind w:left="0"/>
        <w:jc w:val="left"/>
        <w:rPr>
          <w:rFonts w:hint="eastAsia" w:ascii="方正黑体_GBK" w:hAnsi="方正黑体_GBK" w:eastAsia="方正黑体_GBK" w:cs="方正黑体_GBK"/>
          <w:b/>
          <w:bCs w:val="0"/>
          <w:kern w:val="0"/>
          <w:sz w:val="32"/>
          <w:szCs w:val="32"/>
          <w:shd w:val="clear" w:fill="FFFFFF"/>
        </w:rPr>
      </w:pPr>
      <w:r>
        <w:rPr>
          <w:rStyle w:val="5"/>
          <w:rFonts w:hint="eastAsia" w:ascii="方正黑体_GBK" w:hAnsi="方正黑体_GBK" w:eastAsia="方正黑体_GBK" w:cs="方正黑体_GBK"/>
          <w:b/>
          <w:bCs w:val="0"/>
          <w:sz w:val="32"/>
          <w:szCs w:val="32"/>
          <w:shd w:val="clear" w:fill="FFFFFF"/>
        </w:rPr>
        <w:t xml:space="preserve">     四、其他需要说明的事项</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（一）一般公共预算财政拨款会议费和培训费情况说明。</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 xml:space="preserve">  本年度会议费支出0.31万元，较上年决算数增加0.14万元，增长82.4%，主要原因是参会次数增加。本年度培训费支出1.51万元，较上年决算数增加1.40万元，增长1272.7%，主要原因是增加党员远程教育培训费支出。</w:t>
      </w:r>
    </w:p>
    <w:p>
      <w:pPr>
        <w:pStyle w:val="4"/>
        <w:keepNext w:val="0"/>
        <w:keepLines w:val="0"/>
        <w:widowControl/>
        <w:suppressLineNumbers w:val="0"/>
        <w:spacing w:before="0" w:beforeAutospacing="0"/>
        <w:ind w:left="0" w:firstLine="542" w:firstLineChars="200"/>
        <w:jc w:val="left"/>
        <w:rPr>
          <w:rFonts w:hint="eastAsia" w:ascii="方正楷体_GBK" w:hAnsi="方正楷体_GBK" w:eastAsia="方正楷体_GBK" w:cs="方正楷体_GBK"/>
          <w:b/>
          <w:bCs w:val="0"/>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（二）机关运行经费情况说明。</w:t>
      </w:r>
    </w:p>
    <w:p>
      <w:pPr>
        <w:pStyle w:val="4"/>
        <w:keepNext w:val="0"/>
        <w:keepLines w:val="0"/>
        <w:widowControl/>
        <w:suppressLineNumbers w:val="0"/>
        <w:autoSpaceDE w:val="0"/>
        <w:autoSpaceDN/>
        <w:spacing w:before="0" w:beforeAutospacing="0" w:line="600" w:lineRule="exact"/>
        <w:ind w:left="0" w:firstLine="540" w:firstLineChars="20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 xml:space="preserve"> 2021年度本部门机关运行经费支出41.32万元，机关运行经费主要用于开支办公费、邮电费、咨询费、水费、电费、会议费、培训费、差旅费、公务接待费、其他交通费用等。机关运行经费较上年决算数减少16.84万元，下降29%，主要原因是办公费、差旅费及其他交通费用减少。</w:t>
      </w:r>
    </w:p>
    <w:p>
      <w:pPr>
        <w:pStyle w:val="4"/>
        <w:keepNext w:val="0"/>
        <w:keepLines w:val="0"/>
        <w:widowControl/>
        <w:suppressLineNumbers w:val="0"/>
        <w:spacing w:before="0" w:beforeAutospacing="0"/>
        <w:ind w:left="0" w:firstLine="640" w:firstLineChars="20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（三）国有资产占用情况说明。</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 xml:space="preserve">   截至2021年12月31日，本单位无公务车辆。</w:t>
      </w:r>
    </w:p>
    <w:p>
      <w:pPr>
        <w:pStyle w:val="4"/>
        <w:keepNext w:val="0"/>
        <w:keepLines w:val="0"/>
        <w:widowControl/>
        <w:suppressLineNumbers w:val="0"/>
        <w:spacing w:before="0" w:beforeAutospacing="0"/>
        <w:ind w:left="0"/>
        <w:jc w:val="left"/>
        <w:rPr>
          <w:rFonts w:hint="eastAsia" w:ascii="方正楷体_GBK" w:hAnsi="方正楷体_GBK" w:eastAsia="方正楷体_GBK" w:cs="方正楷体_GBK"/>
          <w:b/>
          <w:bCs w:val="0"/>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（四）政府采购支出情况说明。</w:t>
      </w:r>
    </w:p>
    <w:p>
      <w:pPr>
        <w:pStyle w:val="4"/>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2021年度我单位未发生政府采购事项，无相关经费支出。</w:t>
      </w:r>
    </w:p>
    <w:p>
      <w:pPr>
        <w:pStyle w:val="4"/>
        <w:keepNext w:val="0"/>
        <w:keepLines w:val="0"/>
        <w:widowControl/>
        <w:suppressLineNumbers w:val="0"/>
        <w:spacing w:before="0" w:beforeAutospacing="0"/>
        <w:ind w:left="0"/>
        <w:jc w:val="left"/>
        <w:rPr>
          <w:rFonts w:hint="eastAsia" w:ascii="方正黑体_GBK" w:hAnsi="方正黑体_GBK" w:eastAsia="方正黑体_GBK" w:cs="方正黑体_GBK"/>
          <w:b/>
          <w:bCs w:val="0"/>
          <w:kern w:val="0"/>
          <w:sz w:val="32"/>
          <w:szCs w:val="32"/>
          <w:shd w:val="clear" w:fill="FFFFFF"/>
        </w:rPr>
      </w:pPr>
      <w:r>
        <w:rPr>
          <w:rStyle w:val="5"/>
          <w:rFonts w:hint="eastAsia" w:ascii="方正黑体_GBK" w:hAnsi="方正黑体_GBK" w:eastAsia="方正黑体_GBK" w:cs="方正黑体_GBK"/>
          <w:b/>
          <w:bCs w:val="0"/>
          <w:sz w:val="32"/>
          <w:szCs w:val="32"/>
          <w:shd w:val="clear" w:fill="FFFFFF"/>
        </w:rPr>
        <w:t xml:space="preserve">      五、预算绩效管理情况说明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（一）预算绩效管理工作开展情况。</w:t>
      </w:r>
    </w:p>
    <w:p>
      <w:pPr>
        <w:pStyle w:val="4"/>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根据预算绩效管理要求，2021年本部门对2个项目开展了绩效目标自评，均以填报目标自评表形式开展自评2项，涉及资金167万元。从评价情况来看，本单位全面完成全年项目绩效目标。</w:t>
      </w:r>
    </w:p>
    <w:p>
      <w:pPr>
        <w:pStyle w:val="4"/>
        <w:keepNext w:val="0"/>
        <w:keepLines w:val="0"/>
        <w:widowControl/>
        <w:numPr>
          <w:ilvl w:val="0"/>
          <w:numId w:val="1"/>
        </w:numPr>
        <w:suppressLineNumbers w:val="0"/>
        <w:spacing w:before="0" w:beforeAutospacing="0"/>
        <w:ind w:left="480" w:leftChars="0" w:firstLine="0" w:firstLineChars="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绩效自评结果。</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1.废弃农膜回收项目绩效目标自评表。</w:t>
      </w:r>
    </w:p>
    <w:p>
      <w:pPr>
        <w:pStyle w:val="4"/>
        <w:keepNext w:val="0"/>
        <w:keepLines w:val="0"/>
        <w:widowControl/>
        <w:suppressLineNumbers w:val="0"/>
        <w:spacing w:before="0" w:beforeAutospacing="0"/>
        <w:ind w:left="357" w:leftChars="0" w:right="0" w:rightChars="0"/>
        <w:jc w:val="left"/>
        <w:rPr>
          <w:rFonts w:hint="eastAsia" w:ascii="方正楷体_GBK" w:hAnsi="方正楷体_GBK" w:eastAsia="方正楷体_GBK" w:cs="方正楷体_GBK"/>
          <w:b/>
          <w:bCs w:val="0"/>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w:t>
      </w:r>
    </w:p>
    <w:tbl>
      <w:tblPr>
        <w:tblStyle w:val="2"/>
        <w:tblW w:w="4995" w:type="pct"/>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522"/>
        <w:gridCol w:w="212"/>
        <w:gridCol w:w="612"/>
        <w:gridCol w:w="256"/>
        <w:gridCol w:w="1352"/>
        <w:gridCol w:w="179"/>
        <w:gridCol w:w="49"/>
        <w:gridCol w:w="789"/>
        <w:gridCol w:w="1020"/>
        <w:gridCol w:w="712"/>
        <w:gridCol w:w="174"/>
        <w:gridCol w:w="674"/>
        <w:gridCol w:w="822"/>
        <w:gridCol w:w="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9" w:type="dxa"/>
          <w:trHeight w:val="631" w:hRule="atLeast"/>
        </w:trPr>
        <w:tc>
          <w:tcPr>
            <w:tcW w:w="4796"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rPr>
            </w:pPr>
            <w:r>
              <w:rPr>
                <w:rFonts w:hint="eastAsia" w:ascii="方正小标宋_GBK" w:hAnsi="方正小标宋_GBK" w:eastAsia="方正小标宋_GBK" w:cs="方正小标宋_GBK"/>
                <w:i w:val="0"/>
                <w:iCs w:val="0"/>
                <w:color w:val="000000"/>
                <w:kern w:val="0"/>
                <w:sz w:val="40"/>
                <w:szCs w:val="40"/>
              </w:rPr>
              <w:t xml:space="preserve"> </w:t>
            </w:r>
            <w:r>
              <w:rPr>
                <w:rStyle w:val="7"/>
                <w:rFonts w:hint="eastAsia" w:ascii="方正小标宋_GBK" w:hAnsi="方正小标宋_GBK" w:eastAsia="方正小标宋_GBK" w:cs="方正小标宋_GBK"/>
                <w:i w:val="0"/>
                <w:iCs w:val="0"/>
                <w:color w:val="000000"/>
                <w:sz w:val="40"/>
                <w:szCs w:val="40"/>
                <w:u w:val="single"/>
              </w:rPr>
              <w:t xml:space="preserve">    2021  </w:t>
            </w:r>
            <w:r>
              <w:rPr>
                <w:rStyle w:val="8"/>
                <w:rFonts w:hint="eastAsia" w:ascii="方正小标宋_GBK" w:hAnsi="方正小标宋_GBK" w:eastAsia="方正小标宋_GBK" w:cs="方正小标宋_GBK"/>
                <w:i w:val="0"/>
                <w:iCs w:val="0"/>
                <w:color w:val="000000"/>
                <w:sz w:val="40"/>
                <w:szCs w:val="40"/>
              </w:rPr>
              <w:t xml:space="preserve">年度政策和项目资金绩效自评表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9" w:type="dxa"/>
          <w:trHeight w:val="297" w:hRule="atLeast"/>
        </w:trPr>
        <w:tc>
          <w:tcPr>
            <w:tcW w:w="4796" w:type="pct"/>
            <w:gridSpan w:val="14"/>
            <w:tcBorders>
              <w:top w:val="nil"/>
              <w:left w:val="nil"/>
              <w:bottom w:val="single" w:color="000000" w:sz="4" w:space="0"/>
              <w:right w:val="nil"/>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项目资金名称</w:t>
            </w:r>
          </w:p>
        </w:tc>
        <w:tc>
          <w:tcPr>
            <w:tcW w:w="17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2021年废弃农膜回收利用</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项目实施年度(时期)</w:t>
            </w:r>
          </w:p>
        </w:tc>
        <w:tc>
          <w:tcPr>
            <w:tcW w:w="2183"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主管部门</w:t>
            </w:r>
          </w:p>
        </w:tc>
        <w:tc>
          <w:tcPr>
            <w:tcW w:w="17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石柱县供销合作社联合社</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实施单位</w:t>
            </w:r>
          </w:p>
        </w:tc>
        <w:tc>
          <w:tcPr>
            <w:tcW w:w="2183"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石柱县供销合作社联合社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项目资金（万元）</w:t>
            </w:r>
          </w:p>
        </w:tc>
        <w:tc>
          <w:tcPr>
            <w:tcW w:w="94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全年预算数(A)</w:t>
            </w:r>
          </w:p>
        </w:tc>
        <w:tc>
          <w:tcPr>
            <w:tcW w:w="2507"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全年执行数（B）</w:t>
            </w:r>
          </w:p>
        </w:tc>
        <w:tc>
          <w:tcPr>
            <w:tcW w:w="107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51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84</w:t>
            </w:r>
          </w:p>
        </w:tc>
        <w:tc>
          <w:tcPr>
            <w:tcW w:w="90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60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84</w:t>
            </w:r>
          </w:p>
        </w:tc>
        <w:tc>
          <w:tcPr>
            <w:tcW w:w="107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其中：财政资金</w:t>
            </w:r>
          </w:p>
        </w:tc>
        <w:tc>
          <w:tcPr>
            <w:tcW w:w="51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84</w:t>
            </w:r>
          </w:p>
        </w:tc>
        <w:tc>
          <w:tcPr>
            <w:tcW w:w="90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其中：财政资金</w:t>
            </w:r>
          </w:p>
        </w:tc>
        <w:tc>
          <w:tcPr>
            <w:tcW w:w="160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84</w:t>
            </w:r>
          </w:p>
        </w:tc>
        <w:tc>
          <w:tcPr>
            <w:tcW w:w="107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年度总体目标</w:t>
            </w: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年初设定目标</w:t>
            </w:r>
          </w:p>
        </w:tc>
        <w:tc>
          <w:tcPr>
            <w:tcW w:w="2106"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全年目标实际完成情况</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自评等级(优良中差)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1" w:type="pct"/>
            <w:vMerge w:val="continue"/>
            <w:tcBorders>
              <w:top w:val="nil"/>
              <w:left w:val="single" w:color="000000"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按照全县测算的农膜使用量确定废弃农膜和肥料包装物回收任务，明确回收品种，设置回收网点，实行分级管理2021</w:t>
            </w:r>
            <w:r>
              <w:rPr>
                <w:rStyle w:val="9"/>
                <w:rFonts w:hint="eastAsia" w:ascii="宋体" w:hAnsi="宋体" w:eastAsia="宋体" w:cs="宋体"/>
                <w:i w:val="0"/>
                <w:iCs w:val="0"/>
                <w:color w:val="000000"/>
                <w:sz w:val="20"/>
                <w:szCs w:val="20"/>
              </w:rPr>
              <w:t>年回收废弃农膜180吨，肥料包装物回收25吨</w:t>
            </w:r>
          </w:p>
        </w:tc>
        <w:tc>
          <w:tcPr>
            <w:tcW w:w="2106"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2021年回收废弃农膜180.72吨，肥料包装物回收26.59吨</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绩效指标</w:t>
            </w:r>
          </w:p>
        </w:tc>
        <w:tc>
          <w:tcPr>
            <w:tcW w:w="3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一级指标</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二级指标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三级指标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年度指标值</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实际完成值</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设计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分值</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评价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得分</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未完成原因和改进措施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产出指标</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数量指标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废弃农膜回收量</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180吨</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180</w:t>
            </w:r>
            <w:r>
              <w:rPr>
                <w:rStyle w:val="9"/>
                <w:rFonts w:hint="eastAsia" w:ascii="宋体" w:hAnsi="宋体" w:eastAsia="宋体" w:cs="宋体"/>
                <w:i w:val="0"/>
                <w:iCs w:val="0"/>
                <w:color w:val="000000"/>
                <w:sz w:val="20"/>
                <w:szCs w:val="20"/>
              </w:rPr>
              <w:t>.7吨</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肥料包装物回收量</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r>
              <w:rPr>
                <w:rStyle w:val="9"/>
                <w:rFonts w:hint="eastAsia" w:ascii="宋体" w:hAnsi="宋体" w:eastAsia="宋体" w:cs="宋体"/>
                <w:i w:val="0"/>
                <w:iCs w:val="0"/>
                <w:color w:val="000000"/>
                <w:sz w:val="20"/>
                <w:szCs w:val="20"/>
              </w:rPr>
              <w:t>5吨</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26.59吨</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废弃农膜回收率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87%</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87%</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回收网点覆盖乡镇率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质量指标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验收合格率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时效指标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项目按计划完工率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成本指标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平均补助标准</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4000元/吨</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4000元/吨</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效果指标</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社会效益指标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补助政策知晓率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生态效益指标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耕地质量提升面积</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r>
              <w:rPr>
                <w:rStyle w:val="9"/>
                <w:rFonts w:hint="eastAsia" w:ascii="宋体" w:hAnsi="宋体" w:eastAsia="宋体" w:cs="宋体"/>
                <w:i w:val="0"/>
                <w:iCs w:val="0"/>
                <w:color w:val="000000"/>
                <w:sz w:val="20"/>
                <w:szCs w:val="20"/>
              </w:rPr>
              <w:t>.2万亩</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r>
              <w:rPr>
                <w:rStyle w:val="9"/>
                <w:rFonts w:hint="eastAsia" w:ascii="宋体" w:hAnsi="宋体" w:eastAsia="宋体" w:cs="宋体"/>
                <w:i w:val="0"/>
                <w:iCs w:val="0"/>
                <w:color w:val="000000"/>
                <w:sz w:val="20"/>
                <w:szCs w:val="20"/>
              </w:rPr>
              <w:t>.2万亩</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管理指标</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业务管理指标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建立管理考核制度</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1个</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1个</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项目监管执行率</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财务管理指标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资金使用合规性</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471"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满意度指标</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社会公众或服务对象满意度指标</w:t>
            </w:r>
          </w:p>
        </w:tc>
        <w:tc>
          <w:tcPr>
            <w:tcW w:w="9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服务对象满意度</w:t>
            </w:r>
          </w:p>
        </w:tc>
        <w:tc>
          <w:tcPr>
            <w:tcW w:w="60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434"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51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7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7" w:type="pct"/>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463" w:type="pct"/>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p>
        </w:tc>
        <w:tc>
          <w:tcPr>
            <w:tcW w:w="5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p>
        </w:tc>
        <w:tc>
          <w:tcPr>
            <w:tcW w:w="41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49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67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说明</w:t>
            </w:r>
          </w:p>
        </w:tc>
        <w:tc>
          <w:tcPr>
            <w:tcW w:w="4528"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418" w:type="pct"/>
            <w:gridSpan w:val="5"/>
            <w:tcBorders>
              <w:top w:val="single" w:color="000000" w:sz="4" w:space="0"/>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审批领导：廖俊勇</w:t>
            </w:r>
          </w:p>
        </w:tc>
        <w:tc>
          <w:tcPr>
            <w:tcW w:w="1397" w:type="pct"/>
            <w:gridSpan w:val="4"/>
            <w:tcBorders>
              <w:top w:val="nil"/>
              <w:left w:val="nil"/>
              <w:bottom w:val="nil"/>
              <w:right w:val="nil"/>
            </w:tcBorders>
            <w:shd w:val="clear" w:color="auto" w:fill="auto"/>
            <w:vAlign w:val="center"/>
          </w:tcPr>
          <w:p>
            <w:pPr>
              <w:keepNext w:val="0"/>
              <w:keepLines w:val="0"/>
              <w:widowControl/>
              <w:suppressLineNumbers w:val="0"/>
              <w:ind w:left="0" w:firstLine="400" w:firstLineChars="20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填报人：萧翔</w:t>
            </w:r>
          </w:p>
        </w:tc>
        <w:tc>
          <w:tcPr>
            <w:tcW w:w="2183" w:type="pct"/>
            <w:gridSpan w:val="6"/>
            <w:tcBorders>
              <w:top w:val="nil"/>
              <w:left w:val="nil"/>
              <w:bottom w:val="nil"/>
              <w:right w:val="nil"/>
            </w:tcBorders>
            <w:shd w:val="clear" w:color="auto" w:fill="auto"/>
            <w:noWrap/>
            <w:vAlign w:val="center"/>
          </w:tcPr>
          <w:p>
            <w:pPr>
              <w:keepNext w:val="0"/>
              <w:keepLines w:val="0"/>
              <w:widowControl/>
              <w:suppressLineNumbers w:val="0"/>
              <w:ind w:left="0" w:firstLine="800" w:firstLineChars="400"/>
              <w:jc w:val="both"/>
              <w:textAlignment w:val="center"/>
              <w:rPr>
                <w:rFonts w:hint="eastAsia" w:ascii="宋体" w:hAnsi="宋体" w:eastAsia="宋体" w:cs="宋体"/>
                <w:i w:val="0"/>
                <w:iCs w:val="0"/>
                <w:color w:val="000000"/>
                <w:kern w:val="0"/>
                <w:sz w:val="20"/>
                <w:szCs w:val="20"/>
              </w:rPr>
            </w:pPr>
            <w:r>
              <w:rPr>
                <w:rStyle w:val="10"/>
                <w:rFonts w:hint="eastAsia" w:ascii="宋体" w:hAnsi="宋体" w:eastAsia="宋体" w:cs="宋体"/>
                <w:i w:val="0"/>
                <w:iCs w:val="0"/>
                <w:color w:val="000000"/>
                <w:sz w:val="20"/>
                <w:szCs w:val="20"/>
              </w:rPr>
              <w:t>填报时间</w:t>
            </w:r>
            <w:r>
              <w:rPr>
                <w:rFonts w:hint="eastAsia" w:ascii="宋体" w:hAnsi="宋体" w:eastAsia="宋体" w:cs="宋体"/>
                <w:i w:val="0"/>
                <w:iCs w:val="0"/>
                <w:color w:val="000000"/>
                <w:kern w:val="0"/>
                <w:sz w:val="22"/>
                <w:szCs w:val="22"/>
              </w:rPr>
              <w:t>：</w:t>
            </w:r>
            <w:r>
              <w:rPr>
                <w:rFonts w:hint="eastAsia" w:ascii="宋体" w:hAnsi="宋体" w:eastAsia="宋体" w:cs="宋体"/>
                <w:i w:val="0"/>
                <w:iCs w:val="0"/>
                <w:color w:val="000000"/>
                <w:kern w:val="0"/>
                <w:sz w:val="20"/>
                <w:szCs w:val="20"/>
              </w:rPr>
              <w:t>2</w:t>
            </w:r>
            <w:r>
              <w:rPr>
                <w:rStyle w:val="10"/>
                <w:rFonts w:hint="eastAsia" w:ascii="宋体" w:hAnsi="宋体" w:eastAsia="宋体" w:cs="宋体"/>
                <w:i w:val="0"/>
                <w:iCs w:val="0"/>
                <w:color w:val="000000"/>
                <w:sz w:val="20"/>
                <w:szCs w:val="20"/>
              </w:rPr>
              <w:t>022年5月17日</w:t>
            </w:r>
          </w:p>
        </w:tc>
      </w:tr>
    </w:tbl>
    <w:p>
      <w:pPr>
        <w:pStyle w:val="4"/>
        <w:keepNext w:val="0"/>
        <w:keepLines w:val="0"/>
        <w:widowControl/>
        <w:numPr>
          <w:ilvl w:val="0"/>
          <w:numId w:val="2"/>
        </w:numPr>
        <w:suppressLineNumbers w:val="0"/>
        <w:spacing w:before="0" w:beforeAutospacing="0"/>
        <w:ind w:left="0" w:firstLine="320" w:firstLineChars="1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三社融合星级社创建项目绩效自评表。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
        <w:gridCol w:w="502"/>
        <w:gridCol w:w="1003"/>
        <w:gridCol w:w="1408"/>
        <w:gridCol w:w="854"/>
        <w:gridCol w:w="1315"/>
        <w:gridCol w:w="127"/>
        <w:gridCol w:w="854"/>
        <w:gridCol w:w="775"/>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531"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rPr>
            </w:pPr>
            <w:r>
              <w:rPr>
                <w:rFonts w:hint="eastAsia" w:ascii="方正小标宋_GBK" w:hAnsi="方正小标宋_GBK" w:eastAsia="方正小标宋_GBK" w:cs="方正小标宋_GBK"/>
                <w:i w:val="0"/>
                <w:iCs w:val="0"/>
                <w:color w:val="000000"/>
                <w:kern w:val="0"/>
                <w:sz w:val="40"/>
                <w:szCs w:val="40"/>
              </w:rPr>
              <w:t xml:space="preserve"> </w:t>
            </w:r>
            <w:r>
              <w:rPr>
                <w:rStyle w:val="11"/>
                <w:rFonts w:hint="eastAsia" w:ascii="方正小标宋_GBK" w:hAnsi="方正小标宋_GBK" w:eastAsia="方正小标宋_GBK" w:cs="方正小标宋_GBK"/>
                <w:i w:val="0"/>
                <w:iCs w:val="0"/>
                <w:color w:val="000000"/>
                <w:sz w:val="40"/>
                <w:szCs w:val="40"/>
                <w:u w:val="single"/>
              </w:rPr>
              <w:t xml:space="preserve">    2021  </w:t>
            </w:r>
            <w:r>
              <w:rPr>
                <w:rFonts w:hint="eastAsia" w:ascii="方正小标宋_GBK" w:hAnsi="方正小标宋_GBK" w:eastAsia="方正小标宋_GBK" w:cs="方正小标宋_GBK"/>
                <w:i w:val="0"/>
                <w:iCs w:val="0"/>
                <w:color w:val="000000"/>
                <w:kern w:val="0"/>
                <w:sz w:val="40"/>
                <w:szCs w:val="40"/>
              </w:rPr>
              <w:t xml:space="preserve">年度政策和项目资金绩效自评表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8531"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项目资金名称</w:t>
            </w:r>
          </w:p>
        </w:tc>
        <w:tc>
          <w:tcPr>
            <w:tcW w:w="326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石柱县三社融合星级社创建</w:t>
            </w:r>
          </w:p>
        </w:tc>
        <w:tc>
          <w:tcPr>
            <w:tcW w:w="229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项目实施年度(时期)</w:t>
            </w:r>
          </w:p>
        </w:tc>
        <w:tc>
          <w:tcPr>
            <w:tcW w:w="19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主管部门</w:t>
            </w:r>
          </w:p>
        </w:tc>
        <w:tc>
          <w:tcPr>
            <w:tcW w:w="326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石柱县供销合作社联合社</w:t>
            </w:r>
          </w:p>
        </w:tc>
        <w:tc>
          <w:tcPr>
            <w:tcW w:w="229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实施单位</w:t>
            </w:r>
          </w:p>
        </w:tc>
        <w:tc>
          <w:tcPr>
            <w:tcW w:w="19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石柱县供销合作社联合社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98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项目资金（万元）</w:t>
            </w:r>
          </w:p>
        </w:tc>
        <w:tc>
          <w:tcPr>
            <w:tcW w:w="241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全年预算数(A)</w:t>
            </w:r>
          </w:p>
        </w:tc>
        <w:tc>
          <w:tcPr>
            <w:tcW w:w="392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全年执行数（B）</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98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83万</w:t>
            </w:r>
          </w:p>
        </w:tc>
        <w:tc>
          <w:tcPr>
            <w:tcW w:w="229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6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83万</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8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其中：财政资金</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83万</w:t>
            </w:r>
          </w:p>
        </w:tc>
        <w:tc>
          <w:tcPr>
            <w:tcW w:w="229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其中：财政资金</w:t>
            </w:r>
          </w:p>
        </w:tc>
        <w:tc>
          <w:tcPr>
            <w:tcW w:w="16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83万</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82"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年度总体目标</w:t>
            </w:r>
          </w:p>
        </w:tc>
        <w:tc>
          <w:tcPr>
            <w:tcW w:w="2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年初设定目标</w:t>
            </w:r>
          </w:p>
        </w:tc>
        <w:tc>
          <w:tcPr>
            <w:tcW w:w="392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全年目标实际完成情况</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自评等级(优良中差)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82" w:type="dxa"/>
            <w:vMerge w:val="continue"/>
            <w:tcBorders>
              <w:top w:val="nil"/>
              <w:left w:val="single" w:color="000000"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2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2021年农民合作社服务中心运营资金10万元,为全县涉农企业、基层社及农民专业合作社开展代账、代办等九代服务。创建农村综合服务社星级社15个(其中3星级7个,4星级6个,5星级2个)，投入资金73万元,为13个乡镇15个村社提供生产生活服务。</w:t>
            </w:r>
          </w:p>
        </w:tc>
        <w:tc>
          <w:tcPr>
            <w:tcW w:w="392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2021年完成农民合作社服务中心投入运营资金10万元,保障农民合作社服务中心为全县涉农企业、基层社及农民专业合作社开展代账、代办等九代服务。完成创建农村综合服务社星级社15个(其中3星级7个,4星级6个,5星级2个)，投入资金73万元,为13个乡镇15个村社提供生产生活服务。</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绩效指标</w:t>
            </w:r>
          </w:p>
        </w:tc>
        <w:tc>
          <w:tcPr>
            <w:tcW w:w="5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一级指标</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二级指标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三级指标</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年度指标值</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实际完成值</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设计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分值</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评价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得分</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未完成原因和改进措施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产出指标</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数量指标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创建星级社个数</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15个</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15个</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质量指标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验收合格率</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时效指标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项目按计划完工率</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成本指标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平均补助标准</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4.8万元/个</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4.8万元/个</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效果指标</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经济效益指标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经营服务收入</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400万元</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400万元</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社会效益指标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服务农户</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3000户</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3000户</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管理指标</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业务管理指标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建立管理制度</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1个</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1个</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项目监管执行率</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财务管理指标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资金使用合规性</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满意度指标</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社会公众或服务对象满意度指标</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服务对象满意度</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95%</w:t>
            </w: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95%</w:t>
            </w: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100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4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44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2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说明</w:t>
            </w:r>
          </w:p>
        </w:tc>
        <w:tc>
          <w:tcPr>
            <w:tcW w:w="8049"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5"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审批领导：张承伟</w:t>
            </w:r>
          </w:p>
        </w:tc>
        <w:tc>
          <w:tcPr>
            <w:tcW w:w="2169" w:type="dxa"/>
            <w:gridSpan w:val="2"/>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填报人：张建华</w:t>
            </w:r>
          </w:p>
        </w:tc>
        <w:tc>
          <w:tcPr>
            <w:tcW w:w="2967" w:type="dxa"/>
            <w:gridSpan w:val="4"/>
            <w:tcBorders>
              <w:top w:val="nil"/>
              <w:left w:val="nil"/>
              <w:bottom w:val="nil"/>
              <w:right w:val="nil"/>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0"/>
                <w:szCs w:val="20"/>
              </w:rPr>
              <w:t>填报时间：2022年5月17日</w:t>
            </w:r>
          </w:p>
        </w:tc>
      </w:tr>
    </w:tbl>
    <w:p>
      <w:pPr>
        <w:pStyle w:val="4"/>
        <w:keepNext w:val="0"/>
        <w:keepLines w:val="0"/>
        <w:widowControl/>
        <w:suppressLineNumbers w:val="0"/>
        <w:spacing w:before="0" w:beforeAutospacing="0" w:after="0" w:afterAutospacing="1"/>
        <w:ind w:right="0" w:right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pStyle w:val="4"/>
        <w:keepNext w:val="0"/>
        <w:keepLines w:val="0"/>
        <w:widowControl/>
        <w:suppressLineNumbers w:val="0"/>
        <w:spacing w:before="0" w:beforeAutospacing="0"/>
        <w:ind w:left="0" w:firstLine="320" w:firstLineChars="100"/>
        <w:jc w:val="left"/>
        <w:rPr>
          <w:rFonts w:hint="eastAsia" w:ascii="方正黑体_GBK" w:hAnsi="方正黑体_GBK" w:eastAsia="方正黑体_GBK" w:cs="方正黑体_GBK"/>
          <w:kern w:val="0"/>
          <w:sz w:val="32"/>
          <w:szCs w:val="32"/>
        </w:rPr>
      </w:pPr>
      <w:r>
        <w:rPr>
          <w:rStyle w:val="5"/>
          <w:rFonts w:hint="eastAsia" w:ascii="方正黑体_GBK" w:hAnsi="方正黑体_GBK" w:eastAsia="方正黑体_GBK" w:cs="方正黑体_GBK"/>
          <w:b/>
          <w:bCs w:val="0"/>
          <w:sz w:val="32"/>
          <w:szCs w:val="32"/>
          <w:shd w:val="clear" w:fill="FFFFFF"/>
        </w:rPr>
        <w:t xml:space="preserve"> 六、专业名词解释</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rPr>
      </w:pPr>
      <w:r>
        <w:rPr>
          <w:rStyle w:val="5"/>
          <w:rFonts w:hint="eastAsia" w:ascii="方正楷体_GBK" w:hAnsi="方正楷体_GBK" w:eastAsia="方正楷体_GBK" w:cs="方正楷体_GBK"/>
          <w:b/>
          <w:bCs w:val="0"/>
          <w:sz w:val="32"/>
          <w:szCs w:val="32"/>
          <w:shd w:val="clear" w:fill="FFFFFF"/>
        </w:rPr>
        <w:t xml:space="preserve">      （一）财政拨款收入：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4"/>
        <w:keepNext w:val="0"/>
        <w:keepLines w:val="0"/>
        <w:widowControl/>
        <w:suppressLineNumbers w:val="0"/>
        <w:spacing w:before="0" w:beforeAutospacing="0"/>
        <w:ind w:left="0" w:firstLine="271" w:firstLineChars="10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eastAsia" w:ascii="方正楷体_GBK" w:hAnsi="方正楷体_GBK" w:eastAsia="方正楷体_GBK" w:cs="方正楷体_GBK"/>
          <w:b/>
          <w:bCs w:val="0"/>
          <w:sz w:val="32"/>
          <w:szCs w:val="32"/>
          <w:shd w:val="clear" w:fill="FFFFFF"/>
        </w:rPr>
        <w:t xml:space="preserve">      （六）年初结转和结余：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方正楷体_GBK" w:hAnsi="方正楷体_GBK" w:eastAsia="方正楷体_GBK" w:cs="方正楷体_GBK"/>
          <w:b/>
          <w:bCs w:val="0"/>
          <w:sz w:val="32"/>
          <w:szCs w:val="32"/>
          <w:shd w:val="clear" w:fill="FFFFFF"/>
        </w:rPr>
        <w:t xml:space="preserve">      （七）结余分配：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（十二）“三公”经费</w:t>
      </w:r>
      <w:r>
        <w:rPr>
          <w:rFonts w:hint="eastAsia" w:ascii="方正楷体_GBK" w:hAnsi="方正楷体_GBK" w:eastAsia="方正楷体_GBK" w:cs="方正楷体_GBK"/>
          <w:kern w:val="0"/>
          <w:sz w:val="32"/>
          <w:szCs w:val="32"/>
          <w:shd w:val="clear" w:fill="FFFFFF"/>
        </w:rPr>
        <w:t>：</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（十三）机关运行经费</w:t>
      </w:r>
      <w:r>
        <w:rPr>
          <w:rFonts w:hint="eastAsia" w:ascii="方正楷体_GBK" w:hAnsi="方正楷体_GBK" w:eastAsia="方正楷体_GBK" w:cs="方正楷体_GBK"/>
          <w:kern w:val="0"/>
          <w:sz w:val="32"/>
          <w:szCs w:val="32"/>
          <w:shd w:val="clear" w:fill="FFFFFF"/>
        </w:rPr>
        <w:t>：</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（十四）工资福利支出（支出经济分类科目类级）</w:t>
      </w:r>
      <w:r>
        <w:rPr>
          <w:rFonts w:hint="eastAsia" w:ascii="方正楷体_GBK" w:hAnsi="方正楷体_GBK" w:eastAsia="方正楷体_GBK" w:cs="方正楷体_GBK"/>
          <w:kern w:val="0"/>
          <w:sz w:val="32"/>
          <w:szCs w:val="32"/>
          <w:shd w:val="clear" w:fill="FFFFFF"/>
        </w:rPr>
        <w:t>：</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 xml:space="preserve">     （十五）商品和服务支出（支出经济分类科目类级）</w:t>
      </w:r>
      <w:r>
        <w:rPr>
          <w:rFonts w:hint="eastAsia" w:ascii="方正楷体_GBK" w:hAnsi="方正楷体_GBK" w:eastAsia="方正楷体_GBK" w:cs="方正楷体_GBK"/>
          <w:kern w:val="0"/>
          <w:sz w:val="32"/>
          <w:szCs w:val="32"/>
          <w:shd w:val="clear" w:fill="FFFFFF"/>
        </w:rPr>
        <w:t>：</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32"/>
          <w:szCs w:val="32"/>
          <w:shd w:val="clear" w:fill="FFFFFF"/>
        </w:rPr>
        <w:t xml:space="preserve">    </w:t>
      </w:r>
      <w:r>
        <w:rPr>
          <w:rStyle w:val="5"/>
          <w:rFonts w:hint="eastAsia" w:ascii="宋体" w:hAnsi="宋体" w:eastAsia="宋体" w:cs="宋体"/>
          <w:b/>
          <w:bCs w:val="0"/>
          <w:sz w:val="32"/>
          <w:szCs w:val="32"/>
          <w:shd w:val="clear" w:fill="FFFFFF"/>
        </w:rPr>
        <w:t xml:space="preserve"> </w:t>
      </w:r>
      <w:r>
        <w:rPr>
          <w:rStyle w:val="5"/>
          <w:rFonts w:hint="eastAsia" w:ascii="方正楷体_GBK" w:hAnsi="方正楷体_GBK" w:eastAsia="方正楷体_GBK" w:cs="方正楷体_GBK"/>
          <w:b/>
          <w:bCs w:val="0"/>
          <w:sz w:val="32"/>
          <w:szCs w:val="32"/>
          <w:shd w:val="clear" w:fill="FFFFFF"/>
        </w:rPr>
        <w:t>（十六）对个人和家庭的补助（支出经济分类科目类级）</w:t>
      </w:r>
      <w:r>
        <w:rPr>
          <w:rFonts w:hint="eastAsia" w:ascii="方正楷体_GBK" w:hAnsi="方正楷体_GBK" w:eastAsia="方正楷体_GBK" w:cs="方正楷体_GBK"/>
          <w:kern w:val="0"/>
          <w:sz w:val="32"/>
          <w:szCs w:val="32"/>
          <w:shd w:val="clear" w:fill="FFFFFF"/>
        </w:rPr>
        <w:t>：</w:t>
      </w:r>
      <w:r>
        <w:rPr>
          <w:rFonts w:hint="eastAsia" w:ascii="方正仿宋_GBK" w:hAnsi="方正仿宋_GBK" w:eastAsia="方正仿宋_GBK" w:cs="方正仿宋_GBK"/>
          <w:kern w:val="0"/>
          <w:sz w:val="32"/>
          <w:szCs w:val="32"/>
          <w:shd w:val="clear" w:fill="FFFFFF"/>
        </w:rPr>
        <w:t>反映用于对个人和家庭的补助支出。</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Style w:val="5"/>
          <w:rFonts w:hint="eastAsia" w:ascii="宋体" w:hAnsi="宋体" w:eastAsia="宋体" w:cs="宋体"/>
          <w:b/>
          <w:bCs w:val="0"/>
          <w:sz w:val="27"/>
          <w:szCs w:val="27"/>
          <w:shd w:val="clear" w:fill="FFFFFF"/>
        </w:rPr>
        <w:t xml:space="preserve"> </w:t>
      </w:r>
      <w:r>
        <w:rPr>
          <w:rStyle w:val="5"/>
          <w:rFonts w:hint="eastAsia" w:ascii="Times New Roman" w:hAnsi="Times New Roman" w:eastAsia="宋体" w:cs="宋体"/>
          <w:b/>
          <w:bCs w:val="0"/>
          <w:sz w:val="27"/>
          <w:szCs w:val="27"/>
          <w:shd w:val="clear" w:fill="FFFFFF"/>
        </w:rPr>
        <w:t xml:space="preserve">     </w:t>
      </w:r>
      <w:r>
        <w:rPr>
          <w:rStyle w:val="5"/>
          <w:rFonts w:hint="eastAsia" w:ascii="宋体" w:hAnsi="宋体" w:eastAsia="宋体" w:cs="宋体"/>
          <w:b/>
          <w:bCs w:val="0"/>
          <w:sz w:val="27"/>
          <w:szCs w:val="27"/>
          <w:shd w:val="clear" w:fill="FFFFFF"/>
        </w:rPr>
        <w:t xml:space="preserve"> </w:t>
      </w:r>
      <w:r>
        <w:rPr>
          <w:rStyle w:val="5"/>
          <w:rFonts w:hint="eastAsia" w:ascii="方正楷体_GBK" w:hAnsi="方正楷体_GBK" w:eastAsia="方正楷体_GBK" w:cs="方正楷体_GBK"/>
          <w:b/>
          <w:bCs w:val="0"/>
          <w:sz w:val="32"/>
          <w:szCs w:val="32"/>
          <w:shd w:val="clear" w:fill="FFFFFF"/>
        </w:rPr>
        <w:t>（十七）其他资本性支出（支出经济分类科目类级）</w:t>
      </w:r>
      <w:r>
        <w:rPr>
          <w:rFonts w:hint="eastAsia" w:ascii="方正楷体_GBK" w:hAnsi="方正楷体_GBK" w:eastAsia="方正楷体_GBK" w:cs="方正楷体_GBK"/>
          <w:kern w:val="0"/>
          <w:sz w:val="32"/>
          <w:szCs w:val="32"/>
          <w:shd w:val="clear" w:fill="FFFFFF"/>
        </w:rPr>
        <w:t>：</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widowControl/>
        <w:suppressLineNumbers w:val="0"/>
        <w:spacing w:before="0" w:beforeAutospacing="0"/>
        <w:ind w:left="0" w:firstLine="640" w:firstLineChars="200"/>
        <w:jc w:val="left"/>
        <w:rPr>
          <w:rFonts w:hint="eastAsia" w:ascii="方正黑体_GBK" w:hAnsi="方正黑体_GBK" w:eastAsia="方正黑体_GBK" w:cs="方正黑体_GBK"/>
          <w:kern w:val="0"/>
          <w:sz w:val="32"/>
          <w:szCs w:val="32"/>
        </w:rPr>
      </w:pPr>
      <w:r>
        <w:rPr>
          <w:rStyle w:val="5"/>
          <w:rFonts w:hint="eastAsia" w:ascii="方正黑体_GBK" w:hAnsi="方正黑体_GBK" w:eastAsia="方正黑体_GBK" w:cs="方正黑体_GBK"/>
          <w:b/>
          <w:bCs w:val="0"/>
          <w:sz w:val="32"/>
          <w:szCs w:val="32"/>
          <w:shd w:val="clear" w:fill="FFFFFF"/>
        </w:rPr>
        <w:t xml:space="preserve">  七、决算公开联系方式及信息反馈渠道</w:t>
      </w:r>
    </w:p>
    <w:p>
      <w:pPr>
        <w:pStyle w:val="4"/>
        <w:keepNext w:val="0"/>
        <w:keepLines w:val="0"/>
        <w:widowControl/>
        <w:suppressLineNumbers w:val="0"/>
        <w:spacing w:before="0" w:beforeAutospacing="0"/>
        <w:ind w:left="0"/>
        <w:jc w:val="left"/>
        <w:rPr>
          <w:rFonts w:hint="eastAsia" w:ascii="方正仿宋_GBK" w:hAnsi="方正仿宋_GBK" w:eastAsia="方正仿宋_GBK" w:cs="方正仿宋_GBK"/>
          <w:kern w:val="0"/>
          <w:sz w:val="32"/>
          <w:szCs w:val="32"/>
          <w:shd w:val="clear" w:fill="FFFFFF"/>
        </w:rPr>
      </w:pP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 xml:space="preserve">    本单位决算公开信息反馈和联系方式：023-73332251</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6F816"/>
    <w:multiLevelType w:val="multilevel"/>
    <w:tmpl w:val="50A6F816"/>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712FDCBB"/>
    <w:multiLevelType w:val="multilevel"/>
    <w:tmpl w:val="712FDCBB"/>
    <w:lvl w:ilvl="0" w:tentative="0">
      <w:start w:val="2"/>
      <w:numFmt w:val="chineseCounting"/>
      <w:suff w:val="nothing"/>
      <w:lvlText w:val="（%1）"/>
      <w:lvlJc w:val="left"/>
      <w:pPr>
        <w:tabs>
          <w:tab w:val="left" w:pos="0"/>
        </w:tabs>
        <w:ind w:left="48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000000"/>
    <w:rsid w:val="5E687328"/>
    <w:rsid w:val="7F2A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9"/>
    <w:basedOn w:val="3"/>
    <w:qFormat/>
    <w:uiPriority w:val="0"/>
    <w:rPr>
      <w:rFonts w:hint="default" w:ascii="Times New Roman" w:hAnsi="Times New Roman" w:cs="Times New Roman"/>
      <w:b/>
    </w:rPr>
  </w:style>
  <w:style w:type="character" w:customStyle="1" w:styleId="6">
    <w:name w:val="22"/>
    <w:basedOn w:val="3"/>
    <w:qFormat/>
    <w:uiPriority w:val="0"/>
    <w:rPr>
      <w:rFonts w:hint="default" w:ascii="Times New Roman" w:hAnsi="Times New Roman" w:cs="Times New Roman"/>
      <w:b/>
    </w:rPr>
  </w:style>
  <w:style w:type="character" w:customStyle="1" w:styleId="7">
    <w:name w:val="21"/>
    <w:basedOn w:val="3"/>
    <w:qFormat/>
    <w:uiPriority w:val="0"/>
    <w:rPr>
      <w:rFonts w:hint="eastAsia" w:ascii="方正小标宋_GBK" w:hAnsi="方正小标宋_GBK" w:eastAsia="方正小标宋_GBK" w:cs="方正小标宋_GBK"/>
      <w:color w:val="000000"/>
      <w:sz w:val="40"/>
      <w:szCs w:val="40"/>
      <w:u w:val="single"/>
    </w:rPr>
  </w:style>
  <w:style w:type="character" w:customStyle="1" w:styleId="8">
    <w:name w:val="16"/>
    <w:basedOn w:val="3"/>
    <w:qFormat/>
    <w:uiPriority w:val="0"/>
    <w:rPr>
      <w:rFonts w:hint="eastAsia" w:ascii="方正小标宋_GBK" w:hAnsi="方正小标宋_GBK" w:eastAsia="方正小标宋_GBK" w:cs="方正小标宋_GBK"/>
      <w:color w:val="000000"/>
      <w:sz w:val="40"/>
      <w:szCs w:val="40"/>
    </w:rPr>
  </w:style>
  <w:style w:type="character" w:customStyle="1" w:styleId="9">
    <w:name w:val="15"/>
    <w:basedOn w:val="3"/>
    <w:qFormat/>
    <w:uiPriority w:val="0"/>
    <w:rPr>
      <w:rFonts w:hint="eastAsia" w:ascii="宋体" w:hAnsi="宋体" w:eastAsia="宋体" w:cs="宋体"/>
      <w:color w:val="000000"/>
      <w:sz w:val="20"/>
      <w:szCs w:val="20"/>
    </w:rPr>
  </w:style>
  <w:style w:type="character" w:customStyle="1" w:styleId="10">
    <w:name w:val="26"/>
    <w:basedOn w:val="3"/>
    <w:uiPriority w:val="0"/>
    <w:rPr>
      <w:rFonts w:hint="eastAsia" w:ascii="宋体" w:hAnsi="宋体" w:eastAsia="宋体" w:cs="宋体"/>
      <w:color w:val="000000"/>
      <w:sz w:val="22"/>
      <w:szCs w:val="22"/>
    </w:rPr>
  </w:style>
  <w:style w:type="character" w:customStyle="1" w:styleId="11">
    <w:name w:val="20"/>
    <w:basedOn w:val="3"/>
    <w:qFormat/>
    <w:uiPriority w:val="0"/>
    <w:rPr>
      <w:rFonts w:hint="eastAsia" w:ascii="方正小标宋_GBK" w:hAnsi="方正小标宋_GBK" w:eastAsia="方正小标宋_GBK" w:cs="方正小标宋_GBK"/>
      <w:color w:val="000000"/>
      <w:sz w:val="40"/>
      <w:szCs w:val="4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6401</Words>
  <Characters>7074</Characters>
  <Lines>0</Lines>
  <Paragraphs>0</Paragraphs>
  <TotalTime>0</TotalTime>
  <ScaleCrop>false</ScaleCrop>
  <LinksUpToDate>false</LinksUpToDate>
  <CharactersWithSpaces>7381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2022-10-26T07:42:00Z</dcterms:created>
  <dc:creator>Acer</dc:creator>
  <cp:lastModifiedBy>安然弱水</cp:lastModifiedBy>
  <dcterms:modified xsi:type="dcterms:W3CDTF">2024-07-12T01:23:23Z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20AE1AD7EA4244ADB86B9EFA0C6309B8</vt:lpwstr>
  </property>
</Properties>
</file>