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84FC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石柱土家族自治县发展和改革委员会（汇总）</w:t>
      </w:r>
    </w:p>
    <w:p w14:paraId="00BC97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14:paraId="447BBF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3BC4B7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7B22CE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1DC1C4AE">
      <w:pPr>
        <w:pStyle w:val="5"/>
        <w:keepNext w:val="0"/>
        <w:keepLines w:val="0"/>
        <w:widowControl/>
        <w:suppressLineNumbers w:val="0"/>
        <w:spacing w:before="0" w:beforeAutospacing="0" w:after="0" w:afterAutospacing="0" w:line="540" w:lineRule="atLeast"/>
        <w:ind w:left="0" w:right="0" w:firstLine="630"/>
        <w:textAlignment w:val="baseline"/>
      </w:pPr>
      <w:r>
        <w:rPr>
          <w:rFonts w:ascii="方正仿宋_GBK" w:hAnsi="方正仿宋_GBK" w:eastAsia="方正仿宋_GBK" w:cs="方正仿宋_GBK"/>
          <w:color w:val="333333"/>
          <w:sz w:val="31"/>
          <w:szCs w:val="31"/>
          <w:vertAlign w:val="baseline"/>
        </w:rPr>
        <w:t>1.</w:t>
      </w:r>
      <w:r>
        <w:rPr>
          <w:rFonts w:hint="eastAsia" w:ascii="方正仿宋_GBK" w:hAnsi="方正仿宋_GBK" w:eastAsia="方正仿宋_GBK" w:cs="方正仿宋_GBK"/>
          <w:color w:val="333333"/>
          <w:sz w:val="31"/>
          <w:szCs w:val="31"/>
          <w:vertAlign w:val="baseline"/>
        </w:rPr>
        <w:t>拟定并组织实施国民经济和社会发展战略、中长期规划和年度计划。</w:t>
      </w:r>
    </w:p>
    <w:p w14:paraId="20EFD092">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2.统筹提出国民经济和社会发展的主要目标，监测预测预警宏观经济和社会发展态势趋势，提出宏观调控政策建议。</w:t>
      </w:r>
    </w:p>
    <w:p w14:paraId="48AC150D">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3.提出加快建设现代化经济体系、推动高质量发展的总体目标、重大任务以及相关政策建议。</w:t>
      </w:r>
    </w:p>
    <w:p w14:paraId="70667006">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4.指导推进和综合协调经济体制改革有关工作，提出改革建议。</w:t>
      </w:r>
    </w:p>
    <w:p w14:paraId="132CAAB2">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5.负责投资综合管理，拟定全社会固定资产投资总规模、结构调控目标和政策措施。</w:t>
      </w:r>
    </w:p>
    <w:p w14:paraId="118C1199">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6.组织拟定综合性产业政策。</w:t>
      </w:r>
    </w:p>
    <w:p w14:paraId="5C3280CE">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7.推进实施可持续发展战略，推动生态文明建设和改革，协调生态环境保护与修复、能源资源节约和综合利用等工作。</w:t>
      </w:r>
    </w:p>
    <w:p w14:paraId="7C2DDA63">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8.推进落实区域协调发展战略、新型城镇化战略和重大政策，组织拟订相关区域规划和政策建议。</w:t>
      </w:r>
    </w:p>
    <w:p w14:paraId="30C8D3B8">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9.贯彻执行价格和收费方面有关法律、法规、规章和政策。</w:t>
      </w:r>
    </w:p>
    <w:p w14:paraId="145BAADC">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10.拟订能源发展规划、产业政策并组织实施。</w:t>
      </w:r>
    </w:p>
    <w:p w14:paraId="0FF0C365">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11.牵头指导、协调和综合监督全县工程建设项目招标投标工作。</w:t>
      </w:r>
    </w:p>
    <w:p w14:paraId="5651A2E3">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12.负责国防动员相关工作。</w:t>
      </w:r>
    </w:p>
    <w:p w14:paraId="52273989">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13.负责大数据管理相关工作。</w:t>
      </w:r>
    </w:p>
    <w:p w14:paraId="09AAF580">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14.负责贯彻粮食流通和物资储备相关政策及法律法规，负责政策性粮食收购、储存和运输监督管理，管理全县粮食储备等工作。</w:t>
      </w:r>
    </w:p>
    <w:p w14:paraId="48C6130B">
      <w:pPr>
        <w:pStyle w:val="5"/>
        <w:keepNext w:val="0"/>
        <w:keepLines w:val="0"/>
        <w:widowControl/>
        <w:suppressLineNumbers w:val="0"/>
        <w:spacing w:before="0" w:beforeAutospacing="0" w:after="0" w:afterAutospacing="0" w:line="540" w:lineRule="atLeast"/>
        <w:ind w:left="0" w:right="0" w:firstLine="630"/>
        <w:textAlignment w:val="baseline"/>
      </w:pPr>
      <w:r>
        <w:rPr>
          <w:rFonts w:hint="eastAsia" w:ascii="方正仿宋_GBK" w:hAnsi="方正仿宋_GBK" w:eastAsia="方正仿宋_GBK" w:cs="方正仿宋_GBK"/>
          <w:color w:val="333333"/>
          <w:sz w:val="31"/>
          <w:szCs w:val="31"/>
          <w:vertAlign w:val="baseline"/>
        </w:rPr>
        <w:t>15.完成县委、县政府交办的其他任务等工作。</w:t>
      </w:r>
    </w:p>
    <w:p w14:paraId="2445C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14:paraId="28155834">
      <w:pPr>
        <w:pStyle w:val="5"/>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21"/>
          <w:szCs w:val="21"/>
        </w:rPr>
      </w:pPr>
      <w:r>
        <w:rPr>
          <w:rFonts w:ascii="方正仿宋_GBK" w:hAnsi="方正仿宋_GBK" w:eastAsia="方正仿宋_GBK" w:cs="方正仿宋_GBK"/>
          <w:sz w:val="31"/>
          <w:szCs w:val="31"/>
        </w:rPr>
        <w:t>石柱县发展和改革委员会是县政府组成部门，本部门由机关本级内设</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个科室（办公室、发展规划科</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营商环境科</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、固定资产投资科、农村经济科、环境和能源科、社会事业科、公共资源交易管理科、行政许可服务科、经贸粮油科、价格管理科、</w:t>
      </w:r>
      <w:r>
        <w:rPr>
          <w:rFonts w:hint="eastAsia" w:ascii="方正仿宋_GBK" w:hAnsi="方正仿宋_GBK" w:eastAsia="方正仿宋_GBK" w:cs="方正仿宋_GBK"/>
          <w:sz w:val="31"/>
          <w:szCs w:val="31"/>
          <w:lang w:eastAsia="zh-CN"/>
        </w:rPr>
        <w:t>大数据管理科、</w:t>
      </w:r>
      <w:r>
        <w:rPr>
          <w:rFonts w:hint="eastAsia" w:ascii="方正仿宋_GBK" w:hAnsi="方正仿宋_GBK" w:eastAsia="方正仿宋_GBK" w:cs="方正仿宋_GBK"/>
          <w:sz w:val="31"/>
          <w:szCs w:val="31"/>
        </w:rPr>
        <w:t>国防动员科）和</w:t>
      </w:r>
      <w:r>
        <w:rPr>
          <w:rFonts w:hint="eastAsia" w:ascii="Times New Roman" w:hAnsi="Times New Roman" w:eastAsia="方正仿宋_GBK" w:cs="Times New Roman"/>
          <w:sz w:val="31"/>
          <w:szCs w:val="31"/>
          <w:lang w:val="en-US" w:eastAsia="zh-CN"/>
        </w:rPr>
        <w:t>8</w:t>
      </w:r>
      <w:r>
        <w:rPr>
          <w:rFonts w:hint="eastAsia" w:ascii="方正仿宋_GBK" w:hAnsi="方正仿宋_GBK" w:eastAsia="方正仿宋_GBK" w:cs="方正仿宋_GBK"/>
          <w:sz w:val="31"/>
          <w:szCs w:val="31"/>
        </w:rPr>
        <w:t>个直属单位（</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公共资源交易监督事务中心、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价格认证中心、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康养发展促进中心、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服务业发展指导中心、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重大项目促进中心、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城乡统筹发展中心</w:t>
      </w:r>
      <w:r>
        <w:rPr>
          <w:rFonts w:hint="eastAsia" w:ascii="方正仿宋_GBK" w:hAnsi="方正仿宋_GBK" w:eastAsia="方正仿宋_GBK" w:cs="方正仿宋_GBK"/>
          <w:sz w:val="31"/>
          <w:szCs w:val="31"/>
          <w:lang w:eastAsia="zh-CN"/>
        </w:rPr>
        <w:t>、县人民防空事务中心、</w:t>
      </w:r>
      <w:r>
        <w:rPr>
          <w:rFonts w:hint="eastAsia" w:ascii="方正仿宋_GBK" w:hAnsi="方正仿宋_GBK" w:eastAsia="方正仿宋_GBK" w:cs="方正仿宋_GBK"/>
          <w:sz w:val="31"/>
          <w:szCs w:val="31"/>
          <w:lang w:eastAsia="zh-CN"/>
        </w:rPr>
        <w:t>县大数据发展中心</w:t>
      </w:r>
      <w:r>
        <w:rPr>
          <w:rFonts w:hint="eastAsia" w:ascii="方正仿宋_GBK" w:hAnsi="方正仿宋_GBK" w:eastAsia="方正仿宋_GBK" w:cs="方正仿宋_GBK"/>
          <w:sz w:val="31"/>
          <w:szCs w:val="31"/>
        </w:rPr>
        <w:t>）组成。纳入</w:t>
      </w:r>
      <w:r>
        <w:rPr>
          <w:rFonts w:hint="default" w:ascii="Times New Roman" w:hAnsi="Times New Roman" w:eastAsia="方正仿宋_GBK" w:cs="Times New Roman"/>
          <w:sz w:val="31"/>
          <w:szCs w:val="31"/>
        </w:rPr>
        <w:t>202</w:t>
      </w:r>
      <w:r>
        <w:rPr>
          <w:rFonts w:hint="eastAsia" w:ascii="Times New Roman" w:hAnsi="Times New Roman" w:eastAsia="方正仿宋_GBK" w:cs="Times New Roman"/>
          <w:sz w:val="31"/>
          <w:szCs w:val="31"/>
          <w:lang w:val="en-US" w:eastAsia="zh-CN"/>
        </w:rPr>
        <w:t>5</w:t>
      </w:r>
      <w:r>
        <w:rPr>
          <w:rFonts w:hint="eastAsia" w:ascii="方正仿宋_GBK" w:hAnsi="方正仿宋_GBK" w:eastAsia="方正仿宋_GBK" w:cs="方正仿宋_GBK"/>
          <w:sz w:val="31"/>
          <w:szCs w:val="31"/>
        </w:rPr>
        <w:t>年部门预算的有委本级和</w:t>
      </w:r>
      <w:r>
        <w:rPr>
          <w:rFonts w:hint="eastAsia" w:ascii="Times New Roman" w:hAnsi="Times New Roman" w:eastAsia="方正仿宋_GBK" w:cs="Times New Roman"/>
          <w:sz w:val="31"/>
          <w:szCs w:val="31"/>
          <w:lang w:val="en-US" w:eastAsia="zh-CN"/>
        </w:rPr>
        <w:t>8</w:t>
      </w:r>
      <w:r>
        <w:rPr>
          <w:rFonts w:hint="eastAsia" w:ascii="方正仿宋_GBK" w:hAnsi="方正仿宋_GBK" w:eastAsia="方正仿宋_GBK" w:cs="方正仿宋_GBK"/>
          <w:sz w:val="31"/>
          <w:szCs w:val="31"/>
        </w:rPr>
        <w:t>个直属单位</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公共资源交易监督事务中心、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价格认证中心、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康养发展促进中心、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服务业发展指导中心、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重大项目促进中心、</w:t>
      </w:r>
      <w:r>
        <w:rPr>
          <w:rFonts w:hint="eastAsia" w:ascii="方正仿宋_GBK" w:hAnsi="方正仿宋_GBK" w:eastAsia="方正仿宋_GBK" w:cs="方正仿宋_GBK"/>
          <w:sz w:val="31"/>
          <w:szCs w:val="31"/>
          <w:lang w:eastAsia="zh-CN"/>
        </w:rPr>
        <w:t>县</w:t>
      </w:r>
      <w:r>
        <w:rPr>
          <w:rFonts w:hint="eastAsia" w:ascii="方正仿宋_GBK" w:hAnsi="方正仿宋_GBK" w:eastAsia="方正仿宋_GBK" w:cs="方正仿宋_GBK"/>
          <w:sz w:val="31"/>
          <w:szCs w:val="31"/>
        </w:rPr>
        <w:t>城乡统筹发展中心</w:t>
      </w:r>
      <w:r>
        <w:rPr>
          <w:rFonts w:hint="eastAsia" w:ascii="方正仿宋_GBK" w:hAnsi="方正仿宋_GBK" w:eastAsia="方正仿宋_GBK" w:cs="方正仿宋_GBK"/>
          <w:sz w:val="31"/>
          <w:szCs w:val="31"/>
          <w:lang w:eastAsia="zh-CN"/>
        </w:rPr>
        <w:t>、县人民防空事务中心、县大数据发展中心</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rPr>
        <w:t>。</w:t>
      </w:r>
    </w:p>
    <w:p w14:paraId="462E10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14:paraId="577617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val="en-US" w:eastAsia="zh-CN"/>
        </w:rPr>
        <w:t>7946.19</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7946.19</w:t>
      </w:r>
      <w:r>
        <w:rPr>
          <w:rFonts w:hint="default" w:ascii="Times New Roman" w:hAnsi="Times New Roman" w:eastAsia="方正仿宋_GBK" w:cs="Times New Roman"/>
          <w:sz w:val="32"/>
          <w:szCs w:val="32"/>
        </w:rPr>
        <w:t>万元，；收入</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1837.64</w:t>
      </w:r>
      <w:r>
        <w:rPr>
          <w:rFonts w:hint="default" w:ascii="Times New Roman" w:hAnsi="Times New Roman" w:eastAsia="方正仿宋_GBK" w:cs="Times New Roman"/>
          <w:sz w:val="32"/>
          <w:szCs w:val="32"/>
        </w:rPr>
        <w:t>万元，主要是一般公共预算拨款减少</w:t>
      </w:r>
      <w:r>
        <w:rPr>
          <w:rFonts w:hint="eastAsia" w:ascii="Times New Roman" w:hAnsi="Times New Roman" w:eastAsia="方正仿宋_GBK" w:cs="Times New Roman"/>
          <w:sz w:val="32"/>
          <w:szCs w:val="32"/>
          <w:lang w:val="en-US" w:eastAsia="zh-CN"/>
        </w:rPr>
        <w:t>1837.64</w:t>
      </w:r>
      <w:r>
        <w:rPr>
          <w:rFonts w:hint="default" w:ascii="Times New Roman" w:hAnsi="Times New Roman" w:eastAsia="方正仿宋_GBK" w:cs="Times New Roman"/>
          <w:sz w:val="32"/>
          <w:szCs w:val="32"/>
        </w:rPr>
        <w:t>万元。</w:t>
      </w:r>
    </w:p>
    <w:p w14:paraId="413569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val="en-US" w:eastAsia="zh-CN"/>
        </w:rPr>
        <w:t>7946.19</w:t>
      </w:r>
      <w:r>
        <w:rPr>
          <w:rFonts w:hint="default" w:ascii="Times New Roman" w:hAnsi="Times New Roman" w:eastAsia="方正仿宋_GBK" w:cs="Times New Roman"/>
          <w:sz w:val="32"/>
          <w:szCs w:val="32"/>
        </w:rPr>
        <w:t>万元，其中：一般公共服务支出</w:t>
      </w:r>
      <w:r>
        <w:rPr>
          <w:rFonts w:hint="eastAsia" w:ascii="Times New Roman" w:hAnsi="Times New Roman" w:eastAsia="方正仿宋_GBK" w:cs="Times New Roman"/>
          <w:sz w:val="32"/>
          <w:szCs w:val="32"/>
          <w:lang w:val="en-US" w:eastAsia="zh-CN"/>
        </w:rPr>
        <w:t>6670.39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科学技术支出</w:t>
      </w:r>
      <w:r>
        <w:rPr>
          <w:rFonts w:hint="eastAsia" w:ascii="Times New Roman" w:hAnsi="Times New Roman" w:eastAsia="方正仿宋_GBK" w:cs="Times New Roman"/>
          <w:sz w:val="32"/>
          <w:szCs w:val="32"/>
          <w:lang w:val="en-US" w:eastAsia="zh-CN"/>
        </w:rPr>
        <w:t>235.37</w:t>
      </w:r>
      <w:r>
        <w:rPr>
          <w:rFonts w:hint="default" w:ascii="Times New Roman" w:hAnsi="Times New Roman" w:eastAsia="方正仿宋_GBK" w:cs="Times New Roman"/>
          <w:sz w:val="32"/>
          <w:szCs w:val="32"/>
        </w:rPr>
        <w:t>万元，社会保障和就业支出</w:t>
      </w:r>
      <w:r>
        <w:rPr>
          <w:rFonts w:hint="eastAsia" w:ascii="Times New Roman" w:hAnsi="Times New Roman" w:eastAsia="方正仿宋_GBK" w:cs="Times New Roman"/>
          <w:sz w:val="32"/>
          <w:szCs w:val="32"/>
          <w:lang w:val="en-US" w:eastAsia="zh-CN"/>
        </w:rPr>
        <w:t>337.29</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99.34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资源勘探工业信息等支出</w:t>
      </w:r>
      <w:r>
        <w:rPr>
          <w:rFonts w:hint="eastAsia" w:ascii="Times New Roman" w:hAnsi="Times New Roman" w:eastAsia="方正仿宋_GBK" w:cs="Times New Roman"/>
          <w:sz w:val="32"/>
          <w:szCs w:val="32"/>
          <w:lang w:val="en-US" w:eastAsia="zh-CN"/>
        </w:rPr>
        <w:t>400万元，</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90.80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，粮油和物资储备支出</w:t>
      </w:r>
      <w:r>
        <w:rPr>
          <w:rFonts w:hint="eastAsia" w:ascii="Times New Roman" w:hAnsi="Times New Roman" w:eastAsia="方正仿宋_GBK" w:cs="Times New Roman"/>
          <w:sz w:val="32"/>
          <w:szCs w:val="32"/>
          <w:lang w:val="en-US" w:eastAsia="zh-CN"/>
        </w:rPr>
        <w:t>113万元</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1837.64</w:t>
      </w:r>
      <w:r>
        <w:rPr>
          <w:rFonts w:hint="default" w:ascii="Times New Roman" w:hAnsi="Times New Roman" w:eastAsia="方正仿宋_GBK" w:cs="Times New Roman"/>
          <w:sz w:val="32"/>
          <w:szCs w:val="32"/>
        </w:rPr>
        <w:t>万元，主要是基本支出减少</w:t>
      </w:r>
      <w:r>
        <w:rPr>
          <w:rFonts w:hint="eastAsia" w:ascii="Times New Roman" w:hAnsi="Times New Roman" w:eastAsia="方正仿宋_GBK" w:cs="Times New Roman"/>
          <w:sz w:val="32"/>
          <w:szCs w:val="32"/>
          <w:lang w:val="en-US" w:eastAsia="zh-CN"/>
        </w:rPr>
        <w:t>33.94</w:t>
      </w:r>
      <w:r>
        <w:rPr>
          <w:rFonts w:hint="default"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1803.69</w:t>
      </w:r>
      <w:r>
        <w:rPr>
          <w:rFonts w:hint="default" w:ascii="Times New Roman" w:hAnsi="Times New Roman" w:eastAsia="方正仿宋_GBK" w:cs="Times New Roman"/>
          <w:sz w:val="32"/>
          <w:szCs w:val="32"/>
        </w:rPr>
        <w:t>万元。</w:t>
      </w:r>
    </w:p>
    <w:p w14:paraId="60AD8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14:paraId="0D9A4A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一般公共预算财政拨款收入</w:t>
      </w:r>
      <w:r>
        <w:rPr>
          <w:rFonts w:hint="eastAsia" w:ascii="Times New Roman" w:hAnsi="Times New Roman" w:eastAsia="方正仿宋_GBK" w:cs="Times New Roman"/>
          <w:sz w:val="32"/>
          <w:szCs w:val="32"/>
          <w:lang w:val="en-US" w:eastAsia="zh-CN"/>
        </w:rPr>
        <w:t>7946.19</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7946.19</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1837.64</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1679.12</w:t>
      </w:r>
      <w:r>
        <w:rPr>
          <w:rFonts w:hint="default" w:ascii="Times New Roman" w:hAnsi="Times New Roman" w:eastAsia="方正仿宋_GBK" w:cs="Times New Roman"/>
          <w:sz w:val="32"/>
          <w:szCs w:val="32"/>
        </w:rPr>
        <w:t>万元，主要用于保障……在职人员工资福利及社会保险缴费、离休人员离休费、退休人员补助等，保障部门正常运转的各项商品服务支出，比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33.94</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预算口径变化导致人员公用经费减少，人员退休及调出导致人员经费减少</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6267.08</w:t>
      </w:r>
      <w:r>
        <w:rPr>
          <w:rFonts w:hint="default" w:ascii="Times New Roman" w:hAnsi="Times New Roman" w:eastAsia="方正仿宋_GBK" w:cs="Times New Roman"/>
          <w:sz w:val="32"/>
          <w:szCs w:val="32"/>
        </w:rPr>
        <w:t>万元，主要用于</w:t>
      </w:r>
      <w:r>
        <w:rPr>
          <w:rFonts w:hint="eastAsia" w:ascii="Times New Roman" w:hAnsi="Times New Roman" w:eastAsia="方正仿宋_GBK" w:cs="Times New Roman"/>
          <w:sz w:val="32"/>
          <w:szCs w:val="32"/>
          <w:lang w:eastAsia="zh-CN"/>
        </w:rPr>
        <w:t>加快重大项目建设，持续优化营商环境，国防动员，保障粮油安全和物价稳定，加强招投标监督，完成大数据发展既定目标，推动以康养经济为重点在县域经济高质量发展。</w:t>
      </w:r>
      <w:r>
        <w:rPr>
          <w:rFonts w:hint="default" w:ascii="Times New Roman" w:hAnsi="Times New Roman" w:eastAsia="方正仿宋_GBK" w:cs="Times New Roman"/>
          <w:sz w:val="32"/>
          <w:szCs w:val="32"/>
        </w:rPr>
        <w:t>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1803.69</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对口协同发展项目结余减少及优质粮食工程减少等</w:t>
      </w:r>
      <w:r>
        <w:rPr>
          <w:rFonts w:hint="default" w:ascii="Times New Roman" w:hAnsi="Times New Roman" w:eastAsia="方正仿宋_GBK" w:cs="Times New Roman"/>
          <w:sz w:val="32"/>
          <w:szCs w:val="32"/>
        </w:rPr>
        <w:t>。</w:t>
      </w:r>
    </w:p>
    <w:p w14:paraId="337155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2025年</w:t>
      </w:r>
      <w:r>
        <w:rPr>
          <w:rFonts w:hint="default" w:ascii="Times New Roman" w:hAnsi="Times New Roman" w:eastAsia="方正仿宋_GBK" w:cs="Times New Roman"/>
          <w:sz w:val="32"/>
        </w:rPr>
        <w:t>无使用政府性基金预算拨款安排的支出</w:t>
      </w:r>
      <w:r>
        <w:rPr>
          <w:rFonts w:hint="default" w:ascii="Times New Roman" w:hAnsi="Times New Roman" w:eastAsia="方正仿宋_GBK" w:cs="Times New Roman"/>
          <w:sz w:val="32"/>
          <w:szCs w:val="32"/>
        </w:rPr>
        <w:t>，与上年保持一致</w:t>
      </w:r>
      <w:r>
        <w:rPr>
          <w:rFonts w:hint="eastAsia" w:ascii="Times New Roman" w:hAnsi="Times New Roman" w:eastAsia="方正仿宋_GBK" w:cs="Times New Roman"/>
          <w:sz w:val="32"/>
          <w:lang w:eastAsia="zh-CN"/>
        </w:rPr>
        <w:t>。</w:t>
      </w:r>
    </w:p>
    <w:p w14:paraId="60220F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58659F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“三公”经费预算</w:t>
      </w:r>
      <w:r>
        <w:rPr>
          <w:rFonts w:hint="eastAsia" w:ascii="Times New Roman" w:hAnsi="Times New Roman" w:eastAsia="方正仿宋_GBK" w:cs="Times New Roman"/>
          <w:sz w:val="32"/>
          <w:szCs w:val="32"/>
          <w:lang w:val="en-US" w:eastAsia="zh-CN"/>
        </w:rPr>
        <w:t>23.86</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2024年减少</w:t>
      </w:r>
      <w:r>
        <w:rPr>
          <w:rFonts w:hint="eastAsia" w:ascii="Times New Roman" w:hAnsi="Times New Roman" w:eastAsia="方正仿宋_GBK" w:cs="Times New Roman"/>
          <w:sz w:val="32"/>
          <w:szCs w:val="32"/>
          <w:lang w:val="en-US" w:eastAsia="zh-CN"/>
        </w:rPr>
        <w:t>4.2</w:t>
      </w:r>
      <w:r>
        <w:rPr>
          <w:rFonts w:hint="default" w:ascii="Times New Roman" w:hAnsi="Times New Roman" w:eastAsia="方正仿宋_GBK" w:cs="Times New Roman"/>
          <w:sz w:val="32"/>
          <w:szCs w:val="32"/>
        </w:rPr>
        <w:t>万元。其中：公务接待费</w:t>
      </w:r>
      <w:r>
        <w:rPr>
          <w:rFonts w:hint="eastAsia" w:ascii="Times New Roman" w:hAnsi="Times New Roman" w:eastAsia="方正仿宋_GBK" w:cs="Times New Roman"/>
          <w:sz w:val="32"/>
          <w:szCs w:val="32"/>
          <w:lang w:val="en-US" w:eastAsia="zh-CN"/>
        </w:rPr>
        <w:t>8.86</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t>万元，主要原因是</w:t>
      </w:r>
      <w:r>
        <w:rPr>
          <w:rFonts w:ascii="仿宋" w:hAnsi="仿宋" w:eastAsia="仿宋" w:cs="仿宋"/>
          <w:sz w:val="31"/>
          <w:szCs w:val="31"/>
        </w:rPr>
        <w:t>强化财务监管、减少公务接待</w:t>
      </w:r>
      <w:r>
        <w:rPr>
          <w:rFonts w:hint="default"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rPr>
        <w:t>万元，主要原因是</w:t>
      </w:r>
      <w:r>
        <w:rPr>
          <w:rFonts w:ascii="仿宋" w:hAnsi="仿宋" w:eastAsia="仿宋" w:cs="仿宋"/>
          <w:sz w:val="31"/>
          <w:szCs w:val="31"/>
        </w:rPr>
        <w:t>严格落实过紧日子的要求，</w:t>
      </w:r>
      <w:r>
        <w:rPr>
          <w:rFonts w:hint="eastAsia" w:ascii="仿宋" w:hAnsi="仿宋" w:eastAsia="仿宋" w:cs="仿宋"/>
          <w:sz w:val="31"/>
          <w:szCs w:val="31"/>
        </w:rPr>
        <w:t>“三公”经费只减不增</w:t>
      </w:r>
      <w:r>
        <w:rPr>
          <w:rFonts w:hint="default" w:ascii="Times New Roman" w:hAnsi="Times New Roman" w:eastAsia="方正仿宋_GBK" w:cs="Times New Roman"/>
          <w:sz w:val="32"/>
          <w:szCs w:val="32"/>
          <w:lang w:eastAsia="zh-CN"/>
        </w:rPr>
        <w:t>。</w:t>
      </w:r>
      <w:bookmarkStart w:id="0" w:name="_GoBack"/>
      <w:bookmarkEnd w:id="0"/>
    </w:p>
    <w:p w14:paraId="48EED0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2E81EE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机关运行经费。</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一般公共预算财政拨款运行经费</w:t>
      </w:r>
      <w:r>
        <w:rPr>
          <w:rFonts w:hint="eastAsia" w:ascii="Times New Roman" w:hAnsi="Times New Roman" w:eastAsia="方正仿宋_GBK" w:cs="Times New Roman"/>
          <w:sz w:val="32"/>
          <w:szCs w:val="32"/>
          <w:lang w:val="en-US" w:eastAsia="zh-CN"/>
        </w:rPr>
        <w:t>254.71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86.25</w:t>
      </w:r>
      <w:r>
        <w:rPr>
          <w:rFonts w:hint="default" w:ascii="Times New Roman" w:hAnsi="Times New Roman" w:eastAsia="方正仿宋_GBK" w:cs="Times New Roman"/>
          <w:sz w:val="32"/>
          <w:szCs w:val="32"/>
        </w:rPr>
        <w:t>万元，主要原因为</w:t>
      </w:r>
      <w:r>
        <w:rPr>
          <w:rFonts w:hint="eastAsia" w:ascii="Times New Roman" w:hAnsi="Times New Roman" w:eastAsia="方正仿宋_GBK" w:cs="Times New Roman"/>
          <w:sz w:val="32"/>
          <w:szCs w:val="32"/>
          <w:lang w:eastAsia="zh-CN"/>
        </w:rPr>
        <w:t>预算口径变化及</w:t>
      </w:r>
      <w:r>
        <w:rPr>
          <w:rFonts w:ascii="仿宋" w:hAnsi="仿宋" w:eastAsia="仿宋" w:cs="仿宋"/>
          <w:sz w:val="31"/>
          <w:szCs w:val="31"/>
        </w:rPr>
        <w:t>是</w:t>
      </w:r>
      <w:r>
        <w:rPr>
          <w:rFonts w:hint="eastAsia" w:ascii="仿宋" w:hAnsi="仿宋" w:eastAsia="仿宋" w:cs="仿宋"/>
          <w:sz w:val="31"/>
          <w:szCs w:val="31"/>
        </w:rPr>
        <w:t>节约开支，压缩办公成本</w:t>
      </w:r>
      <w:r>
        <w:rPr>
          <w:rFonts w:hint="default" w:ascii="Times New Roman" w:hAnsi="Times New Roman" w:eastAsia="方正仿宋_GBK" w:cs="Times New Roman"/>
          <w:sz w:val="32"/>
          <w:szCs w:val="32"/>
        </w:rPr>
        <w:t>；主要用于办公费、邮电费、水电</w:t>
      </w:r>
      <w:r>
        <w:rPr>
          <w:rFonts w:hint="default" w:ascii="Times New Roman" w:hAnsi="Times New Roman" w:eastAsia="方正仿宋_GBK" w:cs="Times New Roman"/>
          <w:sz w:val="32"/>
        </w:rPr>
        <w:t>费、差旅费、会议费、培训费及其他商品和服务支出等。</w:t>
      </w:r>
    </w:p>
    <w:p w14:paraId="1729A5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政府采购情况。所属各预算单位政府采购预算总额</w:t>
      </w:r>
      <w:r>
        <w:rPr>
          <w:rFonts w:hint="eastAsia" w:ascii="Times New Roman" w:hAnsi="Times New Roman" w:eastAsia="方正仿宋_GBK" w:cs="Times New Roman"/>
          <w:sz w:val="32"/>
          <w:szCs w:val="32"/>
          <w:lang w:val="en-US" w:eastAsia="zh-CN"/>
        </w:rPr>
        <w:t>153.95</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53.95</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153.95</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53.95</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w:t>
      </w:r>
    </w:p>
    <w:p w14:paraId="3D4A3D06">
      <w:pPr>
        <w:keepNext w:val="0"/>
        <w:keepLines w:val="0"/>
        <w:pageBreakBefore w:val="0"/>
        <w:widowControl w:val="0"/>
        <w:kinsoku/>
        <w:wordWrap/>
        <w:overflowPunct/>
        <w:topLinePunct w:val="0"/>
        <w:autoSpaceDE/>
        <w:autoSpaceDN/>
        <w:bidi w:val="0"/>
        <w:adjustRightInd/>
        <w:snapToGrid/>
        <w:ind w:left="105" w:leftChars="5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绩效目标设置情况。</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项目支出均实行了绩效目标管理，涉及一般公共预算财政拨款</w:t>
      </w:r>
      <w:r>
        <w:rPr>
          <w:rFonts w:hint="eastAsia" w:ascii="Times New Roman" w:hAnsi="Times New Roman" w:eastAsia="方正仿宋_GBK" w:cs="Times New Roman"/>
          <w:sz w:val="32"/>
          <w:szCs w:val="32"/>
          <w:lang w:val="en-US" w:eastAsia="zh-CN"/>
        </w:rPr>
        <w:t>6267.08</w:t>
      </w:r>
      <w:r>
        <w:rPr>
          <w:rFonts w:hint="default" w:ascii="Times New Roman" w:hAnsi="Times New Roman" w:eastAsia="方正仿宋_GBK" w:cs="Times New Roman"/>
          <w:sz w:val="32"/>
          <w:szCs w:val="32"/>
        </w:rPr>
        <w:t>万元。</w:t>
      </w:r>
    </w:p>
    <w:p w14:paraId="156694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国有资产占有使用情况。截止</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12月，所属各预算单位共有车辆</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辆，其中一般公务用车</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辆。</w:t>
      </w:r>
    </w:p>
    <w:p w14:paraId="60A32DA5">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15E7A971">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sz w:val="32"/>
        </w:rPr>
        <w:t>：指本年度从本级财政部门取得的财政拨款，包括一般公共预算财政拨款</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政府性基金预算财政拨款和</w:t>
      </w:r>
      <w:r>
        <w:rPr>
          <w:rFonts w:hint="default" w:ascii="Times New Roman" w:hAnsi="Times New Roman" w:eastAsia="方正仿宋_GBK" w:cs="Times New Roman"/>
          <w:sz w:val="32"/>
          <w:szCs w:val="32"/>
        </w:rPr>
        <w:t>国有资本经营预算</w:t>
      </w:r>
      <w:r>
        <w:rPr>
          <w:rFonts w:hint="default" w:ascii="Times New Roman" w:hAnsi="Times New Roman" w:eastAsia="方正仿宋_GBK" w:cs="Times New Roman"/>
          <w:sz w:val="32"/>
        </w:rPr>
        <w:t>财政拨款。</w:t>
      </w:r>
    </w:p>
    <w:p w14:paraId="419EFA52">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sz w:val="32"/>
        </w:rPr>
        <w:t>：指单位取得的除“财政拨款收入”、“事业收入”、“经营收入”等以外的收入。</w:t>
      </w:r>
    </w:p>
    <w:p w14:paraId="583901A3">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rPr>
        <w:t>：指为保障机构正常运转、完成日常工作任务而发生的人员经费和公用经费。</w:t>
      </w:r>
    </w:p>
    <w:p w14:paraId="4AD460C4">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sz w:val="32"/>
        </w:rPr>
        <w:t>：指在基本支出之外为完成特定行政任务和事业发展目标所发生的支出。</w:t>
      </w:r>
    </w:p>
    <w:p w14:paraId="381F21F3">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1CDEA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14:paraId="04E87C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张帆</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联系方式：023-73332293</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3A63375"/>
    <w:rsid w:val="0D7A365A"/>
    <w:rsid w:val="133B1901"/>
    <w:rsid w:val="19DB55F5"/>
    <w:rsid w:val="1DD801A3"/>
    <w:rsid w:val="1EAF42D1"/>
    <w:rsid w:val="274B199A"/>
    <w:rsid w:val="2A1750A8"/>
    <w:rsid w:val="2BE20CDE"/>
    <w:rsid w:val="32513FE1"/>
    <w:rsid w:val="387110B4"/>
    <w:rsid w:val="3A720DEA"/>
    <w:rsid w:val="3B9B3520"/>
    <w:rsid w:val="489617E1"/>
    <w:rsid w:val="4D5D69EE"/>
    <w:rsid w:val="5A254D94"/>
    <w:rsid w:val="5B8E1A9F"/>
    <w:rsid w:val="5CF21E57"/>
    <w:rsid w:val="65A30990"/>
    <w:rsid w:val="67920983"/>
    <w:rsid w:val="6AA0021E"/>
    <w:rsid w:val="71597F39"/>
    <w:rsid w:val="79CF62B4"/>
    <w:rsid w:val="7B1B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snapToGrid w:val="0"/>
      <w:jc w:val="left"/>
    </w:pPr>
    <w:rPr>
      <w:sz w:val="18"/>
      <w:szCs w:val="18"/>
    </w:rPr>
  </w:style>
  <w:style w:type="paragraph" w:styleId="4">
    <w:name w:val="header"/>
    <w:basedOn w:val="1"/>
    <w:link w:val="10"/>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r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 w:type="paragraph" w:styleId="12">
    <w:name w:val="List Paragraph"/>
    <w:basedOn w:val="1"/>
    <w:qFormat/>
    <w:uiPriority w:val="0"/>
    <w:pPr>
      <w:ind w:firstLine="420" w:firstLineChars="200"/>
    </w:pPr>
  </w:style>
  <w:style w:type="character" w:customStyle="1" w:styleId="13">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1785</Words>
  <Characters>1892</Characters>
  <Lines>8</Lines>
  <Paragraphs>2</Paragraphs>
  <TotalTime>25</TotalTime>
  <ScaleCrop>false</ScaleCrop>
  <LinksUpToDate>false</LinksUpToDate>
  <CharactersWithSpaces>2022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ʚ胖凡ɞ</cp:lastModifiedBy>
  <cp:lastPrinted>2018-01-02T08:11:00Z</cp:lastPrinted>
  <dcterms:modified xsi:type="dcterms:W3CDTF">2025-02-25T10:33:35Z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32FF248B65EC4E3C846FD5CF00DA0D5E_13</vt:lpwstr>
  </property>
  <property fmtid="{D5CDD505-2E9C-101B-9397-08002B2CF9AE}" pid="4" name="KSOTemplateDocerSaveRecord">
    <vt:lpwstr>eyJoZGlkIjoiZmQ4MzhlNGU5YWI3NzBmMGVlMzE1MDI1NmJhMjM1N2MiLCJ1c2VySWQiOiI0NjAyMzIyMTYifQ==</vt:lpwstr>
  </property>
</Properties>
</file>