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石柱土家族自治县大数据发展中心</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楷体" w:hAnsi="楷体" w:eastAsia="楷体" w:cs="楷体"/>
          <w:color w:val="auto"/>
          <w:sz w:val="32"/>
          <w:szCs w:val="32"/>
          <w:shd w:val="clear" w:color="auto" w:fill="FFFFFF"/>
        </w:rPr>
      </w:pPr>
      <w:r>
        <w:rPr>
          <w:rStyle w:val="8"/>
          <w:rFonts w:ascii="楷体" w:hAnsi="楷体" w:eastAsia="楷体" w:cs="楷体"/>
          <w:color w:val="auto"/>
          <w:sz w:val="32"/>
          <w:szCs w:val="32"/>
          <w:shd w:val="clear" w:color="auto" w:fill="FFFFFF"/>
        </w:rPr>
        <w:t>（一）职能职责</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1.宣传贯彻实施国家、重庆市关于大数据方面的法律、法规和规章。</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2.参与拟订大数据发展相关措施，参与拟订全县大数据发展规划和年度计划。</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3.承担政府数据的汇聚融合、互联互通及合法利用等工作。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4.承担全县大数据应用发展管理事务性工作。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5.参与指导重大数字化建设项目，参与财政投资数字化项目的审核和绩效评估。</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6.完成县发展改革委领导交办的其他工作。</w:t>
      </w:r>
    </w:p>
    <w:p>
      <w:pPr>
        <w:pStyle w:val="5"/>
        <w:shd w:val="clear" w:color="auto" w:fill="FFFFFF"/>
        <w:spacing w:before="0" w:beforeAutospacing="0" w:after="0" w:afterAutospacing="0" w:line="596" w:lineRule="exact"/>
        <w:ind w:firstLine="643" w:firstLineChars="200"/>
        <w:jc w:val="both"/>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石柱土家族自治县大数据发展中心为县发展和改革委员会管理的正科级公益一类事业单位。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14.27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收、支与2023年度相比，增加14.27万元，增长100.0%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年新增单位，无上年决算对比数据</w:t>
      </w:r>
      <w:r>
        <w:rPr>
          <w:rFonts w:ascii="方正仿宋_GBK" w:hAnsi="方正仿宋_GBK" w:eastAsia="方正仿宋_GBK" w:cs="方正仿宋_GBK"/>
          <w:color w:val="auto"/>
          <w:sz w:val="32"/>
          <w:szCs w:val="32"/>
          <w:shd w:val="clear" w:color="auto" w:fill="FFFFFF"/>
        </w:rPr>
        <w:t>。</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14.27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与2023年度相比，增加14.27万元，增长100.0%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方正仿宋_GBK" w:hAnsi="方正仿宋_GBK" w:eastAsia="方正仿宋_GBK" w:cs="方正仿宋_GBK"/>
          <w:color w:val="auto"/>
          <w:sz w:val="32"/>
          <w:szCs w:val="32"/>
          <w:shd w:val="clear" w:color="auto" w:fill="FFFFFF"/>
          <w:lang w:val="en-US" w:eastAsia="zh-CN"/>
        </w:rPr>
        <w:t>2024年新增单位，无上年决算对比数据</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14.27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14.27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与2023年度相比，增加14.27万元，增长100.0%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方正仿宋_GBK" w:hAnsi="方正仿宋_GBK" w:eastAsia="方正仿宋_GBK" w:cs="方正仿宋_GBK"/>
          <w:color w:val="auto"/>
          <w:sz w:val="32"/>
          <w:szCs w:val="32"/>
          <w:shd w:val="clear" w:color="auto" w:fill="FFFFFF"/>
          <w:lang w:val="en-US" w:eastAsia="zh-CN"/>
        </w:rPr>
        <w:t>2024年新增单位，无上年决算对比数据</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14.27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14.27</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财政拨款收、支总计各增加14.27万元，增长100.0%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年新增单位，无上年决算对比数据</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14.27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与2023年度相比，增加14.27万元，增长100.0%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年新增单位，无上年决算对比数据</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较年初预算数增加14.27万元，增长100.0%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方正仿宋_GBK" w:hAnsi="方正仿宋_GBK" w:eastAsia="方正仿宋_GBK" w:cs="方正仿宋_GBK"/>
          <w:color w:val="auto"/>
          <w:sz w:val="32"/>
          <w:szCs w:val="32"/>
          <w:shd w:val="clear" w:color="auto" w:fill="FFFFFF"/>
          <w:lang w:val="en-US" w:eastAsia="zh-CN"/>
        </w:rPr>
        <w:t>2024年新增单位，无上年预算对比数据</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14.27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与2023年度相比，增加14.27万元，增长100.0%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Times New Roman" w:hAnsi="Times New Roman" w:eastAsia="方正仿宋_GBK"/>
          <w:color w:val="auto"/>
          <w:sz w:val="32"/>
          <w:szCs w:val="32"/>
          <w:shd w:val="clear" w:color="auto" w:fill="FFFFFF"/>
          <w:lang w:val="en-US" w:eastAsia="zh-CN"/>
        </w:rPr>
        <w:t>为2024</w:t>
      </w:r>
      <w:r>
        <w:rPr>
          <w:rFonts w:hint="eastAsia" w:ascii="方正仿宋_GBK" w:hAnsi="方正仿宋_GBK" w:eastAsia="方正仿宋_GBK" w:cs="方正仿宋_GBK"/>
          <w:color w:val="auto"/>
          <w:sz w:val="32"/>
          <w:szCs w:val="32"/>
          <w:shd w:val="clear" w:color="auto" w:fill="FFFFFF"/>
          <w:lang w:val="en-US" w:eastAsia="zh-CN"/>
        </w:rPr>
        <w:t>年新增单位，无上年决算对比数据</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较年初预算数增加14.27万元，增长100.0%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年新增单位，无上年预算对比数据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8.64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60.6%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较年初预算数增加8.64万元，增长100.0%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w:t>
      </w:r>
      <w:r>
        <w:rPr>
          <w:rFonts w:hint="eastAsia" w:ascii="Times New Roman" w:hAnsi="Times New Roman" w:eastAsia="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lang w:val="en-US" w:eastAsia="zh-CN"/>
        </w:rPr>
        <w:t>月新增单位，无上年预算对比数据</w:t>
      </w:r>
      <w:r>
        <w:rPr>
          <w:rFonts w:ascii="方正仿宋_GBK" w:hAnsi="方正仿宋_GBK" w:eastAsia="方正仿宋_GBK" w:cs="方正仿宋_GBK"/>
          <w:color w:val="auto"/>
          <w:sz w:val="32"/>
          <w:szCs w:val="32"/>
          <w:shd w:val="clear" w:color="auto" w:fill="FFFFFF"/>
        </w:rPr>
        <w:t>。</w:t>
      </w:r>
    </w:p>
    <w:p>
      <w:pPr>
        <w:pStyle w:val="5"/>
        <w:numPr>
          <w:ilvl w:val="0"/>
          <w:numId w:val="0"/>
        </w:numPr>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5.10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35.7%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较年初预算数增加5.10万元，增长100.0%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年6月新增单位，无上年预算对比数据</w:t>
      </w:r>
      <w:r>
        <w:rPr>
          <w:rFonts w:ascii="方正仿宋_GBK" w:hAnsi="方正仿宋_GBK" w:eastAsia="方正仿宋_GBK" w:cs="方正仿宋_GBK"/>
          <w:color w:val="auto"/>
          <w:sz w:val="32"/>
          <w:szCs w:val="32"/>
          <w:shd w:val="clear" w:color="auto" w:fill="FFFFFF"/>
        </w:rPr>
        <w:t>。</w:t>
      </w:r>
    </w:p>
    <w:p>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0.31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较年初预算数增加0.31万元，增长100.0%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w:t>
      </w:r>
      <w:r>
        <w:rPr>
          <w:rFonts w:hint="eastAsia" w:ascii="Times New Roman" w:hAnsi="Times New Roman" w:eastAsia="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lang w:val="en-US" w:eastAsia="zh-CN"/>
        </w:rPr>
        <w:t>月新增单位，无上年预算对比数据</w:t>
      </w:r>
      <w:r>
        <w:rPr>
          <w:rFonts w:ascii="方正仿宋_GBK" w:hAnsi="方正仿宋_GBK" w:eastAsia="方正仿宋_GBK" w:cs="方正仿宋_GBK"/>
          <w:color w:val="auto"/>
          <w:sz w:val="32"/>
          <w:szCs w:val="32"/>
          <w:shd w:val="clear" w:color="auto" w:fill="FFFFFF"/>
        </w:rPr>
        <w:t>。</w:t>
      </w:r>
    </w:p>
    <w:p>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0.22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较年初预算数增加0.22万元，增长100.0%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w:t>
      </w:r>
      <w:r>
        <w:rPr>
          <w:rFonts w:hint="eastAsia" w:ascii="Times New Roman" w:hAnsi="Times New Roman" w:eastAsia="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lang w:val="en-US" w:eastAsia="zh-CN"/>
        </w:rPr>
        <w:t>月新增单位，无上年预算对比数据</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14.27</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其中：人员经费</w:t>
      </w:r>
      <w:r>
        <w:rPr>
          <w:rFonts w:hint="default" w:ascii="Times New Roman" w:hAnsi="Times New Roman" w:eastAsia="方正仿宋_GBK"/>
          <w:color w:val="auto"/>
          <w:sz w:val="32"/>
          <w:szCs w:val="32"/>
          <w:shd w:val="clear" w:color="auto" w:fill="FFFFFF"/>
        </w:rPr>
        <w:t>10.80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与2023年度相比，增加10.80万元，增长100.0%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年新增单位，无上年决算对比数据</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、社会保障缴费、住房公积金、医疗费等。公用经费</w:t>
      </w:r>
      <w:r>
        <w:rPr>
          <w:rFonts w:hint="default" w:ascii="Times New Roman" w:hAnsi="Times New Roman" w:eastAsia="方正仿宋_GBK"/>
          <w:color w:val="auto"/>
          <w:sz w:val="32"/>
          <w:szCs w:val="32"/>
          <w:shd w:val="clear" w:color="auto" w:fill="FFFFFF"/>
        </w:rPr>
        <w:t>3.47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与2023年度相比，增加3.47万元，增长100.0%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方正仿宋_GBK" w:hAnsi="方正仿宋_GBK" w:eastAsia="方正仿宋_GBK" w:cs="方正仿宋_GBK"/>
          <w:color w:val="auto"/>
          <w:sz w:val="32"/>
          <w:szCs w:val="32"/>
          <w:shd w:val="clear" w:color="auto" w:fill="FFFFFF"/>
          <w:lang w:val="en-US" w:eastAsia="zh-CN"/>
        </w:rPr>
        <w:t>2024年新增单位，无上年决算对比数据</w:t>
      </w:r>
      <w:r>
        <w:rPr>
          <w:rFonts w:ascii="方正仿宋_GBK" w:hAnsi="方正仿宋_GBK" w:eastAsia="方正仿宋_GBK" w:cs="方正仿宋_GBK"/>
          <w:color w:val="auto"/>
          <w:sz w:val="32"/>
          <w:szCs w:val="32"/>
          <w:shd w:val="clear" w:color="auto" w:fill="FFFFFF"/>
        </w:rPr>
        <w:t>。公用经费用途主要包括办公费、水费、电费、邮电费、差旅费、工会经费、其他商品和服务支出等</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w:t>
      </w:r>
      <w:r>
        <w:rPr>
          <w:rFonts w:hint="default" w:ascii="方正仿宋_GBK" w:hAnsi="方正仿宋_GBK"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w:t>
      </w:r>
      <w:r>
        <w:rPr>
          <w:rFonts w:hint="default" w:ascii="方正仿宋_GBK" w:hAnsi="方正仿宋_GBK"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0.81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较年初预算数增加0.81万元，增长100.0%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年新增单位，无上年预算对比数据</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较上年支出数增加0.81万元，增长100.0%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年新增单位，无上年决算对比数据</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未产生</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0.81</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大数据调研等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较年初预算数增加0.81万元，增长100.0%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方正仿宋_GBK" w:hAnsi="方正仿宋_GBK" w:eastAsia="方正仿宋_GBK" w:cs="方正仿宋_GBK"/>
          <w:color w:val="auto"/>
          <w:sz w:val="32"/>
          <w:szCs w:val="32"/>
          <w:shd w:val="clear" w:color="auto" w:fill="FFFFFF"/>
          <w:lang w:val="en-US" w:eastAsia="zh-CN"/>
        </w:rPr>
        <w:t>2024年新增单位，无上年预算对比数据</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较上年支出数增加0.81万元，增长100.0%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方正仿宋_GBK" w:hAnsi="方正仿宋_GBK" w:eastAsia="方正仿宋_GBK" w:cs="方正仿宋_GBK"/>
          <w:color w:val="auto"/>
          <w:sz w:val="32"/>
          <w:szCs w:val="32"/>
          <w:shd w:val="clear" w:color="auto" w:fill="FFFFFF"/>
          <w:lang w:val="en-US" w:eastAsia="zh-CN"/>
        </w:rPr>
        <w:t>2024年新增单位，无上年决算对比数据</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62</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130.73</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尚未发生</w:t>
      </w:r>
      <w:r>
        <w:rPr>
          <w:rFonts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培训费支出，</w:t>
      </w:r>
      <w:r>
        <w:rPr>
          <w:rFonts w:hint="default" w:ascii="Times New Roman" w:hAnsi="Times New Roman" w:eastAsia="方正仿宋_GBK"/>
          <w:color w:val="auto"/>
          <w:sz w:val="32"/>
          <w:szCs w:val="32"/>
          <w:shd w:val="clear" w:color="auto" w:fill="FFFFFF"/>
        </w:rPr>
        <w:t>与2023年度相比，无变化</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年新增单位，无上年决算对比数据</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0.02</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与2023年度相比，增加0.02万元，增长100.0%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本单位为</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年新增单位，无上年决算对比数据</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按照部门决算列报口径，我</w:t>
      </w:r>
      <w:r>
        <w:rPr>
          <w:rFonts w:hint="eastAsia" w:ascii="方正仿宋_GBK" w:hAnsi="方正仿宋_GBK" w:eastAsia="方正仿宋_GBK" w:cs="方正仿宋_GBK"/>
          <w:color w:val="auto"/>
          <w:sz w:val="32"/>
          <w:szCs w:val="32"/>
          <w:shd w:val="clear" w:color="auto" w:fill="FFFFFF"/>
          <w:lang w:val="en-US" w:eastAsia="zh-CN"/>
        </w:rPr>
        <w:t>单位</w:t>
      </w:r>
      <w:r>
        <w:rPr>
          <w:rFonts w:hint="default" w:ascii="方正仿宋_GBK" w:hAnsi="方正仿宋_GBK" w:eastAsia="方正仿宋_GBK" w:cs="方正仿宋_GBK"/>
          <w:color w:val="auto"/>
          <w:sz w:val="32"/>
          <w:szCs w:val="32"/>
          <w:shd w:val="clear" w:color="auto" w:fill="FFFFFF"/>
          <w:lang w:val="en-US" w:eastAsia="zh-CN"/>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因本单位属发改委下属事业单位，资产由本级统筹使用</w:t>
      </w:r>
      <w:r>
        <w:rPr>
          <w:rFonts w:hint="default"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故我单位不存在资产占有情况</w:t>
      </w:r>
      <w:r>
        <w:rPr>
          <w:rFonts w:hint="default"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b/>
          <w:bCs/>
          <w:color w:val="auto"/>
          <w:sz w:val="32"/>
          <w:szCs w:val="32"/>
          <w:highlight w:val="yellow"/>
          <w:shd w:val="clear" w:color="auto" w:fill="FFFFFF"/>
        </w:rPr>
      </w:pP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年度我单位未发生政府采购事项，无相关经费支出。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color w:val="auto"/>
          <w:sz w:val="32"/>
          <w:szCs w:val="32"/>
          <w:shd w:val="clear" w:color="auto" w:fill="FFFFFF"/>
          <w:lang w:val="en-US" w:eastAsia="zh-CN"/>
        </w:rPr>
      </w:pPr>
      <w:r>
        <w:rPr>
          <w:rStyle w:val="8"/>
          <w:rFonts w:hint="eastAsia" w:ascii="黑体" w:hAnsi="黑体" w:eastAsia="黑体" w:cs="黑体"/>
          <w:color w:val="auto"/>
          <w:sz w:val="32"/>
          <w:szCs w:val="32"/>
          <w:shd w:val="clear" w:color="auto" w:fill="FFFFFF"/>
          <w:lang w:val="en-US" w:eastAsia="zh-CN"/>
        </w:rPr>
        <w:t>五、预算绩效管理情况说明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本单位为发改委下属二级预算单位，预算绩效管理工作由发改委机关开展，我中心涉及项目支出资金</w:t>
      </w:r>
      <w:r>
        <w:rPr>
          <w:rFonts w:hint="eastAsia" w:ascii="Times New Roman" w:hAnsi="Times New Roman" w:eastAsia="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（二）单位绩效评价情况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我单位未组织开展绩效评价。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（三）财政绩效评价情况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市财政局未委托第三方对我单位开展绩效评价。</w:t>
      </w:r>
    </w:p>
    <w:p>
      <w:pPr>
        <w:pStyle w:val="5"/>
        <w:shd w:val="clear" w:color="auto" w:fill="FFFFFF"/>
        <w:spacing w:before="0" w:beforeAutospacing="0" w:after="0" w:afterAutospacing="0"/>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spacing w:before="0" w:beforeAutospacing="0" w:after="0" w:afterAutospacing="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xml:space="preserve">张帆  </w:t>
      </w:r>
      <w:r>
        <w:rPr>
          <w:rFonts w:hint="eastAsia" w:ascii="Times New Roman" w:hAnsi="Times New Roman" w:eastAsia="方正仿宋_GBK"/>
          <w:color w:val="auto"/>
          <w:sz w:val="32"/>
          <w:szCs w:val="32"/>
          <w:shd w:val="clear" w:color="auto" w:fill="FFFFFF"/>
          <w:lang w:val="en-US" w:eastAsia="zh-CN"/>
        </w:rPr>
        <w:t>023-</w:t>
      </w:r>
      <w:bookmarkStart w:id="0" w:name="_GoBack"/>
      <w:bookmarkEnd w:id="0"/>
      <w:r>
        <w:rPr>
          <w:rFonts w:hint="eastAsia" w:ascii="Times New Roman" w:hAnsi="Times New Roman" w:eastAsia="方正仿宋_GBK"/>
          <w:color w:val="auto"/>
          <w:sz w:val="32"/>
          <w:szCs w:val="32"/>
          <w:shd w:val="clear" w:color="auto" w:fill="FFFFFF"/>
          <w:lang w:val="en-US" w:eastAsia="zh-CN"/>
        </w:rPr>
        <w:t>73332293</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石柱土家族自治县大数据发展中心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142,671.20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86,382.00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50,990.63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3,130.45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2,168.12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142,671.20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142,671.20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142,671.20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142,671.20</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石柱土家族自治县大数据发展中心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142,671.20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142,671.20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86,382.00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86,382.00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86,382.00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86,382.00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86,382.00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86,382.00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50,990.63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50,990.63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50,990.63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50,990.63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33,614.80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33,614.80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17,375.83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17,375.83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3,130.45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3,130.45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3,130.45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3,130.45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1,630.45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1,630.45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2,168.12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2,168.12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2,168.12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2,168.12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石柱土家族自治县大数据发展中心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142,671.20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142,671.20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86,382.00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86,382.00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86,382.00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86,382.00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86,382.00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86,382.00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50,990.63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50,990.63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50,990.63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50,990.63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33,614.80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33,614.80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17,375.83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17,375.83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3,130.45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3,130.45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3,130.45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3,130.45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1,630.45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1,630.45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2,168.12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2,168.12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2,168.12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2,168.12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石柱土家族自治县大数据发展中心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142,671.20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86,382.00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86,382.00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50,990.63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50,990.63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3,130.45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3,130.45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2,168.12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2,168.12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142,671.20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142,671.20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142,671.20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142,671.20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142,671.20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142,671.20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石柱土家族自治县大数据发展中心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142,671.20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142,671.20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142,671.20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142,671.20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86,382.00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86,382.00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86,382.00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86,382.00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86,382.00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86,382.00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86,382.00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86,382.00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86,382.00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86,382.00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86,382.00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86,382.00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50,990.63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50,990.63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50,990.63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50,990.63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50,990.63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50,990.63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50,990.63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50,990.63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33,614.80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33,614.80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33,614.80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33,614.80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17,375.83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17,375.83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17,375.83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17,375.83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3,130.45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3,130.45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3,130.45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3,130.45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3,130.45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3,130.45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3,130.45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3,130.45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1,630.45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1,630.45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1,630.45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1,630.45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2,168.12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2,168.12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2,168.12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2,168.12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2,168.12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2,168.12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2,168.12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2,168.12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2,168.12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2,168.12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2,168.12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2,168.12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石柱土家族自治县大数据发展中心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108,000.84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34,670.36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15,565.00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20,243.00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2,146.00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33,680.00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2,527.00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33,614.80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3,386.86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17,375.83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244.00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1,806.58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144.51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164.50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2,168.12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8,105.00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108,000.84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34,670.36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石柱土家族自治县大数据发展中心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石柱土家族自治县大数据发展中心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石柱土家族自治县大数据发展中心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8,105.00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8,105.00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8,105.00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62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164.50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B5B59F"/>
    <w:multiLevelType w:val="singleLevel"/>
    <w:tmpl w:val="91B5B5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6A2DAE"/>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15F6CA3"/>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7010DA"/>
    <w:rsid w:val="5EFA176D"/>
    <w:rsid w:val="5F0247F9"/>
    <w:rsid w:val="5F2D4A41"/>
    <w:rsid w:val="601C34ED"/>
    <w:rsid w:val="60A958A9"/>
    <w:rsid w:val="60D22ADB"/>
    <w:rsid w:val="61025A59"/>
    <w:rsid w:val="613D5BBC"/>
    <w:rsid w:val="61536C39"/>
    <w:rsid w:val="61E7702A"/>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4</TotalTime>
  <ScaleCrop>false</ScaleCrop>
  <LinksUpToDate>false</LinksUpToDate>
  <CharactersWithSpaces>21460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2025-10-15T02:43:40Z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