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596" w:lineRule="exact"/>
        <w:jc w:val="center"/>
        <w:textAlignment w:val="auto"/>
        <w:rPr>
          <w:rFonts w:hint="eastAsia" w:ascii="方正小标宋_GBK" w:hAnsi="方正小标宋_GBK" w:eastAsia="方正小标宋_GBK" w:cs="方正小标宋_GBK"/>
          <w:color w:val="auto"/>
          <w:sz w:val="36"/>
          <w:szCs w:val="36"/>
          <w:shd w:val="clear" w:color="auto" w:fill="FFFFFF"/>
        </w:rPr>
      </w:pPr>
      <w:r>
        <w:rPr>
          <w:rFonts w:hint="eastAsia" w:ascii="方正小标宋_GBK" w:hAnsi="方正小标宋_GBK" w:eastAsia="方正小标宋_GBK" w:cs="方正小标宋_GBK"/>
          <w:color w:val="auto"/>
          <w:sz w:val="36"/>
          <w:szCs w:val="36"/>
        </w:rPr>
        <w:t>石柱土家族自治县服务业发展指导中心</w:t>
      </w:r>
      <w:r>
        <w:rPr>
          <w:rFonts w:hint="default" w:ascii="Times New Roman" w:hAnsi="Times New Roman" w:eastAsia="方正小标宋_GBK" w:cs="Times New Roman"/>
          <w:color w:val="auto"/>
          <w:sz w:val="36"/>
          <w:szCs w:val="36"/>
          <w:shd w:val="clear" w:color="auto" w:fill="FFFFFF"/>
        </w:rPr>
        <w:t>202</w:t>
      </w:r>
      <w:r>
        <w:rPr>
          <w:rFonts w:hint="default" w:ascii="Times New Roman" w:hAnsi="Times New Roman" w:eastAsia="方正小标宋_GBK" w:cs="Times New Roman"/>
          <w:color w:val="auto"/>
          <w:sz w:val="36"/>
          <w:szCs w:val="36"/>
          <w:shd w:val="clear" w:color="auto" w:fill="FFFFFF"/>
          <w:lang w:val="en-US" w:eastAsia="zh-CN"/>
        </w:rPr>
        <w:t>4</w:t>
      </w:r>
      <w:r>
        <w:rPr>
          <w:rFonts w:hint="eastAsia" w:ascii="方正小标宋_GBK" w:hAnsi="方正小标宋_GBK" w:eastAsia="方正小标宋_GBK" w:cs="方正小标宋_GBK"/>
          <w:color w:val="auto"/>
          <w:sz w:val="36"/>
          <w:szCs w:val="36"/>
          <w:shd w:val="clear" w:color="auto" w:fill="FFFFFF"/>
        </w:rPr>
        <w:t>年度决算说明</w:t>
      </w:r>
    </w:p>
    <w:p>
      <w:pPr>
        <w:pStyle w:val="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6" w:lineRule="exact"/>
        <w:ind w:firstLine="643" w:firstLineChars="200"/>
        <w:textAlignment w:val="auto"/>
        <w:rPr>
          <w:rStyle w:val="8"/>
          <w:rFonts w:hint="default" w:ascii="黑体" w:hAnsi="黑体" w:eastAsia="黑体" w:cs="黑体"/>
          <w:color w:val="auto"/>
          <w:sz w:val="32"/>
          <w:szCs w:val="32"/>
          <w:shd w:val="clear" w:color="auto" w:fill="FFFFFF"/>
        </w:rPr>
      </w:pPr>
      <w:r>
        <w:rPr>
          <w:rStyle w:val="8"/>
          <w:rFonts w:ascii="黑体" w:hAnsi="黑体" w:eastAsia="黑体" w:cs="黑体"/>
          <w:color w:val="auto"/>
          <w:sz w:val="32"/>
          <w:szCs w:val="32"/>
          <w:shd w:val="clear" w:color="auto" w:fill="FFFFFF"/>
        </w:rPr>
        <w:t>一、</w:t>
      </w:r>
      <w:r>
        <w:rPr>
          <w:rStyle w:val="8"/>
          <w:rFonts w:hint="eastAsia" w:ascii="黑体" w:hAnsi="黑体" w:eastAsia="黑体" w:cs="黑体"/>
          <w:color w:val="auto"/>
          <w:sz w:val="32"/>
          <w:szCs w:val="32"/>
          <w:shd w:val="clear" w:color="auto" w:fill="FFFFFF"/>
          <w:lang w:eastAsia="zh-CN"/>
        </w:rPr>
        <w:t>单位</w:t>
      </w:r>
      <w:r>
        <w:rPr>
          <w:rStyle w:val="8"/>
          <w:rFonts w:ascii="黑体" w:hAnsi="黑体" w:eastAsia="黑体" w:cs="黑体"/>
          <w:color w:val="auto"/>
          <w:sz w:val="32"/>
          <w:szCs w:val="32"/>
          <w:shd w:val="clear" w:color="auto" w:fill="FFFFFF"/>
        </w:rPr>
        <w:t>基本情况</w:t>
      </w:r>
    </w:p>
    <w:p>
      <w:pPr>
        <w:pStyle w:val="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6" w:lineRule="exact"/>
        <w:ind w:firstLine="643" w:firstLineChars="200"/>
        <w:textAlignment w:val="auto"/>
        <w:rPr>
          <w:rFonts w:hint="default" w:ascii="方正仿宋_GBK" w:hAnsi="方正仿宋_GBK" w:eastAsia="方正仿宋_GBK" w:cs="方正仿宋_GBK"/>
          <w:color w:val="auto"/>
          <w:sz w:val="32"/>
          <w:szCs w:val="32"/>
        </w:rPr>
      </w:pPr>
      <w:r>
        <w:rPr>
          <w:rStyle w:val="8"/>
          <w:rFonts w:ascii="楷体" w:hAnsi="楷体" w:eastAsia="楷体" w:cs="楷体"/>
          <w:color w:val="auto"/>
          <w:sz w:val="32"/>
          <w:szCs w:val="32"/>
          <w:shd w:val="clear" w:color="auto" w:fill="FFFFFF"/>
        </w:rPr>
        <w:t>（一）职能职责</w:t>
      </w:r>
    </w:p>
    <w:p>
      <w:pPr>
        <w:spacing w:line="600" w:lineRule="exact"/>
        <w:ind w:firstLine="660" w:firstLineChars="200"/>
        <w:rPr>
          <w:rFonts w:hint="eastAsia" w:eastAsia="方正仿宋_GBK"/>
          <w:snapToGrid w:val="0"/>
          <w:color w:val="auto"/>
          <w:kern w:val="0"/>
          <w:sz w:val="33"/>
          <w:szCs w:val="33"/>
          <w:lang w:val="en-US" w:eastAsia="zh-CN"/>
        </w:rPr>
      </w:pPr>
      <w:r>
        <w:rPr>
          <w:rFonts w:hint="eastAsia" w:eastAsia="方正仿宋_GBK"/>
          <w:snapToGrid w:val="0"/>
          <w:color w:val="auto"/>
          <w:kern w:val="0"/>
          <w:sz w:val="33"/>
          <w:szCs w:val="33"/>
          <w:lang w:val="en-US" w:eastAsia="zh-CN"/>
        </w:rPr>
        <w:t>1.贯彻实施国家和市上促进服务业发展有关方针政策和法律法规。</w:t>
      </w:r>
    </w:p>
    <w:p>
      <w:pPr>
        <w:spacing w:line="600" w:lineRule="exact"/>
        <w:ind w:firstLine="660" w:firstLineChars="200"/>
        <w:rPr>
          <w:rFonts w:hint="eastAsia" w:eastAsia="方正仿宋_GBK"/>
          <w:snapToGrid w:val="0"/>
          <w:color w:val="auto"/>
          <w:kern w:val="0"/>
          <w:sz w:val="33"/>
          <w:szCs w:val="33"/>
          <w:lang w:val="en-US" w:eastAsia="zh-CN"/>
        </w:rPr>
      </w:pPr>
      <w:r>
        <w:rPr>
          <w:rFonts w:hint="eastAsia" w:eastAsia="方正仿宋_GBK"/>
          <w:snapToGrid w:val="0"/>
          <w:color w:val="auto"/>
          <w:kern w:val="0"/>
          <w:sz w:val="33"/>
          <w:szCs w:val="33"/>
          <w:lang w:val="en-US" w:eastAsia="zh-CN"/>
        </w:rPr>
        <w:t>2.参与拟订并协调实施以“转型康养、绿色崛起”为主的</w:t>
      </w:r>
    </w:p>
    <w:p>
      <w:pPr>
        <w:spacing w:line="600" w:lineRule="exact"/>
        <w:rPr>
          <w:rFonts w:hint="eastAsia" w:eastAsia="方正仿宋_GBK"/>
          <w:snapToGrid w:val="0"/>
          <w:color w:val="auto"/>
          <w:kern w:val="0"/>
          <w:sz w:val="33"/>
          <w:szCs w:val="33"/>
          <w:lang w:val="en-US" w:eastAsia="zh-CN"/>
        </w:rPr>
      </w:pPr>
      <w:r>
        <w:rPr>
          <w:rFonts w:hint="eastAsia" w:eastAsia="方正仿宋_GBK"/>
          <w:snapToGrid w:val="0"/>
          <w:color w:val="auto"/>
          <w:kern w:val="0"/>
          <w:sz w:val="33"/>
          <w:szCs w:val="33"/>
          <w:lang w:val="en-US" w:eastAsia="zh-CN"/>
        </w:rPr>
        <w:t>服务业发展战略、规划和政策，参与制订服务业专项规划;参与拟订全县服务业年度工作计划并指导实施;指导协调与服务业有关政策的执行，做好部门协调工作。</w:t>
      </w:r>
    </w:p>
    <w:p>
      <w:pPr>
        <w:spacing w:line="600" w:lineRule="exact"/>
        <w:ind w:firstLine="660" w:firstLineChars="200"/>
        <w:rPr>
          <w:rFonts w:hint="eastAsia" w:eastAsia="方正仿宋_GBK"/>
          <w:snapToGrid w:val="0"/>
          <w:color w:val="auto"/>
          <w:kern w:val="0"/>
          <w:sz w:val="33"/>
          <w:szCs w:val="33"/>
          <w:lang w:val="en-US" w:eastAsia="zh-CN"/>
        </w:rPr>
      </w:pPr>
      <w:r>
        <w:rPr>
          <w:rFonts w:hint="eastAsia" w:eastAsia="方正仿宋_GBK"/>
          <w:snapToGrid w:val="0"/>
          <w:color w:val="auto"/>
          <w:kern w:val="0"/>
          <w:sz w:val="33"/>
          <w:szCs w:val="33"/>
          <w:lang w:val="en-US" w:eastAsia="zh-CN"/>
        </w:rPr>
        <w:t>3.综合分析服务业发展的重大问题，承担全县服务业运行态势的监测、分析和调研，提出对策和建议。</w:t>
      </w:r>
    </w:p>
    <w:p>
      <w:pPr>
        <w:spacing w:line="600" w:lineRule="exact"/>
        <w:ind w:firstLine="660" w:firstLineChars="200"/>
        <w:rPr>
          <w:rFonts w:hint="eastAsia" w:eastAsia="方正仿宋_GBK"/>
          <w:snapToGrid w:val="0"/>
          <w:color w:val="auto"/>
          <w:kern w:val="0"/>
          <w:sz w:val="33"/>
          <w:szCs w:val="33"/>
          <w:lang w:val="en-US" w:eastAsia="zh-CN"/>
        </w:rPr>
      </w:pPr>
      <w:r>
        <w:rPr>
          <w:rFonts w:hint="eastAsia" w:eastAsia="方正仿宋_GBK"/>
          <w:snapToGrid w:val="0"/>
          <w:color w:val="auto"/>
          <w:kern w:val="0"/>
          <w:sz w:val="33"/>
          <w:szCs w:val="33"/>
          <w:lang w:val="en-US" w:eastAsia="zh-CN"/>
        </w:rPr>
        <w:t>4.参与拟订并协调实施促进消费体制机制及扩大居民消费的相关政策措施。</w:t>
      </w:r>
    </w:p>
    <w:p>
      <w:pPr>
        <w:spacing w:line="600" w:lineRule="exact"/>
        <w:ind w:firstLine="660" w:firstLineChars="200"/>
        <w:rPr>
          <w:rFonts w:hint="eastAsia" w:eastAsia="方正仿宋_GBK"/>
          <w:snapToGrid w:val="0"/>
          <w:color w:val="auto"/>
          <w:kern w:val="0"/>
          <w:sz w:val="33"/>
          <w:szCs w:val="33"/>
          <w:lang w:val="en-US" w:eastAsia="zh-CN"/>
        </w:rPr>
      </w:pPr>
      <w:r>
        <w:rPr>
          <w:rFonts w:hint="eastAsia" w:eastAsia="方正仿宋_GBK"/>
          <w:snapToGrid w:val="0"/>
          <w:color w:val="auto"/>
          <w:kern w:val="0"/>
          <w:sz w:val="33"/>
          <w:szCs w:val="33"/>
          <w:lang w:val="en-US" w:eastAsia="zh-CN"/>
        </w:rPr>
        <w:t>5.协调流通体制改革有关重大问题。</w:t>
      </w:r>
    </w:p>
    <w:p>
      <w:pPr>
        <w:spacing w:line="600" w:lineRule="exact"/>
        <w:ind w:firstLine="660" w:firstLineChars="200"/>
        <w:rPr>
          <w:rFonts w:hint="eastAsia" w:eastAsia="方正仿宋_GBK"/>
          <w:snapToGrid w:val="0"/>
          <w:color w:val="auto"/>
          <w:kern w:val="0"/>
          <w:sz w:val="33"/>
          <w:szCs w:val="33"/>
          <w:lang w:val="en-US" w:eastAsia="zh-CN"/>
        </w:rPr>
      </w:pPr>
      <w:r>
        <w:rPr>
          <w:rFonts w:hint="eastAsia" w:eastAsia="方正仿宋_GBK"/>
          <w:snapToGrid w:val="0"/>
          <w:color w:val="auto"/>
          <w:kern w:val="0"/>
          <w:sz w:val="33"/>
          <w:szCs w:val="33"/>
          <w:lang w:val="en-US" w:eastAsia="zh-CN"/>
        </w:rPr>
        <w:t>6.指导协调服务业基层基础统计工作。</w:t>
      </w:r>
    </w:p>
    <w:p>
      <w:pPr>
        <w:spacing w:line="600" w:lineRule="exact"/>
        <w:ind w:firstLine="660" w:firstLineChars="200"/>
        <w:rPr>
          <w:rFonts w:hint="eastAsia" w:eastAsia="方正仿宋_GBK"/>
          <w:snapToGrid w:val="0"/>
          <w:color w:val="auto"/>
          <w:kern w:val="0"/>
          <w:sz w:val="33"/>
          <w:szCs w:val="33"/>
          <w:lang w:val="en-US" w:eastAsia="zh-CN"/>
        </w:rPr>
      </w:pPr>
      <w:r>
        <w:rPr>
          <w:rFonts w:hint="eastAsia" w:eastAsia="方正仿宋_GBK"/>
          <w:snapToGrid w:val="0"/>
          <w:color w:val="auto"/>
          <w:kern w:val="0"/>
          <w:sz w:val="33"/>
          <w:szCs w:val="33"/>
          <w:lang w:val="en-US" w:eastAsia="zh-CN"/>
        </w:rPr>
        <w:t>7.承担县发展和改革委员会领导交办的其他工作。</w:t>
      </w:r>
    </w:p>
    <w:p>
      <w:pPr>
        <w:pStyle w:val="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6" w:lineRule="exact"/>
        <w:ind w:firstLine="643" w:firstLineChars="200"/>
        <w:textAlignment w:val="auto"/>
        <w:rPr>
          <w:rFonts w:hint="default" w:ascii="楷体" w:hAnsi="楷体" w:eastAsia="楷体" w:cs="楷体"/>
          <w:color w:val="auto"/>
          <w:sz w:val="32"/>
          <w:szCs w:val="32"/>
        </w:rPr>
      </w:pPr>
      <w:r>
        <w:rPr>
          <w:rStyle w:val="8"/>
          <w:rFonts w:ascii="楷体" w:hAnsi="楷体" w:eastAsia="楷体" w:cs="楷体"/>
          <w:color w:val="auto"/>
          <w:sz w:val="32"/>
          <w:szCs w:val="32"/>
          <w:shd w:val="clear" w:color="auto" w:fill="FFFFFF"/>
        </w:rPr>
        <w:t>（二）机构设置</w:t>
      </w:r>
    </w:p>
    <w:p>
      <w:pPr>
        <w:pStyle w:val="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6" w:lineRule="exact"/>
        <w:ind w:firstLine="660" w:firstLineChars="200"/>
        <w:textAlignment w:val="auto"/>
        <w:rPr>
          <w:rFonts w:hint="eastAsia" w:eastAsia="方正仿宋_GBK"/>
          <w:snapToGrid w:val="0"/>
          <w:color w:val="auto"/>
          <w:kern w:val="0"/>
          <w:sz w:val="33"/>
          <w:szCs w:val="33"/>
          <w:lang w:eastAsia="zh-CN"/>
        </w:rPr>
      </w:pPr>
      <w:r>
        <w:rPr>
          <w:rFonts w:hint="eastAsia" w:eastAsia="方正仿宋_GBK"/>
          <w:snapToGrid w:val="0"/>
          <w:color w:val="auto"/>
          <w:kern w:val="0"/>
          <w:sz w:val="33"/>
          <w:szCs w:val="33"/>
        </w:rPr>
        <w:t>石柱土家族自治县服务业发展指导中心为县发展和改革委员会管理的副科级财政全额拨款公益一类事业单位</w:t>
      </w:r>
      <w:r>
        <w:rPr>
          <w:rFonts w:hint="eastAsia" w:eastAsia="方正仿宋_GBK"/>
          <w:snapToGrid w:val="0"/>
          <w:color w:val="auto"/>
          <w:kern w:val="0"/>
          <w:sz w:val="33"/>
          <w:szCs w:val="33"/>
          <w:lang w:eastAsia="zh-CN"/>
        </w:rPr>
        <w:t>。</w:t>
      </w:r>
    </w:p>
    <w:p>
      <w:pPr>
        <w:pStyle w:val="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6" w:lineRule="exact"/>
        <w:ind w:firstLine="660" w:firstLineChars="200"/>
        <w:textAlignment w:val="auto"/>
        <w:rPr>
          <w:rStyle w:val="8"/>
          <w:rFonts w:hint="default" w:ascii="黑体" w:hAnsi="黑体" w:eastAsia="黑体" w:cs="黑体"/>
          <w:color w:val="auto"/>
          <w:sz w:val="32"/>
          <w:szCs w:val="32"/>
          <w:shd w:val="clear" w:color="auto" w:fill="FFFFFF"/>
        </w:rPr>
      </w:pPr>
      <w:r>
        <w:rPr>
          <w:rFonts w:hint="eastAsia" w:eastAsia="方正仿宋_GBK"/>
          <w:snapToGrid w:val="0"/>
          <w:color w:val="auto"/>
          <w:kern w:val="0"/>
          <w:sz w:val="33"/>
          <w:szCs w:val="33"/>
          <w:lang w:val="en-US" w:eastAsia="zh-CN"/>
        </w:rPr>
        <w:t xml:space="preserve"> </w:t>
      </w:r>
      <w:r>
        <w:rPr>
          <w:rStyle w:val="8"/>
          <w:rFonts w:ascii="黑体" w:hAnsi="黑体" w:eastAsia="黑体" w:cs="黑体"/>
          <w:color w:val="auto"/>
          <w:sz w:val="32"/>
          <w:szCs w:val="32"/>
          <w:shd w:val="clear" w:color="auto" w:fill="FFFFFF"/>
        </w:rPr>
        <w:t>二、</w:t>
      </w:r>
      <w:r>
        <w:rPr>
          <w:rStyle w:val="8"/>
          <w:rFonts w:hint="eastAsia" w:ascii="黑体" w:hAnsi="黑体" w:eastAsia="黑体" w:cs="黑体"/>
          <w:color w:val="auto"/>
          <w:sz w:val="32"/>
          <w:szCs w:val="32"/>
          <w:shd w:val="clear" w:color="auto" w:fill="FFFFFF"/>
          <w:lang w:eastAsia="zh-CN"/>
        </w:rPr>
        <w:t>单位</w:t>
      </w:r>
      <w:r>
        <w:rPr>
          <w:rStyle w:val="8"/>
          <w:rFonts w:ascii="黑体" w:hAnsi="黑体" w:eastAsia="黑体" w:cs="黑体"/>
          <w:color w:val="auto"/>
          <w:sz w:val="32"/>
          <w:szCs w:val="32"/>
          <w:shd w:val="clear" w:color="auto" w:fill="FFFFFF"/>
        </w:rPr>
        <w:t>决算</w:t>
      </w:r>
      <w:r>
        <w:rPr>
          <w:rStyle w:val="8"/>
          <w:rFonts w:hint="eastAsia" w:ascii="黑体" w:hAnsi="黑体" w:eastAsia="黑体" w:cs="黑体"/>
          <w:color w:val="auto"/>
          <w:sz w:val="32"/>
          <w:szCs w:val="32"/>
          <w:shd w:val="clear" w:color="auto" w:fill="FFFFFF"/>
          <w:lang w:eastAsia="zh-CN"/>
        </w:rPr>
        <w:t>收支</w:t>
      </w:r>
      <w:r>
        <w:rPr>
          <w:rStyle w:val="8"/>
          <w:rFonts w:ascii="黑体" w:hAnsi="黑体" w:eastAsia="黑体" w:cs="黑体"/>
          <w:color w:val="auto"/>
          <w:sz w:val="32"/>
          <w:szCs w:val="32"/>
          <w:shd w:val="clear" w:color="auto" w:fill="FFFFFF"/>
        </w:rPr>
        <w:t>情况说明</w:t>
      </w:r>
    </w:p>
    <w:p>
      <w:pPr>
        <w:pStyle w:val="9"/>
        <w:keepNext w:val="0"/>
        <w:keepLines w:val="0"/>
        <w:pageBreakBefore w:val="0"/>
        <w:widowControl/>
        <w:kinsoku/>
        <w:wordWrap/>
        <w:overflowPunct/>
        <w:topLinePunct w:val="0"/>
        <w:autoSpaceDE w:val="0"/>
        <w:autoSpaceDN/>
        <w:bidi w:val="0"/>
        <w:adjustRightInd/>
        <w:snapToGrid/>
        <w:spacing w:line="596" w:lineRule="exact"/>
        <w:ind w:firstLine="643" w:firstLineChars="200"/>
        <w:textAlignment w:val="auto"/>
        <w:rPr>
          <w:rFonts w:ascii="楷体" w:hAnsi="楷体" w:eastAsia="楷体" w:cs="楷体"/>
          <w:b/>
          <w:bCs/>
          <w:color w:val="auto"/>
          <w:sz w:val="32"/>
          <w:szCs w:val="32"/>
          <w:shd w:val="clear" w:color="auto" w:fill="FFFFFF"/>
        </w:rPr>
      </w:pPr>
      <w:r>
        <w:rPr>
          <w:rFonts w:hint="eastAsia" w:ascii="楷体" w:hAnsi="楷体" w:eastAsia="楷体" w:cs="楷体"/>
          <w:b/>
          <w:bCs/>
          <w:color w:val="auto"/>
          <w:sz w:val="32"/>
          <w:szCs w:val="32"/>
          <w:shd w:val="clear" w:color="auto" w:fill="FFFFFF"/>
        </w:rPr>
        <w:t>（一）收入支出决算总体情况说明</w:t>
      </w:r>
    </w:p>
    <w:p>
      <w:pPr>
        <w:pStyle w:val="5"/>
        <w:shd w:val="clear" w:color="auto" w:fill="FFFFFF"/>
        <w:spacing w:before="0" w:beforeAutospacing="0" w:after="0" w:afterAutospacing="0" w:line="596" w:lineRule="exact"/>
        <w:ind w:firstLine="640" w:firstLineChars="200"/>
        <w:jc w:val="both"/>
        <w:rPr>
          <w:rFonts w:hint="default" w:ascii="方正仿宋_GBK" w:hAnsi="方正仿宋_GBK" w:eastAsia="方正仿宋_GBK" w:cs="方正仿宋_GBK"/>
          <w:color w:val="auto"/>
          <w:sz w:val="32"/>
          <w:szCs w:val="32"/>
          <w:shd w:val="clear" w:color="auto" w:fill="FFFFFF"/>
        </w:rPr>
      </w:pPr>
      <w:r>
        <w:rPr>
          <w:rFonts w:hint="default" w:ascii="Times New Roman" w:hAnsi="Times New Roman" w:eastAsia="方正仿宋_GBK"/>
          <w:color w:val="auto"/>
          <w:sz w:val="32"/>
          <w:szCs w:val="32"/>
          <w:shd w:val="clear" w:color="auto" w:fill="FFFFFF"/>
        </w:rPr>
        <w:t>2024</w:t>
      </w:r>
      <w:r>
        <w:rPr>
          <w:rFonts w:ascii="方正仿宋_GBK" w:hAnsi="方正仿宋_GBK" w:eastAsia="方正仿宋_GBK" w:cs="方正仿宋_GBK"/>
          <w:color w:val="auto"/>
          <w:sz w:val="32"/>
          <w:szCs w:val="32"/>
          <w:shd w:val="clear" w:color="auto" w:fill="FFFFFF"/>
        </w:rPr>
        <w:t>年度收</w:t>
      </w:r>
      <w:r>
        <w:rPr>
          <w:rFonts w:hint="eastAsia" w:ascii="方正仿宋_GBK" w:hAnsi="方正仿宋_GBK" w:eastAsia="方正仿宋_GBK" w:cs="方正仿宋_GBK"/>
          <w:color w:val="auto"/>
          <w:sz w:val="32"/>
          <w:szCs w:val="32"/>
          <w:shd w:val="clear" w:color="auto" w:fill="FFFFFF"/>
          <w:lang w:eastAsia="zh-CN"/>
        </w:rPr>
        <w:t>、支</w:t>
      </w:r>
      <w:r>
        <w:rPr>
          <w:rFonts w:ascii="方正仿宋_GBK" w:hAnsi="方正仿宋_GBK" w:eastAsia="方正仿宋_GBK" w:cs="方正仿宋_GBK"/>
          <w:color w:val="auto"/>
          <w:sz w:val="32"/>
          <w:szCs w:val="32"/>
          <w:shd w:val="clear" w:color="auto" w:fill="FFFFFF"/>
        </w:rPr>
        <w:t>总计</w:t>
      </w:r>
      <w:r>
        <w:rPr>
          <w:rFonts w:hint="eastAsia" w:ascii="方正仿宋_GBK" w:hAnsi="方正仿宋_GBK" w:eastAsia="方正仿宋_GBK" w:cs="方正仿宋_GBK"/>
          <w:color w:val="auto"/>
          <w:sz w:val="32"/>
          <w:szCs w:val="32"/>
          <w:shd w:val="clear" w:color="auto" w:fill="FFFFFF"/>
          <w:lang w:eastAsia="zh-CN"/>
        </w:rPr>
        <w:t>均为</w:t>
      </w:r>
      <w:r>
        <w:rPr>
          <w:rFonts w:hint="default" w:ascii="Times New Roman" w:hAnsi="Times New Roman" w:eastAsia="方正仿宋_GBK"/>
          <w:color w:val="auto"/>
          <w:sz w:val="32"/>
          <w:szCs w:val="32"/>
          <w:shd w:val="clear" w:color="auto" w:fill="FFFFFF"/>
        </w:rPr>
        <w:t>99.70</w:t>
      </w:r>
      <w:r>
        <w:rPr>
          <w:rFonts w:ascii="方正仿宋_GBK" w:hAnsi="方正仿宋_GBK" w:eastAsia="方正仿宋_GBK" w:cs="方正仿宋_GBK"/>
          <w:color w:val="auto"/>
          <w:sz w:val="32"/>
          <w:szCs w:val="32"/>
          <w:shd w:val="clear" w:color="auto" w:fill="FFFFFF"/>
        </w:rPr>
        <w:t>万元。</w:t>
      </w:r>
      <w:r>
        <w:rPr>
          <w:rFonts w:hint="default" w:ascii="Times New Roman" w:hAnsi="Times New Roman" w:eastAsia="方正仿宋_GBK"/>
          <w:color w:val="auto"/>
          <w:sz w:val="32"/>
          <w:szCs w:val="32"/>
          <w:shd w:val="clear" w:color="auto" w:fill="FFFFFF"/>
        </w:rPr>
        <w:t>收、支与2023年度相比，增加4.51万元，增长4.7%</w:t>
      </w:r>
      <w:r>
        <w:rPr>
          <w:rFonts w:ascii="方正仿宋_GBK" w:hAnsi="方正仿宋_GBK" w:eastAsia="方正仿宋_GBK" w:cs="方正仿宋_GBK"/>
          <w:color w:val="auto"/>
          <w:sz w:val="32"/>
          <w:szCs w:val="32"/>
          <w:shd w:val="clear" w:color="auto" w:fill="FFFFFF"/>
        </w:rPr>
        <w:t>，主要原因是</w:t>
      </w:r>
      <w:r>
        <w:rPr>
          <w:rFonts w:hint="eastAsia" w:ascii="Times New Roman" w:hAnsi="Times New Roman" w:eastAsia="方正仿宋_GBK"/>
          <w:color w:val="auto"/>
          <w:sz w:val="32"/>
          <w:szCs w:val="32"/>
          <w:shd w:val="clear" w:color="auto" w:fill="FFFFFF"/>
          <w:lang w:eastAsia="zh-CN"/>
        </w:rPr>
        <w:t>在职人员工资自然增资及社保政策变化基数调整导致收支增加。</w:t>
      </w:r>
    </w:p>
    <w:p>
      <w:pPr>
        <w:pStyle w:val="5"/>
        <w:shd w:val="clear" w:color="auto" w:fill="FFFFFF"/>
        <w:spacing w:before="0" w:beforeAutospacing="0" w:after="0" w:afterAutospacing="0" w:line="596" w:lineRule="exact"/>
        <w:ind w:firstLine="643" w:firstLineChars="200"/>
        <w:jc w:val="both"/>
        <w:rPr>
          <w:rFonts w:hint="default" w:ascii="方正仿宋_GBK" w:hAnsi="方正仿宋_GBK" w:eastAsia="方正仿宋_GBK" w:cs="方正仿宋_GBK"/>
          <w:color w:val="auto"/>
          <w:sz w:val="32"/>
          <w:szCs w:val="32"/>
          <w:shd w:val="clear" w:color="auto" w:fill="FFFFFF"/>
        </w:rPr>
      </w:pPr>
      <w:r>
        <w:rPr>
          <w:rStyle w:val="8"/>
          <w:rFonts w:hint="eastAsia" w:ascii="Times New Roman" w:hAnsi="Times New Roman" w:eastAsia="方正仿宋_GBK"/>
          <w:color w:val="auto"/>
          <w:sz w:val="32"/>
          <w:szCs w:val="32"/>
          <w:shd w:val="clear" w:color="auto" w:fill="FFFFFF"/>
          <w:lang w:val="en-US" w:eastAsia="zh-CN"/>
        </w:rPr>
        <w:t>1</w:t>
      </w:r>
      <w:r>
        <w:rPr>
          <w:rStyle w:val="8"/>
          <w:rFonts w:ascii="方正仿宋_GBK" w:hAnsi="方正仿宋_GBK" w:eastAsia="方正仿宋_GBK" w:cs="方正仿宋_GBK"/>
          <w:color w:val="auto"/>
          <w:sz w:val="32"/>
          <w:szCs w:val="32"/>
          <w:shd w:val="clear" w:color="auto" w:fill="FFFFFF"/>
        </w:rPr>
        <w:t>.收入情况。</w:t>
      </w:r>
      <w:r>
        <w:rPr>
          <w:rFonts w:hint="default" w:ascii="Times New Roman" w:hAnsi="Times New Roman" w:eastAsia="方正仿宋_GBK"/>
          <w:color w:val="auto"/>
          <w:sz w:val="32"/>
          <w:szCs w:val="32"/>
          <w:shd w:val="clear" w:color="auto" w:fill="FFFFFF"/>
        </w:rPr>
        <w:t>2024</w:t>
      </w:r>
      <w:r>
        <w:rPr>
          <w:rFonts w:ascii="方正仿宋_GBK" w:hAnsi="方正仿宋_GBK" w:eastAsia="方正仿宋_GBK" w:cs="方正仿宋_GBK"/>
          <w:color w:val="auto"/>
          <w:sz w:val="32"/>
          <w:szCs w:val="32"/>
          <w:shd w:val="clear" w:color="auto" w:fill="FFFFFF"/>
        </w:rPr>
        <w:t>年度收入合计</w:t>
      </w:r>
      <w:r>
        <w:rPr>
          <w:rFonts w:hint="default" w:ascii="Times New Roman" w:hAnsi="Times New Roman" w:eastAsia="方正仿宋_GBK"/>
          <w:color w:val="auto"/>
          <w:sz w:val="32"/>
          <w:szCs w:val="32"/>
          <w:shd w:val="clear" w:color="auto" w:fill="FFFFFF"/>
        </w:rPr>
        <w:t>99.70</w:t>
      </w:r>
      <w:r>
        <w:rPr>
          <w:rFonts w:ascii="方正仿宋_GBK" w:hAnsi="方正仿宋_GBK" w:eastAsia="方正仿宋_GBK" w:cs="方正仿宋_GBK"/>
          <w:color w:val="auto"/>
          <w:sz w:val="32"/>
          <w:szCs w:val="32"/>
          <w:shd w:val="clear" w:color="auto" w:fill="FFFFFF"/>
        </w:rPr>
        <w:t>万元，</w:t>
      </w:r>
      <w:r>
        <w:rPr>
          <w:rFonts w:hint="default" w:ascii="Times New Roman" w:hAnsi="Times New Roman" w:eastAsia="方正仿宋_GBK"/>
          <w:color w:val="auto"/>
          <w:sz w:val="32"/>
          <w:szCs w:val="32"/>
          <w:shd w:val="clear" w:color="auto" w:fill="FFFFFF"/>
        </w:rPr>
        <w:t>与2023年度相比，增加4.51万元，增长4.7%</w:t>
      </w:r>
      <w:r>
        <w:rPr>
          <w:rFonts w:ascii="方正仿宋_GBK" w:hAnsi="方正仿宋_GBK" w:eastAsia="方正仿宋_GBK" w:cs="方正仿宋_GBK"/>
          <w:color w:val="auto"/>
          <w:sz w:val="32"/>
          <w:szCs w:val="32"/>
          <w:shd w:val="clear" w:color="auto" w:fill="FFFFFF"/>
        </w:rPr>
        <w:t>，主要原因是</w:t>
      </w:r>
      <w:r>
        <w:rPr>
          <w:rFonts w:hint="eastAsia" w:ascii="方正仿宋_GBK" w:hAnsi="方正仿宋_GBK" w:eastAsia="方正仿宋_GBK" w:cs="方正仿宋_GBK"/>
          <w:color w:val="auto"/>
          <w:sz w:val="32"/>
          <w:szCs w:val="32"/>
          <w:shd w:val="clear" w:color="auto" w:fill="FFFFFF"/>
          <w:lang w:eastAsia="zh-CN"/>
        </w:rPr>
        <w:t>在职人员工资自然增资及社保政策变化基数调整导致收入增加。</w:t>
      </w:r>
      <w:r>
        <w:rPr>
          <w:rFonts w:ascii="方正仿宋_GBK" w:hAnsi="方正仿宋_GBK" w:eastAsia="方正仿宋_GBK" w:cs="方正仿宋_GBK"/>
          <w:color w:val="auto"/>
          <w:sz w:val="32"/>
          <w:szCs w:val="32"/>
          <w:shd w:val="clear" w:color="auto" w:fill="FFFFFF"/>
        </w:rPr>
        <w:t>其中：财政拨款收入</w:t>
      </w:r>
      <w:r>
        <w:rPr>
          <w:rFonts w:hint="default" w:ascii="Times New Roman" w:hAnsi="Times New Roman" w:eastAsia="方正仿宋_GBK"/>
          <w:color w:val="auto"/>
          <w:sz w:val="32"/>
          <w:szCs w:val="32"/>
          <w:shd w:val="clear" w:color="auto" w:fill="FFFFFF"/>
        </w:rPr>
        <w:t>99.70</w:t>
      </w:r>
      <w:r>
        <w:rPr>
          <w:rFonts w:ascii="方正仿宋_GBK" w:hAnsi="方正仿宋_GBK" w:eastAsia="方正仿宋_GBK" w:cs="方正仿宋_GBK"/>
          <w:color w:val="auto"/>
          <w:sz w:val="32"/>
          <w:szCs w:val="32"/>
          <w:shd w:val="clear" w:color="auto" w:fill="FFFFFF"/>
        </w:rPr>
        <w:t>万元，占</w:t>
      </w:r>
      <w:r>
        <w:rPr>
          <w:rFonts w:hint="default" w:ascii="Times New Roman" w:hAnsi="Times New Roman" w:eastAsia="方正仿宋_GBK"/>
          <w:color w:val="auto"/>
          <w:sz w:val="32"/>
          <w:szCs w:val="32"/>
          <w:shd w:val="clear" w:color="auto" w:fill="FFFFFF"/>
        </w:rPr>
        <w:t>100.0%</w:t>
      </w:r>
      <w:r>
        <w:rPr>
          <w:rFonts w:ascii="方正仿宋_GBK" w:hAnsi="方正仿宋_GBK" w:eastAsia="方正仿宋_GBK" w:cs="方正仿宋_GBK"/>
          <w:color w:val="auto"/>
          <w:sz w:val="32"/>
          <w:szCs w:val="32"/>
          <w:shd w:val="clear" w:color="auto" w:fill="FFFFFF"/>
        </w:rPr>
        <w:t>。此外，</w:t>
      </w:r>
      <w:r>
        <w:rPr>
          <w:rFonts w:hint="eastAsia" w:ascii="方正仿宋_GBK" w:hAnsi="方正仿宋_GBK" w:eastAsia="方正仿宋_GBK" w:cs="方正仿宋_GBK"/>
          <w:color w:val="auto"/>
          <w:sz w:val="32"/>
          <w:szCs w:val="32"/>
          <w:shd w:val="clear" w:color="auto" w:fill="FFFFFF"/>
        </w:rPr>
        <w:t>使用非财政拨款结余（含专用结余）</w:t>
      </w:r>
      <w:r>
        <w:rPr>
          <w:rFonts w:hint="default" w:ascii="Times New Roman" w:hAnsi="Times New Roman" w:eastAsia="方正仿宋_GBK"/>
          <w:color w:val="auto"/>
          <w:sz w:val="32"/>
          <w:szCs w:val="32"/>
          <w:shd w:val="clear" w:color="auto" w:fill="FFFFFF"/>
        </w:rPr>
        <w:t>0.00</w:t>
      </w:r>
      <w:r>
        <w:rPr>
          <w:rFonts w:ascii="方正仿宋_GBK" w:hAnsi="方正仿宋_GBK" w:eastAsia="方正仿宋_GBK" w:cs="方正仿宋_GBK"/>
          <w:color w:val="auto"/>
          <w:sz w:val="32"/>
          <w:szCs w:val="32"/>
          <w:shd w:val="clear" w:color="auto" w:fill="FFFFFF"/>
        </w:rPr>
        <w:t>万元，年初结转和结余</w:t>
      </w:r>
      <w:r>
        <w:rPr>
          <w:rFonts w:hint="default" w:ascii="Times New Roman" w:hAnsi="Times New Roman" w:eastAsia="方正仿宋_GBK"/>
          <w:color w:val="auto"/>
          <w:sz w:val="32"/>
          <w:szCs w:val="32"/>
          <w:shd w:val="clear" w:color="auto" w:fill="FFFFFF"/>
        </w:rPr>
        <w:t>0.00</w:t>
      </w:r>
      <w:r>
        <w:rPr>
          <w:rFonts w:ascii="方正仿宋_GBK" w:hAnsi="方正仿宋_GBK" w:eastAsia="方正仿宋_GBK" w:cs="方正仿宋_GBK"/>
          <w:color w:val="auto"/>
          <w:sz w:val="32"/>
          <w:szCs w:val="32"/>
          <w:shd w:val="clear" w:color="auto" w:fill="FFFFFF"/>
        </w:rPr>
        <w:t>万元。</w:t>
      </w:r>
    </w:p>
    <w:p>
      <w:pPr>
        <w:pStyle w:val="5"/>
        <w:snapToGrid w:val="0"/>
        <w:spacing w:before="0" w:beforeAutospacing="0" w:after="0" w:afterAutospacing="0" w:line="596" w:lineRule="exact"/>
        <w:ind w:firstLine="643" w:firstLineChars="200"/>
        <w:jc w:val="both"/>
        <w:rPr>
          <w:rFonts w:hint="default" w:ascii="方正仿宋_GBK" w:hAnsi="方正仿宋_GBK" w:eastAsia="方正仿宋_GBK" w:cs="方正仿宋_GBK"/>
          <w:color w:val="auto"/>
          <w:sz w:val="32"/>
          <w:szCs w:val="32"/>
          <w:shd w:val="clear" w:color="auto" w:fill="FFFFFF"/>
        </w:rPr>
      </w:pPr>
      <w:r>
        <w:rPr>
          <w:rStyle w:val="8"/>
          <w:rFonts w:hint="eastAsia" w:ascii="Times New Roman" w:hAnsi="Times New Roman" w:eastAsia="方正仿宋_GBK"/>
          <w:color w:val="auto"/>
          <w:sz w:val="32"/>
          <w:szCs w:val="32"/>
          <w:shd w:val="clear" w:color="auto" w:fill="FFFFFF"/>
          <w:lang w:val="en-US" w:eastAsia="zh-CN"/>
        </w:rPr>
        <w:t>2</w:t>
      </w:r>
      <w:r>
        <w:rPr>
          <w:rStyle w:val="8"/>
          <w:rFonts w:ascii="方正仿宋_GBK" w:hAnsi="方正仿宋_GBK" w:eastAsia="方正仿宋_GBK" w:cs="方正仿宋_GBK"/>
          <w:color w:val="auto"/>
          <w:sz w:val="32"/>
          <w:szCs w:val="32"/>
          <w:shd w:val="clear" w:color="auto" w:fill="FFFFFF"/>
        </w:rPr>
        <w:t>.支出情况。</w:t>
      </w:r>
      <w:r>
        <w:rPr>
          <w:rFonts w:hint="default" w:ascii="Times New Roman" w:hAnsi="Times New Roman" w:eastAsia="方正仿宋_GBK"/>
          <w:color w:val="auto"/>
          <w:sz w:val="32"/>
          <w:szCs w:val="32"/>
          <w:shd w:val="clear" w:color="auto" w:fill="FFFFFF"/>
        </w:rPr>
        <w:t>2024</w:t>
      </w:r>
      <w:r>
        <w:rPr>
          <w:rFonts w:ascii="方正仿宋_GBK" w:hAnsi="方正仿宋_GBK" w:eastAsia="方正仿宋_GBK" w:cs="方正仿宋_GBK"/>
          <w:color w:val="auto"/>
          <w:sz w:val="32"/>
          <w:szCs w:val="32"/>
          <w:shd w:val="clear" w:color="auto" w:fill="FFFFFF"/>
        </w:rPr>
        <w:t>年度支出合计</w:t>
      </w:r>
      <w:r>
        <w:rPr>
          <w:rFonts w:hint="default" w:ascii="Times New Roman" w:hAnsi="Times New Roman" w:eastAsia="方正仿宋_GBK"/>
          <w:color w:val="auto"/>
          <w:sz w:val="32"/>
          <w:szCs w:val="32"/>
          <w:shd w:val="clear" w:color="auto" w:fill="FFFFFF"/>
        </w:rPr>
        <w:t>99.70</w:t>
      </w:r>
      <w:r>
        <w:rPr>
          <w:rFonts w:ascii="方正仿宋_GBK" w:hAnsi="方正仿宋_GBK" w:eastAsia="方正仿宋_GBK" w:cs="方正仿宋_GBK"/>
          <w:color w:val="auto"/>
          <w:sz w:val="32"/>
          <w:szCs w:val="32"/>
          <w:shd w:val="clear" w:color="auto" w:fill="FFFFFF"/>
        </w:rPr>
        <w:t>万元，</w:t>
      </w:r>
      <w:r>
        <w:rPr>
          <w:rFonts w:hint="default" w:ascii="Times New Roman" w:hAnsi="Times New Roman" w:eastAsia="方正仿宋_GBK"/>
          <w:color w:val="auto"/>
          <w:sz w:val="32"/>
          <w:szCs w:val="32"/>
          <w:shd w:val="clear" w:color="auto" w:fill="FFFFFF"/>
        </w:rPr>
        <w:t>与2023年度相比，增加4.51万元，增长4.7%</w:t>
      </w:r>
      <w:r>
        <w:rPr>
          <w:rFonts w:ascii="方正仿宋_GBK" w:hAnsi="方正仿宋_GBK" w:eastAsia="方正仿宋_GBK" w:cs="方正仿宋_GBK"/>
          <w:color w:val="auto"/>
          <w:sz w:val="32"/>
          <w:szCs w:val="32"/>
          <w:shd w:val="clear" w:color="auto" w:fill="FFFFFF"/>
        </w:rPr>
        <w:t>，主要原因是</w:t>
      </w:r>
      <w:r>
        <w:rPr>
          <w:rFonts w:hint="eastAsia" w:ascii="方正仿宋_GBK" w:hAnsi="方正仿宋_GBK" w:eastAsia="方正仿宋_GBK" w:cs="方正仿宋_GBK"/>
          <w:color w:val="auto"/>
          <w:sz w:val="32"/>
          <w:szCs w:val="32"/>
          <w:shd w:val="clear" w:color="auto" w:fill="FFFFFF"/>
          <w:lang w:eastAsia="zh-CN"/>
        </w:rPr>
        <w:t>在职人员工资自然增资及社保政策变化基数调整导致支出增加。</w:t>
      </w:r>
      <w:r>
        <w:rPr>
          <w:rFonts w:ascii="方正仿宋_GBK" w:hAnsi="方正仿宋_GBK" w:eastAsia="方正仿宋_GBK" w:cs="方正仿宋_GBK"/>
          <w:color w:val="auto"/>
          <w:sz w:val="32"/>
          <w:szCs w:val="32"/>
          <w:shd w:val="clear" w:color="auto" w:fill="FFFFFF"/>
        </w:rPr>
        <w:t>其中：基本支出</w:t>
      </w:r>
      <w:r>
        <w:rPr>
          <w:rFonts w:hint="default" w:ascii="Times New Roman" w:hAnsi="Times New Roman" w:eastAsia="方正仿宋_GBK"/>
          <w:color w:val="auto"/>
          <w:sz w:val="32"/>
          <w:szCs w:val="32"/>
          <w:shd w:val="clear" w:color="auto" w:fill="FFFFFF"/>
        </w:rPr>
        <w:t>99.70</w:t>
      </w:r>
      <w:r>
        <w:rPr>
          <w:rFonts w:ascii="方正仿宋_GBK" w:hAnsi="方正仿宋_GBK" w:eastAsia="方正仿宋_GBK" w:cs="方正仿宋_GBK"/>
          <w:color w:val="auto"/>
          <w:sz w:val="32"/>
          <w:szCs w:val="32"/>
          <w:shd w:val="clear" w:color="auto" w:fill="FFFFFF"/>
        </w:rPr>
        <w:t>万元，占</w:t>
      </w:r>
      <w:r>
        <w:rPr>
          <w:rFonts w:hint="default" w:ascii="Times New Roman" w:hAnsi="Times New Roman" w:eastAsia="方正仿宋_GBK"/>
          <w:color w:val="auto"/>
          <w:sz w:val="32"/>
          <w:szCs w:val="32"/>
          <w:shd w:val="clear" w:color="auto" w:fill="FFFFFF"/>
        </w:rPr>
        <w:t>100.0%</w:t>
      </w:r>
      <w:r>
        <w:rPr>
          <w:rFonts w:ascii="方正仿宋_GBK" w:hAnsi="方正仿宋_GBK" w:eastAsia="方正仿宋_GBK" w:cs="方正仿宋_GBK"/>
          <w:color w:val="auto"/>
          <w:sz w:val="32"/>
          <w:szCs w:val="32"/>
          <w:shd w:val="clear" w:color="auto" w:fill="FFFFFF"/>
        </w:rPr>
        <w:t>。</w:t>
      </w:r>
    </w:p>
    <w:p>
      <w:pPr>
        <w:pStyle w:val="5"/>
        <w:snapToGrid w:val="0"/>
        <w:spacing w:before="0" w:beforeAutospacing="0" w:after="0" w:afterAutospacing="0" w:line="596" w:lineRule="exact"/>
        <w:ind w:firstLine="643" w:firstLineChars="200"/>
        <w:jc w:val="both"/>
        <w:rPr>
          <w:rFonts w:hint="default" w:ascii="方正仿宋_GBK" w:hAnsi="方正仿宋_GBK" w:eastAsia="方正仿宋_GBK" w:cs="方正仿宋_GBK"/>
          <w:color w:val="auto"/>
          <w:sz w:val="32"/>
          <w:szCs w:val="32"/>
        </w:rPr>
      </w:pPr>
      <w:r>
        <w:rPr>
          <w:rStyle w:val="8"/>
          <w:rFonts w:hint="eastAsia" w:ascii="Times New Roman" w:hAnsi="Times New Roman" w:eastAsia="方正仿宋_GBK"/>
          <w:color w:val="auto"/>
          <w:sz w:val="32"/>
          <w:szCs w:val="32"/>
          <w:shd w:val="clear" w:color="auto" w:fill="FFFFFF"/>
          <w:lang w:val="en-US" w:eastAsia="zh-CN"/>
        </w:rPr>
        <w:t>3</w:t>
      </w:r>
      <w:r>
        <w:rPr>
          <w:rStyle w:val="8"/>
          <w:rFonts w:ascii="方正仿宋_GBK" w:hAnsi="方正仿宋_GBK" w:eastAsia="方正仿宋_GBK" w:cs="方正仿宋_GBK"/>
          <w:color w:val="auto"/>
          <w:sz w:val="32"/>
          <w:szCs w:val="32"/>
          <w:shd w:val="clear" w:color="auto" w:fill="FFFFFF"/>
        </w:rPr>
        <w:t>.结转结余情况。</w:t>
      </w:r>
      <w:r>
        <w:rPr>
          <w:rFonts w:hint="default" w:ascii="Times New Roman" w:hAnsi="Times New Roman" w:eastAsia="方正仿宋_GBK"/>
          <w:color w:val="auto"/>
          <w:sz w:val="32"/>
          <w:szCs w:val="32"/>
          <w:shd w:val="clear" w:color="auto" w:fill="FFFFFF"/>
        </w:rPr>
        <w:t>2024</w:t>
      </w:r>
      <w:r>
        <w:rPr>
          <w:rFonts w:ascii="方正仿宋_GBK" w:hAnsi="方正仿宋_GBK" w:eastAsia="方正仿宋_GBK" w:cs="方正仿宋_GBK"/>
          <w:color w:val="auto"/>
          <w:sz w:val="32"/>
          <w:szCs w:val="32"/>
          <w:shd w:val="clear" w:color="auto" w:fill="FFFFFF"/>
        </w:rPr>
        <w:t>年度年末结转和结余</w:t>
      </w:r>
      <w:r>
        <w:rPr>
          <w:rFonts w:hint="default" w:ascii="Times New Roman" w:hAnsi="Times New Roman" w:eastAsia="方正仿宋_GBK"/>
          <w:color w:val="auto"/>
          <w:sz w:val="32"/>
          <w:szCs w:val="32"/>
          <w:shd w:val="clear" w:color="auto" w:fill="FFFFFF"/>
        </w:rPr>
        <w:t>0.00</w:t>
      </w:r>
      <w:r>
        <w:rPr>
          <w:rFonts w:ascii="方正仿宋_GBK" w:hAnsi="方正仿宋_GBK" w:eastAsia="方正仿宋_GBK" w:cs="方正仿宋_GBK"/>
          <w:color w:val="auto"/>
          <w:sz w:val="32"/>
          <w:szCs w:val="32"/>
          <w:shd w:val="clear" w:color="auto" w:fill="FFFFFF"/>
        </w:rPr>
        <w:t>万元，</w:t>
      </w:r>
      <w:r>
        <w:rPr>
          <w:rFonts w:hint="default" w:ascii="Times New Roman" w:hAnsi="Times New Roman" w:eastAsia="方正仿宋_GBK"/>
          <w:color w:val="auto"/>
          <w:sz w:val="32"/>
          <w:szCs w:val="32"/>
          <w:shd w:val="clear" w:color="auto" w:fill="FFFFFF"/>
        </w:rPr>
        <w:t>与2023年度相比，无增减</w:t>
      </w:r>
      <w:r>
        <w:rPr>
          <w:rFonts w:ascii="方正仿宋_GBK" w:hAnsi="方正仿宋_GBK" w:eastAsia="方正仿宋_GBK" w:cs="方正仿宋_GBK"/>
          <w:color w:val="auto"/>
          <w:sz w:val="32"/>
          <w:szCs w:val="32"/>
          <w:shd w:val="clear" w:color="auto" w:fill="FFFFFF"/>
        </w:rPr>
        <w:t>。</w:t>
      </w:r>
    </w:p>
    <w:p>
      <w:pPr>
        <w:pStyle w:val="9"/>
        <w:keepNext w:val="0"/>
        <w:keepLines w:val="0"/>
        <w:pageBreakBefore w:val="0"/>
        <w:widowControl/>
        <w:kinsoku/>
        <w:wordWrap/>
        <w:overflowPunct/>
        <w:topLinePunct w:val="0"/>
        <w:autoSpaceDE w:val="0"/>
        <w:autoSpaceDN/>
        <w:bidi w:val="0"/>
        <w:adjustRightInd/>
        <w:snapToGrid/>
        <w:spacing w:line="596" w:lineRule="exact"/>
        <w:ind w:firstLine="643" w:firstLineChars="200"/>
        <w:textAlignment w:val="auto"/>
        <w:rPr>
          <w:rFonts w:ascii="楷体" w:hAnsi="楷体" w:eastAsia="楷体" w:cs="楷体"/>
          <w:b/>
          <w:bCs/>
          <w:color w:val="auto"/>
          <w:sz w:val="32"/>
          <w:szCs w:val="32"/>
          <w:shd w:val="clear" w:color="auto" w:fill="FFFFFF"/>
        </w:rPr>
      </w:pPr>
      <w:r>
        <w:rPr>
          <w:rFonts w:hint="eastAsia" w:ascii="楷体" w:hAnsi="楷体" w:eastAsia="楷体" w:cs="楷体"/>
          <w:b/>
          <w:bCs/>
          <w:color w:val="auto"/>
          <w:sz w:val="32"/>
          <w:szCs w:val="32"/>
          <w:shd w:val="clear" w:color="auto" w:fill="FFFFFF"/>
        </w:rPr>
        <w:t>（二）财政拨款收入支出决算总体情况说明</w:t>
      </w:r>
    </w:p>
    <w:p>
      <w:pPr>
        <w:pStyle w:val="5"/>
        <w:snapToGrid w:val="0"/>
        <w:spacing w:before="0" w:beforeAutospacing="0" w:after="0" w:afterAutospacing="0" w:line="596" w:lineRule="exact"/>
        <w:ind w:firstLine="640" w:firstLineChars="200"/>
        <w:jc w:val="both"/>
        <w:rPr>
          <w:rFonts w:hint="default" w:ascii="方正仿宋_GBK" w:hAnsi="方正仿宋_GBK" w:eastAsia="方正仿宋_GBK" w:cs="方正仿宋_GBK"/>
          <w:color w:val="auto"/>
          <w:sz w:val="32"/>
          <w:szCs w:val="32"/>
        </w:rPr>
      </w:pPr>
      <w:r>
        <w:rPr>
          <w:rFonts w:hint="default" w:ascii="Times New Roman" w:hAnsi="Times New Roman" w:eastAsia="方正仿宋_GBK"/>
          <w:color w:val="auto"/>
          <w:sz w:val="32"/>
          <w:szCs w:val="32"/>
          <w:shd w:val="clear" w:color="auto" w:fill="FFFFFF"/>
        </w:rPr>
        <w:t>2024</w:t>
      </w:r>
      <w:r>
        <w:rPr>
          <w:rFonts w:ascii="方正仿宋_GBK" w:hAnsi="方正仿宋_GBK" w:eastAsia="方正仿宋_GBK" w:cs="方正仿宋_GBK"/>
          <w:color w:val="auto"/>
          <w:sz w:val="32"/>
          <w:szCs w:val="32"/>
          <w:shd w:val="clear" w:color="auto" w:fill="FFFFFF"/>
        </w:rPr>
        <w:t>年度财政拨款收、支总计均为</w:t>
      </w:r>
      <w:r>
        <w:rPr>
          <w:rFonts w:hint="default" w:ascii="Times New Roman" w:hAnsi="Times New Roman" w:eastAsia="方正仿宋_GBK"/>
          <w:color w:val="auto"/>
          <w:sz w:val="32"/>
          <w:szCs w:val="32"/>
          <w:shd w:val="clear" w:color="auto" w:fill="FFFFFF"/>
        </w:rPr>
        <w:t>99.70</w:t>
      </w:r>
      <w:r>
        <w:rPr>
          <w:rFonts w:ascii="方正仿宋_GBK" w:hAnsi="方正仿宋_GBK" w:eastAsia="方正仿宋_GBK" w:cs="方正仿宋_GBK"/>
          <w:color w:val="auto"/>
          <w:sz w:val="32"/>
          <w:szCs w:val="32"/>
          <w:shd w:val="clear" w:color="auto" w:fill="FFFFFF"/>
        </w:rPr>
        <w:t>万元。与</w:t>
      </w:r>
      <w:r>
        <w:rPr>
          <w:rFonts w:hint="default" w:ascii="Times New Roman" w:hAnsi="Times New Roman" w:eastAsia="方正仿宋_GBK"/>
          <w:color w:val="auto"/>
          <w:sz w:val="32"/>
          <w:szCs w:val="32"/>
          <w:shd w:val="clear" w:color="auto" w:fill="FFFFFF"/>
        </w:rPr>
        <w:t>2023</w:t>
      </w:r>
      <w:r>
        <w:rPr>
          <w:rFonts w:ascii="方正仿宋_GBK" w:hAnsi="方正仿宋_GBK" w:eastAsia="方正仿宋_GBK" w:cs="方正仿宋_GBK"/>
          <w:color w:val="auto"/>
          <w:sz w:val="32"/>
          <w:szCs w:val="32"/>
          <w:shd w:val="clear" w:color="auto" w:fill="FFFFFF"/>
        </w:rPr>
        <w:t>年</w:t>
      </w:r>
      <w:r>
        <w:rPr>
          <w:rFonts w:hint="eastAsia" w:ascii="方正仿宋_GBK" w:hAnsi="方正仿宋_GBK" w:eastAsia="方正仿宋_GBK" w:cs="方正仿宋_GBK"/>
          <w:color w:val="auto"/>
          <w:sz w:val="32"/>
          <w:szCs w:val="32"/>
          <w:shd w:val="clear" w:color="auto" w:fill="FFFFFF"/>
          <w:lang w:eastAsia="zh-CN"/>
        </w:rPr>
        <w:t>度</w:t>
      </w:r>
      <w:r>
        <w:rPr>
          <w:rFonts w:ascii="方正仿宋_GBK" w:hAnsi="方正仿宋_GBK" w:eastAsia="方正仿宋_GBK" w:cs="方正仿宋_GBK"/>
          <w:color w:val="auto"/>
          <w:sz w:val="32"/>
          <w:szCs w:val="32"/>
          <w:shd w:val="clear" w:color="auto" w:fill="FFFFFF"/>
        </w:rPr>
        <w:t>相比，</w:t>
      </w:r>
      <w:r>
        <w:rPr>
          <w:rFonts w:hint="default" w:ascii="Times New Roman" w:hAnsi="Times New Roman" w:eastAsia="方正仿宋_GBK"/>
          <w:color w:val="auto"/>
          <w:sz w:val="32"/>
          <w:szCs w:val="32"/>
          <w:shd w:val="clear" w:color="auto" w:fill="FFFFFF"/>
        </w:rPr>
        <w:t>财政拨款收、支总计各增加4.51万元，增长4.7%</w:t>
      </w:r>
      <w:r>
        <w:rPr>
          <w:rFonts w:ascii="方正仿宋_GBK" w:hAnsi="方正仿宋_GBK" w:eastAsia="方正仿宋_GBK" w:cs="方正仿宋_GBK"/>
          <w:color w:val="auto"/>
          <w:sz w:val="32"/>
          <w:szCs w:val="32"/>
          <w:shd w:val="clear" w:color="auto" w:fill="FFFFFF"/>
        </w:rPr>
        <w:t>。主要原因是</w:t>
      </w:r>
      <w:r>
        <w:rPr>
          <w:rFonts w:hint="eastAsia" w:ascii="方正仿宋_GBK" w:hAnsi="方正仿宋_GBK" w:eastAsia="方正仿宋_GBK" w:cs="方正仿宋_GBK"/>
          <w:color w:val="auto"/>
          <w:sz w:val="32"/>
          <w:szCs w:val="32"/>
          <w:shd w:val="clear" w:color="auto" w:fill="FFFFFF"/>
          <w:lang w:eastAsia="zh-CN"/>
        </w:rPr>
        <w:t>在职人员工资自然增资及社保政策变化基数调整导致收支增加。</w:t>
      </w:r>
    </w:p>
    <w:p>
      <w:pPr>
        <w:pStyle w:val="9"/>
        <w:keepNext w:val="0"/>
        <w:keepLines w:val="0"/>
        <w:pageBreakBefore w:val="0"/>
        <w:widowControl/>
        <w:kinsoku/>
        <w:wordWrap/>
        <w:overflowPunct/>
        <w:topLinePunct w:val="0"/>
        <w:autoSpaceDE w:val="0"/>
        <w:autoSpaceDN/>
        <w:bidi w:val="0"/>
        <w:adjustRightInd/>
        <w:snapToGrid/>
        <w:spacing w:line="596" w:lineRule="exact"/>
        <w:ind w:firstLine="643" w:firstLineChars="200"/>
        <w:textAlignment w:val="auto"/>
        <w:rPr>
          <w:rFonts w:ascii="楷体" w:hAnsi="楷体" w:eastAsia="楷体" w:cs="楷体"/>
          <w:b/>
          <w:bCs/>
          <w:color w:val="auto"/>
          <w:sz w:val="32"/>
          <w:szCs w:val="32"/>
          <w:shd w:val="clear" w:color="auto" w:fill="FFFFFF"/>
        </w:rPr>
      </w:pPr>
      <w:r>
        <w:rPr>
          <w:rFonts w:hint="eastAsia" w:ascii="楷体" w:hAnsi="楷体" w:eastAsia="楷体" w:cs="楷体"/>
          <w:b/>
          <w:bCs/>
          <w:color w:val="auto"/>
          <w:sz w:val="32"/>
          <w:szCs w:val="32"/>
          <w:shd w:val="clear" w:color="auto" w:fill="FFFFFF"/>
        </w:rPr>
        <w:t>（三）一般公共预算财政拨款收入支出决算情况说明</w:t>
      </w:r>
    </w:p>
    <w:p>
      <w:pPr>
        <w:pStyle w:val="5"/>
        <w:snapToGrid w:val="0"/>
        <w:spacing w:before="0" w:beforeAutospacing="0" w:after="0" w:afterAutospacing="0" w:line="596" w:lineRule="exact"/>
        <w:ind w:firstLine="643" w:firstLineChars="200"/>
        <w:jc w:val="both"/>
        <w:rPr>
          <w:rFonts w:hint="default" w:ascii="方正仿宋_GBK" w:hAnsi="方正仿宋_GBK" w:eastAsia="方正仿宋_GBK" w:cs="方正仿宋_GBK"/>
          <w:color w:val="auto"/>
          <w:sz w:val="32"/>
          <w:szCs w:val="32"/>
        </w:rPr>
      </w:pPr>
      <w:r>
        <w:rPr>
          <w:rStyle w:val="8"/>
          <w:rFonts w:hint="default" w:ascii="Times New Roman" w:hAnsi="Times New Roman" w:eastAsia="方正仿宋_GBK"/>
          <w:color w:val="auto"/>
          <w:sz w:val="32"/>
          <w:szCs w:val="32"/>
          <w:shd w:val="clear" w:color="auto" w:fill="FFFFFF"/>
        </w:rPr>
        <w:t>1</w:t>
      </w:r>
      <w:r>
        <w:rPr>
          <w:rStyle w:val="8"/>
          <w:rFonts w:ascii="方正仿宋_GBK" w:hAnsi="方正仿宋_GBK" w:eastAsia="方正仿宋_GBK" w:cs="方正仿宋_GBK"/>
          <w:color w:val="auto"/>
          <w:sz w:val="32"/>
          <w:szCs w:val="32"/>
          <w:shd w:val="clear" w:color="auto" w:fill="FFFFFF"/>
        </w:rPr>
        <w:t>.收入情况。</w:t>
      </w:r>
      <w:r>
        <w:rPr>
          <w:rFonts w:hint="default" w:ascii="Times New Roman" w:hAnsi="Times New Roman" w:eastAsia="方正仿宋_GBK"/>
          <w:color w:val="auto"/>
          <w:sz w:val="32"/>
          <w:szCs w:val="32"/>
          <w:shd w:val="clear" w:color="auto" w:fill="FFFFFF"/>
        </w:rPr>
        <w:t>2024</w:t>
      </w:r>
      <w:r>
        <w:rPr>
          <w:rFonts w:ascii="方正仿宋_GBK" w:hAnsi="方正仿宋_GBK" w:eastAsia="方正仿宋_GBK" w:cs="方正仿宋_GBK"/>
          <w:color w:val="auto"/>
          <w:sz w:val="32"/>
          <w:szCs w:val="32"/>
          <w:shd w:val="clear" w:color="auto" w:fill="FFFFFF"/>
        </w:rPr>
        <w:t>年度一般公共预算财政拨款收入</w:t>
      </w:r>
      <w:r>
        <w:rPr>
          <w:rFonts w:hint="default" w:ascii="Times New Roman" w:hAnsi="Times New Roman" w:eastAsia="方正仿宋_GBK"/>
          <w:color w:val="auto"/>
          <w:sz w:val="32"/>
          <w:szCs w:val="32"/>
          <w:shd w:val="clear" w:color="auto" w:fill="FFFFFF"/>
        </w:rPr>
        <w:t>99.70</w:t>
      </w:r>
      <w:r>
        <w:rPr>
          <w:rFonts w:ascii="方正仿宋_GBK" w:hAnsi="方正仿宋_GBK" w:eastAsia="方正仿宋_GBK" w:cs="方正仿宋_GBK"/>
          <w:color w:val="auto"/>
          <w:sz w:val="32"/>
          <w:szCs w:val="32"/>
          <w:shd w:val="clear" w:color="auto" w:fill="FFFFFF"/>
        </w:rPr>
        <w:t>万元，</w:t>
      </w:r>
      <w:r>
        <w:rPr>
          <w:rFonts w:hint="default" w:ascii="Times New Roman" w:hAnsi="Times New Roman" w:eastAsia="方正仿宋_GBK"/>
          <w:color w:val="auto"/>
          <w:sz w:val="32"/>
          <w:szCs w:val="32"/>
          <w:shd w:val="clear" w:color="auto" w:fill="FFFFFF"/>
        </w:rPr>
        <w:t>与2023年度相比，增加4.51万元，增长4.7%</w:t>
      </w:r>
      <w:r>
        <w:rPr>
          <w:rFonts w:ascii="方正仿宋_GBK" w:hAnsi="方正仿宋_GBK" w:eastAsia="方正仿宋_GBK" w:cs="方正仿宋_GBK"/>
          <w:color w:val="auto"/>
          <w:sz w:val="32"/>
          <w:szCs w:val="32"/>
          <w:shd w:val="clear" w:color="auto" w:fill="FFFFFF"/>
        </w:rPr>
        <w:t>。主要原因是</w:t>
      </w:r>
      <w:r>
        <w:rPr>
          <w:rFonts w:hint="eastAsia" w:ascii="方正仿宋_GBK" w:hAnsi="方正仿宋_GBK" w:eastAsia="方正仿宋_GBK" w:cs="方正仿宋_GBK"/>
          <w:color w:val="auto"/>
          <w:sz w:val="32"/>
          <w:szCs w:val="32"/>
          <w:shd w:val="clear" w:color="auto" w:fill="FFFFFF"/>
          <w:lang w:eastAsia="zh-CN"/>
        </w:rPr>
        <w:t>在职人员工资自然增资及社保政策变化基数调整导致收入增加。</w:t>
      </w:r>
      <w:r>
        <w:rPr>
          <w:rFonts w:hint="default" w:ascii="Times New Roman" w:hAnsi="Times New Roman" w:eastAsia="方正仿宋_GBK"/>
          <w:color w:val="auto"/>
          <w:sz w:val="32"/>
          <w:szCs w:val="32"/>
          <w:shd w:val="clear" w:color="auto" w:fill="FFFFFF"/>
        </w:rPr>
        <w:t>较年初预算数增加11.36万元，增长12.9%</w:t>
      </w:r>
      <w:r>
        <w:rPr>
          <w:rFonts w:ascii="方正仿宋_GBK" w:hAnsi="方正仿宋_GBK" w:eastAsia="方正仿宋_GBK" w:cs="方正仿宋_GBK"/>
          <w:color w:val="auto"/>
          <w:sz w:val="32"/>
          <w:szCs w:val="32"/>
          <w:shd w:val="clear" w:color="auto" w:fill="FFFFFF"/>
        </w:rPr>
        <w:t>。主要原因是</w:t>
      </w:r>
      <w:r>
        <w:rPr>
          <w:rFonts w:hint="eastAsia" w:ascii="方正仿宋_GBK" w:hAnsi="方正仿宋_GBK" w:eastAsia="方正仿宋_GBK" w:cs="方正仿宋_GBK"/>
          <w:color w:val="auto"/>
          <w:sz w:val="32"/>
          <w:szCs w:val="32"/>
          <w:shd w:val="clear" w:color="auto" w:fill="FFFFFF"/>
          <w:lang w:eastAsia="zh-CN"/>
        </w:rPr>
        <w:t>在职人员工资自然增资及社保政策变化基数调整导致预算增加。</w:t>
      </w:r>
      <w:r>
        <w:rPr>
          <w:rFonts w:ascii="方正仿宋_GBK" w:hAnsi="方正仿宋_GBK" w:eastAsia="方正仿宋_GBK" w:cs="方正仿宋_GBK"/>
          <w:color w:val="auto"/>
          <w:sz w:val="32"/>
          <w:szCs w:val="32"/>
          <w:shd w:val="clear" w:color="auto" w:fill="FFFFFF"/>
        </w:rPr>
        <w:t>此外，年初财政拨款结转和结余</w:t>
      </w:r>
      <w:r>
        <w:rPr>
          <w:rFonts w:hint="default" w:ascii="Times New Roman" w:hAnsi="Times New Roman" w:eastAsia="方正仿宋_GBK"/>
          <w:color w:val="auto"/>
          <w:sz w:val="32"/>
          <w:szCs w:val="32"/>
          <w:shd w:val="clear" w:color="auto" w:fill="FFFFFF"/>
        </w:rPr>
        <w:t>0.00</w:t>
      </w:r>
      <w:r>
        <w:rPr>
          <w:rFonts w:ascii="方正仿宋_GBK" w:hAnsi="方正仿宋_GBK" w:eastAsia="方正仿宋_GBK" w:cs="方正仿宋_GBK"/>
          <w:color w:val="auto"/>
          <w:sz w:val="32"/>
          <w:szCs w:val="32"/>
          <w:shd w:val="clear" w:color="auto" w:fill="FFFFFF"/>
        </w:rPr>
        <w:t>万元。</w:t>
      </w:r>
    </w:p>
    <w:p>
      <w:pPr>
        <w:pStyle w:val="5"/>
        <w:snapToGrid w:val="0"/>
        <w:spacing w:before="0" w:beforeAutospacing="0" w:after="0" w:afterAutospacing="0" w:line="596" w:lineRule="exact"/>
        <w:ind w:firstLine="643" w:firstLineChars="200"/>
        <w:jc w:val="both"/>
        <w:rPr>
          <w:rFonts w:ascii="方正仿宋_GBK" w:hAnsi="方正仿宋_GBK" w:eastAsia="方正仿宋_GBK" w:cs="方正仿宋_GBK"/>
          <w:color w:val="auto"/>
          <w:sz w:val="32"/>
          <w:szCs w:val="32"/>
          <w:shd w:val="clear" w:color="auto" w:fill="FFFFFF"/>
        </w:rPr>
      </w:pPr>
      <w:r>
        <w:rPr>
          <w:rStyle w:val="8"/>
          <w:rFonts w:hint="default" w:ascii="Times New Roman" w:hAnsi="Times New Roman" w:eastAsia="方正仿宋_GBK"/>
          <w:color w:val="auto"/>
          <w:sz w:val="32"/>
          <w:szCs w:val="32"/>
          <w:shd w:val="clear" w:color="auto" w:fill="FFFFFF"/>
        </w:rPr>
        <w:t>2</w:t>
      </w:r>
      <w:r>
        <w:rPr>
          <w:rStyle w:val="8"/>
          <w:rFonts w:ascii="方正仿宋_GBK" w:hAnsi="方正仿宋_GBK" w:eastAsia="方正仿宋_GBK" w:cs="方正仿宋_GBK"/>
          <w:color w:val="auto"/>
          <w:sz w:val="32"/>
          <w:szCs w:val="32"/>
          <w:shd w:val="clear" w:color="auto" w:fill="FFFFFF"/>
        </w:rPr>
        <w:t>.支出情况。</w:t>
      </w:r>
      <w:r>
        <w:rPr>
          <w:rFonts w:hint="default" w:ascii="Times New Roman" w:hAnsi="Times New Roman" w:eastAsia="方正仿宋_GBK"/>
          <w:color w:val="auto"/>
          <w:sz w:val="32"/>
          <w:szCs w:val="32"/>
          <w:shd w:val="clear" w:color="auto" w:fill="FFFFFF"/>
        </w:rPr>
        <w:t>2024</w:t>
      </w:r>
      <w:r>
        <w:rPr>
          <w:rFonts w:ascii="方正仿宋_GBK" w:hAnsi="方正仿宋_GBK" w:eastAsia="方正仿宋_GBK" w:cs="方正仿宋_GBK"/>
          <w:color w:val="auto"/>
          <w:sz w:val="32"/>
          <w:szCs w:val="32"/>
          <w:shd w:val="clear" w:color="auto" w:fill="FFFFFF"/>
        </w:rPr>
        <w:t>年度一般公共预算财政拨款支出</w:t>
      </w:r>
      <w:r>
        <w:rPr>
          <w:rFonts w:hint="default" w:ascii="Times New Roman" w:hAnsi="Times New Roman" w:eastAsia="方正仿宋_GBK"/>
          <w:color w:val="auto"/>
          <w:sz w:val="32"/>
          <w:szCs w:val="32"/>
          <w:shd w:val="clear" w:color="auto" w:fill="FFFFFF"/>
        </w:rPr>
        <w:t>99.70</w:t>
      </w:r>
      <w:r>
        <w:rPr>
          <w:rFonts w:ascii="方正仿宋_GBK" w:hAnsi="方正仿宋_GBK" w:eastAsia="方正仿宋_GBK" w:cs="方正仿宋_GBK"/>
          <w:color w:val="auto"/>
          <w:sz w:val="32"/>
          <w:szCs w:val="32"/>
          <w:shd w:val="clear" w:color="auto" w:fill="FFFFFF"/>
        </w:rPr>
        <w:t>万元，</w:t>
      </w:r>
      <w:r>
        <w:rPr>
          <w:rFonts w:hint="default" w:ascii="Times New Roman" w:hAnsi="Times New Roman" w:eastAsia="方正仿宋_GBK"/>
          <w:color w:val="auto"/>
          <w:sz w:val="32"/>
          <w:szCs w:val="32"/>
          <w:shd w:val="clear" w:color="auto" w:fill="FFFFFF"/>
        </w:rPr>
        <w:t>与2023年度相比，增加4.51万元，增长4.7%</w:t>
      </w:r>
      <w:r>
        <w:rPr>
          <w:rFonts w:ascii="方正仿宋_GBK" w:hAnsi="方正仿宋_GBK" w:eastAsia="方正仿宋_GBK" w:cs="方正仿宋_GBK"/>
          <w:color w:val="auto"/>
          <w:sz w:val="32"/>
          <w:szCs w:val="32"/>
          <w:shd w:val="clear" w:color="auto" w:fill="FFFFFF"/>
        </w:rPr>
        <w:t>。主要原因是</w:t>
      </w:r>
      <w:r>
        <w:rPr>
          <w:rFonts w:hint="eastAsia" w:ascii="方正仿宋_GBK" w:hAnsi="方正仿宋_GBK" w:eastAsia="方正仿宋_GBK" w:cs="方正仿宋_GBK"/>
          <w:color w:val="auto"/>
          <w:sz w:val="32"/>
          <w:szCs w:val="32"/>
          <w:shd w:val="clear" w:color="auto" w:fill="FFFFFF"/>
          <w:lang w:eastAsia="zh-CN"/>
        </w:rPr>
        <w:t>在职人员工资自然增资及社保政策变化基数调整导致支出增加。</w:t>
      </w:r>
      <w:r>
        <w:rPr>
          <w:rFonts w:hint="default" w:ascii="Times New Roman" w:hAnsi="Times New Roman" w:eastAsia="方正仿宋_GBK"/>
          <w:color w:val="auto"/>
          <w:sz w:val="32"/>
          <w:szCs w:val="32"/>
          <w:shd w:val="clear" w:color="auto" w:fill="FFFFFF"/>
        </w:rPr>
        <w:t>较年初预算数增加11.36万元，增长12.9%</w:t>
      </w:r>
      <w:r>
        <w:rPr>
          <w:rFonts w:ascii="方正仿宋_GBK" w:hAnsi="方正仿宋_GBK" w:eastAsia="方正仿宋_GBK" w:cs="方正仿宋_GBK"/>
          <w:color w:val="auto"/>
          <w:sz w:val="32"/>
          <w:szCs w:val="32"/>
          <w:shd w:val="clear" w:color="auto" w:fill="FFFFFF"/>
        </w:rPr>
        <w:t>。主要原因是</w:t>
      </w:r>
      <w:r>
        <w:rPr>
          <w:rFonts w:hint="eastAsia" w:ascii="方正仿宋_GBK" w:hAnsi="方正仿宋_GBK" w:eastAsia="方正仿宋_GBK" w:cs="方正仿宋_GBK"/>
          <w:color w:val="auto"/>
          <w:sz w:val="32"/>
          <w:szCs w:val="32"/>
          <w:shd w:val="clear" w:color="auto" w:fill="FFFFFF"/>
          <w:lang w:eastAsia="zh-CN"/>
        </w:rPr>
        <w:t>在职人员工资自然增资及社保政策变化基数调整导致年中预算追加。</w:t>
      </w:r>
    </w:p>
    <w:p>
      <w:pPr>
        <w:pStyle w:val="5"/>
        <w:keepNext w:val="0"/>
        <w:keepLines w:val="0"/>
        <w:pageBreakBefore w:val="0"/>
        <w:widowControl/>
        <w:kinsoku/>
        <w:wordWrap/>
        <w:overflowPunct/>
        <w:topLinePunct w:val="0"/>
        <w:autoSpaceDE/>
        <w:autoSpaceDN/>
        <w:bidi w:val="0"/>
        <w:adjustRightInd/>
        <w:snapToGrid w:val="0"/>
        <w:spacing w:before="0" w:beforeAutospacing="0" w:after="0" w:afterAutospacing="0" w:line="596" w:lineRule="exact"/>
        <w:ind w:firstLine="640" w:firstLineChars="200"/>
        <w:jc w:val="both"/>
        <w:textAlignment w:val="auto"/>
        <w:rPr>
          <w:rFonts w:ascii="方正仿宋_GBK" w:hAnsi="方正仿宋_GBK" w:eastAsia="方正仿宋_GBK" w:cs="方正仿宋_GBK"/>
          <w:color w:val="auto"/>
          <w:sz w:val="32"/>
          <w:szCs w:val="32"/>
          <w:highlight w:val="none"/>
          <w:shd w:val="clear" w:color="auto" w:fill="FFFFFF"/>
        </w:rPr>
      </w:pPr>
      <w:r>
        <w:rPr>
          <w:rFonts w:ascii="方正仿宋_GBK" w:hAnsi="方正仿宋_GBK" w:eastAsia="方正仿宋_GBK" w:cs="方正仿宋_GBK"/>
          <w:color w:val="auto"/>
          <w:sz w:val="32"/>
          <w:szCs w:val="32"/>
          <w:highlight w:val="none"/>
          <w:shd w:val="clear" w:color="auto" w:fill="FFFFFF"/>
        </w:rPr>
        <w:t>一般公共预算财政拨款支出主要</w:t>
      </w:r>
      <w:r>
        <w:rPr>
          <w:rFonts w:hint="eastAsia" w:ascii="方正仿宋_GBK" w:hAnsi="方正仿宋_GBK" w:eastAsia="方正仿宋_GBK" w:cs="方正仿宋_GBK"/>
          <w:color w:val="auto"/>
          <w:sz w:val="32"/>
          <w:szCs w:val="32"/>
          <w:highlight w:val="none"/>
          <w:shd w:val="clear" w:color="auto" w:fill="FFFFFF"/>
          <w:lang w:eastAsia="zh-CN"/>
        </w:rPr>
        <w:t>用途如下</w:t>
      </w:r>
      <w:r>
        <w:rPr>
          <w:rFonts w:ascii="方正仿宋_GBK" w:hAnsi="方正仿宋_GBK" w:eastAsia="方正仿宋_GBK" w:cs="方正仿宋_GBK"/>
          <w:color w:val="auto"/>
          <w:sz w:val="32"/>
          <w:szCs w:val="32"/>
          <w:highlight w:val="none"/>
          <w:shd w:val="clear" w:color="auto" w:fill="FFFFFF"/>
        </w:rPr>
        <w:t>：</w:t>
      </w:r>
    </w:p>
    <w:p>
      <w:pPr>
        <w:pStyle w:val="5"/>
        <w:numPr>
          <w:ilvl w:val="0"/>
          <w:numId w:val="0"/>
        </w:numPr>
        <w:snapToGrid w:val="0"/>
        <w:spacing w:before="0" w:beforeAutospacing="0" w:after="0" w:afterAutospacing="0" w:line="596" w:lineRule="exact"/>
        <w:ind w:firstLine="640" w:firstLineChars="200"/>
        <w:jc w:val="both"/>
        <w:rPr>
          <w:rFonts w:hint="eastAsia" w:ascii="方正仿宋_GBK" w:hAnsi="方正仿宋_GBK" w:eastAsia="方正仿宋_GBK" w:cs="方正仿宋_GBK"/>
          <w:color w:val="auto"/>
          <w:sz w:val="32"/>
          <w:szCs w:val="32"/>
          <w:shd w:val="clear" w:color="auto" w:fill="FFFFFF"/>
          <w:lang w:eastAsia="zh-CN"/>
        </w:rPr>
      </w:pPr>
      <w:r>
        <w:rPr>
          <w:rFonts w:ascii="方正仿宋_GBK" w:hAnsi="方正仿宋_GBK" w:eastAsia="方正仿宋_GBK" w:cs="方正仿宋_GBK"/>
          <w:color w:val="auto"/>
          <w:sz w:val="32"/>
          <w:szCs w:val="32"/>
          <w:shd w:val="clear" w:color="auto" w:fill="FFFFFF"/>
        </w:rPr>
        <w:t>（</w:t>
      </w:r>
      <w:r>
        <w:rPr>
          <w:rFonts w:hint="default" w:ascii="Times New Roman" w:hAnsi="Times New Roman" w:eastAsia="方正仿宋_GBK"/>
          <w:color w:val="auto"/>
          <w:sz w:val="32"/>
          <w:szCs w:val="32"/>
          <w:shd w:val="clear" w:color="auto" w:fill="FFFFFF"/>
        </w:rPr>
        <w:t>1</w:t>
      </w:r>
      <w:r>
        <w:rPr>
          <w:rFonts w:ascii="方正仿宋_GBK" w:hAnsi="方正仿宋_GBK" w:eastAsia="方正仿宋_GBK" w:cs="方正仿宋_GBK"/>
          <w:color w:val="auto"/>
          <w:sz w:val="32"/>
          <w:szCs w:val="32"/>
          <w:shd w:val="clear" w:color="auto" w:fill="FFFFFF"/>
        </w:rPr>
        <w:t>）一般公共服务支出</w:t>
      </w:r>
      <w:r>
        <w:rPr>
          <w:rFonts w:hint="default" w:ascii="Times New Roman" w:hAnsi="Times New Roman" w:eastAsia="方正仿宋_GBK"/>
          <w:color w:val="auto"/>
          <w:sz w:val="32"/>
          <w:szCs w:val="32"/>
          <w:shd w:val="clear" w:color="auto" w:fill="FFFFFF"/>
        </w:rPr>
        <w:t>78.17</w:t>
      </w:r>
      <w:r>
        <w:rPr>
          <w:rFonts w:ascii="方正仿宋_GBK" w:hAnsi="方正仿宋_GBK" w:eastAsia="方正仿宋_GBK" w:cs="方正仿宋_GBK"/>
          <w:color w:val="auto"/>
          <w:sz w:val="32"/>
          <w:szCs w:val="32"/>
          <w:shd w:val="clear" w:color="auto" w:fill="FFFFFF"/>
        </w:rPr>
        <w:t>万元，占</w:t>
      </w:r>
      <w:r>
        <w:rPr>
          <w:rFonts w:hint="default" w:ascii="Times New Roman" w:hAnsi="Times New Roman" w:eastAsia="方正仿宋_GBK"/>
          <w:color w:val="auto"/>
          <w:sz w:val="32"/>
          <w:szCs w:val="32"/>
          <w:shd w:val="clear" w:color="auto" w:fill="FFFFFF"/>
        </w:rPr>
        <w:t>78.4%</w:t>
      </w:r>
      <w:r>
        <w:rPr>
          <w:rFonts w:ascii="方正仿宋_GBK" w:hAnsi="方正仿宋_GBK" w:eastAsia="方正仿宋_GBK" w:cs="方正仿宋_GBK"/>
          <w:color w:val="auto"/>
          <w:sz w:val="32"/>
          <w:szCs w:val="32"/>
          <w:shd w:val="clear" w:color="auto" w:fill="FFFFFF"/>
        </w:rPr>
        <w:t>，</w:t>
      </w:r>
      <w:r>
        <w:rPr>
          <w:rFonts w:hint="default" w:ascii="Times New Roman" w:hAnsi="Times New Roman" w:eastAsia="方正仿宋_GBK"/>
          <w:color w:val="auto"/>
          <w:sz w:val="32"/>
          <w:szCs w:val="32"/>
          <w:shd w:val="clear" w:color="auto" w:fill="FFFFFF"/>
        </w:rPr>
        <w:t>较年初预算数增加7.48万元，增长10.6%</w:t>
      </w:r>
      <w:r>
        <w:rPr>
          <w:rFonts w:ascii="方正仿宋_GBK" w:hAnsi="方正仿宋_GBK" w:eastAsia="方正仿宋_GBK" w:cs="方正仿宋_GBK"/>
          <w:color w:val="auto"/>
          <w:sz w:val="32"/>
          <w:szCs w:val="32"/>
          <w:shd w:val="clear" w:color="auto" w:fill="FFFFFF"/>
        </w:rPr>
        <w:t>，主要原因是</w:t>
      </w:r>
      <w:r>
        <w:rPr>
          <w:rFonts w:hint="eastAsia" w:ascii="方正仿宋_GBK" w:hAnsi="方正仿宋_GBK" w:eastAsia="方正仿宋_GBK" w:cs="方正仿宋_GBK"/>
          <w:color w:val="auto"/>
          <w:sz w:val="32"/>
          <w:szCs w:val="32"/>
          <w:shd w:val="clear" w:color="auto" w:fill="FFFFFF"/>
          <w:lang w:eastAsia="zh-CN"/>
        </w:rPr>
        <w:t>在职人员工资自然增资导致增加。</w:t>
      </w:r>
    </w:p>
    <w:p>
      <w:pPr>
        <w:pStyle w:val="5"/>
        <w:numPr>
          <w:ilvl w:val="0"/>
          <w:numId w:val="1"/>
        </w:numPr>
        <w:snapToGrid w:val="0"/>
        <w:spacing w:before="0" w:beforeAutospacing="0" w:after="0" w:afterAutospacing="0" w:line="596" w:lineRule="exact"/>
        <w:ind w:left="0" w:leftChars="0" w:firstLine="640" w:firstLineChars="200"/>
        <w:jc w:val="both"/>
        <w:rPr>
          <w:rFonts w:hint="default" w:ascii="方正仿宋_GBK" w:hAnsi="方正仿宋_GBK" w:eastAsia="方正仿宋_GBK" w:cs="方正仿宋_GBK"/>
          <w:color w:val="auto"/>
          <w:sz w:val="32"/>
          <w:szCs w:val="32"/>
        </w:rPr>
      </w:pPr>
      <w:r>
        <w:rPr>
          <w:rFonts w:ascii="方正仿宋_GBK" w:hAnsi="方正仿宋_GBK" w:eastAsia="方正仿宋_GBK" w:cs="方正仿宋_GBK"/>
          <w:color w:val="auto"/>
          <w:sz w:val="32"/>
          <w:szCs w:val="32"/>
          <w:shd w:val="clear" w:color="auto" w:fill="FFFFFF"/>
        </w:rPr>
        <w:t>（</w:t>
      </w:r>
      <w:r>
        <w:rPr>
          <w:rFonts w:hint="eastAsia" w:ascii="Times New Roman" w:hAnsi="Times New Roman" w:eastAsia="方正仿宋_GBK"/>
          <w:color w:val="auto"/>
          <w:sz w:val="32"/>
          <w:szCs w:val="32"/>
          <w:shd w:val="clear" w:color="auto" w:fill="FFFFFF"/>
          <w:lang w:val="en-US" w:eastAsia="zh-CN"/>
        </w:rPr>
        <w:t>2</w:t>
      </w:r>
      <w:r>
        <w:rPr>
          <w:rFonts w:ascii="方正仿宋_GBK" w:hAnsi="方正仿宋_GBK" w:eastAsia="方正仿宋_GBK" w:cs="方正仿宋_GBK"/>
          <w:color w:val="auto"/>
          <w:sz w:val="32"/>
          <w:szCs w:val="32"/>
          <w:shd w:val="clear" w:color="auto" w:fill="FFFFFF"/>
        </w:rPr>
        <w:t>）社会保障</w:t>
      </w:r>
      <w:r>
        <w:rPr>
          <w:rFonts w:hint="eastAsia" w:ascii="方正仿宋_GBK" w:hAnsi="方正仿宋_GBK" w:eastAsia="方正仿宋_GBK" w:cs="方正仿宋_GBK"/>
          <w:color w:val="auto"/>
          <w:sz w:val="32"/>
          <w:szCs w:val="32"/>
          <w:shd w:val="clear" w:color="auto" w:fill="FFFFFF"/>
          <w:lang w:eastAsia="zh-CN"/>
        </w:rPr>
        <w:t>和</w:t>
      </w:r>
      <w:r>
        <w:rPr>
          <w:rFonts w:ascii="方正仿宋_GBK" w:hAnsi="方正仿宋_GBK" w:eastAsia="方正仿宋_GBK" w:cs="方正仿宋_GBK"/>
          <w:color w:val="auto"/>
          <w:sz w:val="32"/>
          <w:szCs w:val="32"/>
          <w:shd w:val="clear" w:color="auto" w:fill="FFFFFF"/>
        </w:rPr>
        <w:t>就业支出</w:t>
      </w:r>
      <w:r>
        <w:rPr>
          <w:rFonts w:hint="default" w:ascii="Times New Roman" w:hAnsi="Times New Roman" w:eastAsia="方正仿宋_GBK"/>
          <w:color w:val="auto"/>
          <w:sz w:val="32"/>
          <w:szCs w:val="32"/>
          <w:shd w:val="clear" w:color="auto" w:fill="FFFFFF"/>
        </w:rPr>
        <w:t>12.64</w:t>
      </w:r>
      <w:r>
        <w:rPr>
          <w:rFonts w:ascii="方正仿宋_GBK" w:hAnsi="方正仿宋_GBK" w:eastAsia="方正仿宋_GBK" w:cs="方正仿宋_GBK"/>
          <w:color w:val="auto"/>
          <w:sz w:val="32"/>
          <w:szCs w:val="32"/>
          <w:shd w:val="clear" w:color="auto" w:fill="FFFFFF"/>
        </w:rPr>
        <w:t>万元，占</w:t>
      </w:r>
      <w:r>
        <w:rPr>
          <w:rFonts w:hint="default" w:ascii="Times New Roman" w:hAnsi="Times New Roman" w:eastAsia="方正仿宋_GBK"/>
          <w:color w:val="auto"/>
          <w:sz w:val="32"/>
          <w:szCs w:val="32"/>
          <w:shd w:val="clear" w:color="auto" w:fill="FFFFFF"/>
        </w:rPr>
        <w:t>12.7%</w:t>
      </w:r>
      <w:r>
        <w:rPr>
          <w:rFonts w:ascii="方正仿宋_GBK" w:hAnsi="方正仿宋_GBK" w:eastAsia="方正仿宋_GBK" w:cs="方正仿宋_GBK"/>
          <w:color w:val="auto"/>
          <w:sz w:val="32"/>
          <w:szCs w:val="32"/>
          <w:shd w:val="clear" w:color="auto" w:fill="FFFFFF"/>
        </w:rPr>
        <w:t>，</w:t>
      </w:r>
      <w:r>
        <w:rPr>
          <w:rFonts w:hint="default" w:ascii="Times New Roman" w:hAnsi="Times New Roman" w:eastAsia="方正仿宋_GBK"/>
          <w:color w:val="auto"/>
          <w:sz w:val="32"/>
          <w:szCs w:val="32"/>
          <w:shd w:val="clear" w:color="auto" w:fill="FFFFFF"/>
        </w:rPr>
        <w:t>较年初预算数增加3.88万元，增长44.3%</w:t>
      </w:r>
      <w:r>
        <w:rPr>
          <w:rFonts w:ascii="方正仿宋_GBK" w:hAnsi="方正仿宋_GBK" w:eastAsia="方正仿宋_GBK" w:cs="方正仿宋_GBK"/>
          <w:color w:val="auto"/>
          <w:sz w:val="32"/>
          <w:szCs w:val="32"/>
          <w:shd w:val="clear" w:color="auto" w:fill="FFFFFF"/>
        </w:rPr>
        <w:t>，主要原因是</w:t>
      </w:r>
      <w:r>
        <w:rPr>
          <w:rFonts w:hint="eastAsia" w:ascii="方正仿宋_GBK" w:hAnsi="方正仿宋_GBK" w:eastAsia="方正仿宋_GBK" w:cs="方正仿宋_GBK"/>
          <w:color w:val="auto"/>
          <w:sz w:val="32"/>
          <w:szCs w:val="32"/>
          <w:shd w:val="clear" w:color="auto" w:fill="FFFFFF"/>
          <w:lang w:eastAsia="zh-CN"/>
        </w:rPr>
        <w:t>事业单位人员社会保险基数调整增加导致增加</w:t>
      </w:r>
      <w:r>
        <w:rPr>
          <w:rFonts w:hint="eastAsia" w:ascii="方正仿宋_GBK" w:hAnsi="方正仿宋_GBK" w:eastAsia="方正仿宋_GBK" w:cs="方正仿宋_GBK"/>
          <w:color w:val="auto"/>
          <w:sz w:val="32"/>
          <w:szCs w:val="32"/>
          <w:shd w:val="clear" w:color="auto" w:fill="FFFFFF"/>
          <w:lang w:val="en-US" w:eastAsia="zh-CN"/>
        </w:rPr>
        <w:t>。</w:t>
      </w:r>
    </w:p>
    <w:p>
      <w:pPr>
        <w:pStyle w:val="5"/>
        <w:snapToGrid w:val="0"/>
        <w:spacing w:before="0" w:beforeAutospacing="0" w:after="0" w:afterAutospacing="0" w:line="596" w:lineRule="exact"/>
        <w:ind w:firstLine="640" w:firstLineChars="200"/>
        <w:jc w:val="both"/>
        <w:rPr>
          <w:rFonts w:hint="default" w:ascii="方正仿宋_GBK" w:hAnsi="方正仿宋_GBK" w:eastAsia="方正仿宋_GBK" w:cs="方正仿宋_GBK"/>
          <w:color w:val="auto"/>
          <w:sz w:val="32"/>
          <w:szCs w:val="32"/>
        </w:rPr>
      </w:pPr>
      <w:r>
        <w:rPr>
          <w:rFonts w:ascii="方正仿宋_GBK" w:hAnsi="方正仿宋_GBK" w:eastAsia="方正仿宋_GBK" w:cs="方正仿宋_GBK"/>
          <w:color w:val="auto"/>
          <w:sz w:val="32"/>
          <w:szCs w:val="32"/>
          <w:shd w:val="clear" w:color="auto" w:fill="FFFFFF"/>
        </w:rPr>
        <w:t>（</w:t>
      </w:r>
      <w:r>
        <w:rPr>
          <w:rFonts w:hint="eastAsia" w:ascii="Times New Roman" w:hAnsi="Times New Roman" w:eastAsia="方正仿宋_GBK"/>
          <w:color w:val="auto"/>
          <w:sz w:val="32"/>
          <w:szCs w:val="32"/>
          <w:shd w:val="clear" w:color="auto" w:fill="FFFFFF"/>
          <w:lang w:val="en-US" w:eastAsia="zh-CN"/>
        </w:rPr>
        <w:t>3</w:t>
      </w:r>
      <w:r>
        <w:rPr>
          <w:rFonts w:ascii="方正仿宋_GBK" w:hAnsi="方正仿宋_GBK" w:eastAsia="方正仿宋_GBK" w:cs="方正仿宋_GBK"/>
          <w:color w:val="auto"/>
          <w:sz w:val="32"/>
          <w:szCs w:val="32"/>
          <w:shd w:val="clear" w:color="auto" w:fill="FFFFFF"/>
        </w:rPr>
        <w:t>）卫生健康支出</w:t>
      </w:r>
      <w:r>
        <w:rPr>
          <w:rFonts w:hint="default" w:ascii="Times New Roman" w:hAnsi="Times New Roman" w:eastAsia="方正仿宋_GBK"/>
          <w:color w:val="auto"/>
          <w:sz w:val="32"/>
          <w:szCs w:val="32"/>
          <w:shd w:val="clear" w:color="auto" w:fill="FFFFFF"/>
        </w:rPr>
        <w:t>4.52</w:t>
      </w:r>
      <w:r>
        <w:rPr>
          <w:rFonts w:ascii="方正仿宋_GBK" w:hAnsi="方正仿宋_GBK" w:eastAsia="方正仿宋_GBK" w:cs="方正仿宋_GBK"/>
          <w:color w:val="auto"/>
          <w:sz w:val="32"/>
          <w:szCs w:val="32"/>
          <w:shd w:val="clear" w:color="auto" w:fill="FFFFFF"/>
        </w:rPr>
        <w:t>万元，占</w:t>
      </w:r>
      <w:r>
        <w:rPr>
          <w:rFonts w:hint="default" w:ascii="Times New Roman" w:hAnsi="Times New Roman" w:eastAsia="方正仿宋_GBK"/>
          <w:color w:val="auto"/>
          <w:sz w:val="32"/>
          <w:szCs w:val="32"/>
          <w:shd w:val="clear" w:color="auto" w:fill="FFFFFF"/>
        </w:rPr>
        <w:t>4.5%</w:t>
      </w:r>
      <w:r>
        <w:rPr>
          <w:rFonts w:ascii="方正仿宋_GBK" w:hAnsi="方正仿宋_GBK" w:eastAsia="方正仿宋_GBK" w:cs="方正仿宋_GBK"/>
          <w:color w:val="auto"/>
          <w:sz w:val="32"/>
          <w:szCs w:val="32"/>
          <w:shd w:val="clear" w:color="auto" w:fill="FFFFFF"/>
        </w:rPr>
        <w:t>，</w:t>
      </w:r>
      <w:r>
        <w:rPr>
          <w:rFonts w:hint="default" w:ascii="Times New Roman" w:hAnsi="Times New Roman" w:eastAsia="方正仿宋_GBK"/>
          <w:color w:val="auto"/>
          <w:sz w:val="32"/>
          <w:szCs w:val="32"/>
          <w:shd w:val="clear" w:color="auto" w:fill="FFFFFF"/>
        </w:rPr>
        <w:t>较年初预算数无增减</w:t>
      </w:r>
      <w:r>
        <w:rPr>
          <w:rFonts w:ascii="方正仿宋_GBK" w:hAnsi="方正仿宋_GBK" w:eastAsia="方正仿宋_GBK" w:cs="方正仿宋_GBK"/>
          <w:color w:val="auto"/>
          <w:sz w:val="32"/>
          <w:szCs w:val="32"/>
          <w:shd w:val="clear" w:color="auto" w:fill="FFFFFF"/>
        </w:rPr>
        <w:t>。</w:t>
      </w:r>
    </w:p>
    <w:p>
      <w:pPr>
        <w:spacing w:line="596" w:lineRule="exact"/>
        <w:ind w:firstLine="640" w:firstLineChars="200"/>
        <w:jc w:val="both"/>
        <w:rPr>
          <w:rFonts w:hint="default" w:ascii="方正仿宋_GBK" w:hAnsi="方正仿宋_GBK" w:eastAsia="方正仿宋_GBK" w:cs="方正仿宋_GBK"/>
          <w:color w:val="auto"/>
          <w:sz w:val="32"/>
          <w:szCs w:val="32"/>
          <w:shd w:val="clear" w:color="auto" w:fill="FFFFFF"/>
        </w:rPr>
      </w:pPr>
      <w:r>
        <w:rPr>
          <w:rFonts w:ascii="方正仿宋_GBK" w:hAnsi="方正仿宋_GBK" w:eastAsia="方正仿宋_GBK" w:cs="方正仿宋_GBK"/>
          <w:color w:val="auto"/>
          <w:sz w:val="32"/>
          <w:szCs w:val="32"/>
          <w:shd w:val="clear" w:color="auto" w:fill="FFFFFF"/>
        </w:rPr>
        <w:t>（</w:t>
      </w:r>
      <w:r>
        <w:rPr>
          <w:rFonts w:hint="eastAsia" w:ascii="Times New Roman" w:hAnsi="Times New Roman" w:eastAsia="方正仿宋_GBK"/>
          <w:color w:val="auto"/>
          <w:sz w:val="32"/>
          <w:szCs w:val="32"/>
          <w:shd w:val="clear" w:color="auto" w:fill="FFFFFF"/>
          <w:lang w:val="en-US" w:eastAsia="zh-CN"/>
        </w:rPr>
        <w:t>4</w:t>
      </w:r>
      <w:r>
        <w:rPr>
          <w:rFonts w:ascii="方正仿宋_GBK" w:hAnsi="方正仿宋_GBK" w:eastAsia="方正仿宋_GBK" w:cs="方正仿宋_GBK"/>
          <w:color w:val="auto"/>
          <w:sz w:val="32"/>
          <w:szCs w:val="32"/>
          <w:shd w:val="clear" w:color="auto" w:fill="FFFFFF"/>
        </w:rPr>
        <w:t>）</w:t>
      </w:r>
      <w:r>
        <w:rPr>
          <w:rFonts w:ascii="方正仿宋_GBK" w:hAnsi="方正仿宋_GBK" w:eastAsia="方正仿宋_GBK" w:cs="方正仿宋_GBK"/>
          <w:color w:val="auto"/>
          <w:sz w:val="32"/>
          <w:szCs w:val="32"/>
        </w:rPr>
        <w:t>住房保障支出</w:t>
      </w:r>
      <w:r>
        <w:rPr>
          <w:rFonts w:hint="default" w:ascii="Times New Roman" w:hAnsi="Times New Roman" w:eastAsia="方正仿宋_GBK"/>
          <w:color w:val="auto"/>
          <w:sz w:val="32"/>
          <w:szCs w:val="32"/>
          <w:shd w:val="clear" w:color="auto" w:fill="FFFFFF"/>
        </w:rPr>
        <w:t>4.38</w:t>
      </w:r>
      <w:r>
        <w:rPr>
          <w:rFonts w:ascii="方正仿宋_GBK" w:hAnsi="方正仿宋_GBK" w:eastAsia="方正仿宋_GBK" w:cs="方正仿宋_GBK"/>
          <w:color w:val="auto"/>
          <w:sz w:val="32"/>
          <w:szCs w:val="32"/>
          <w:shd w:val="clear" w:color="auto" w:fill="FFFFFF"/>
        </w:rPr>
        <w:t>万元，占</w:t>
      </w:r>
      <w:r>
        <w:rPr>
          <w:rFonts w:hint="default" w:ascii="Times New Roman" w:hAnsi="Times New Roman" w:eastAsia="方正仿宋_GBK"/>
          <w:color w:val="auto"/>
          <w:sz w:val="32"/>
          <w:szCs w:val="32"/>
          <w:shd w:val="clear" w:color="auto" w:fill="FFFFFF"/>
        </w:rPr>
        <w:t>4.4%</w:t>
      </w:r>
      <w:r>
        <w:rPr>
          <w:rFonts w:ascii="方正仿宋_GBK" w:hAnsi="方正仿宋_GBK" w:eastAsia="方正仿宋_GBK" w:cs="方正仿宋_GBK"/>
          <w:color w:val="auto"/>
          <w:sz w:val="32"/>
          <w:szCs w:val="32"/>
          <w:shd w:val="clear" w:color="auto" w:fill="FFFFFF"/>
        </w:rPr>
        <w:t>，</w:t>
      </w:r>
      <w:r>
        <w:rPr>
          <w:rFonts w:hint="default" w:ascii="Times New Roman" w:hAnsi="Times New Roman" w:eastAsia="方正仿宋_GBK"/>
          <w:color w:val="auto"/>
          <w:sz w:val="32"/>
          <w:szCs w:val="32"/>
          <w:shd w:val="clear" w:color="auto" w:fill="FFFFFF"/>
        </w:rPr>
        <w:t>较年初预算数无增减</w:t>
      </w:r>
      <w:r>
        <w:rPr>
          <w:rFonts w:ascii="方正仿宋_GBK" w:hAnsi="方正仿宋_GBK" w:eastAsia="方正仿宋_GBK" w:cs="方正仿宋_GBK"/>
          <w:color w:val="auto"/>
          <w:sz w:val="32"/>
          <w:szCs w:val="32"/>
          <w:shd w:val="clear" w:color="auto" w:fill="FFFFFF"/>
        </w:rPr>
        <w:t>。</w:t>
      </w:r>
    </w:p>
    <w:p>
      <w:pPr>
        <w:pStyle w:val="5"/>
        <w:snapToGrid w:val="0"/>
        <w:spacing w:before="0" w:beforeAutospacing="0" w:after="0" w:afterAutospacing="0" w:line="596" w:lineRule="exact"/>
        <w:ind w:firstLine="643" w:firstLineChars="200"/>
        <w:jc w:val="both"/>
        <w:rPr>
          <w:rFonts w:hint="default" w:ascii="方正仿宋_GBK" w:hAnsi="方正仿宋_GBK" w:eastAsia="方正仿宋_GBK" w:cs="方正仿宋_GBK"/>
          <w:color w:val="auto"/>
          <w:sz w:val="32"/>
          <w:szCs w:val="32"/>
          <w:shd w:val="clear" w:color="auto" w:fill="FFFFFF"/>
        </w:rPr>
      </w:pPr>
      <w:r>
        <w:rPr>
          <w:rStyle w:val="8"/>
          <w:rFonts w:hint="default" w:ascii="Times New Roman" w:hAnsi="Times New Roman" w:eastAsia="方正仿宋_GBK"/>
          <w:color w:val="auto"/>
          <w:sz w:val="32"/>
          <w:szCs w:val="32"/>
          <w:shd w:val="clear" w:color="auto" w:fill="FFFFFF"/>
        </w:rPr>
        <w:t>3</w:t>
      </w:r>
      <w:r>
        <w:rPr>
          <w:rStyle w:val="8"/>
          <w:rFonts w:ascii="方正仿宋_GBK" w:hAnsi="方正仿宋_GBK" w:eastAsia="方正仿宋_GBK" w:cs="方正仿宋_GBK"/>
          <w:color w:val="auto"/>
          <w:sz w:val="32"/>
          <w:szCs w:val="32"/>
          <w:shd w:val="clear" w:color="auto" w:fill="FFFFFF"/>
        </w:rPr>
        <w:t>.结转结余情况。</w:t>
      </w:r>
      <w:r>
        <w:rPr>
          <w:rFonts w:hint="default" w:ascii="Times New Roman" w:hAnsi="Times New Roman" w:eastAsia="方正仿宋_GBK"/>
          <w:color w:val="auto"/>
          <w:sz w:val="32"/>
          <w:szCs w:val="32"/>
          <w:shd w:val="clear" w:color="auto" w:fill="FFFFFF"/>
        </w:rPr>
        <w:t>2024</w:t>
      </w:r>
      <w:r>
        <w:rPr>
          <w:rFonts w:ascii="方正仿宋_GBK" w:hAnsi="方正仿宋_GBK" w:eastAsia="方正仿宋_GBK" w:cs="方正仿宋_GBK"/>
          <w:color w:val="auto"/>
          <w:sz w:val="32"/>
          <w:szCs w:val="32"/>
          <w:shd w:val="clear" w:color="auto" w:fill="FFFFFF"/>
        </w:rPr>
        <w:t>年度年末一般公共预算财政拨款结转和结余</w:t>
      </w:r>
      <w:r>
        <w:rPr>
          <w:rFonts w:hint="default" w:ascii="Times New Roman" w:hAnsi="Times New Roman" w:eastAsia="方正仿宋_GBK"/>
          <w:color w:val="auto"/>
          <w:sz w:val="32"/>
          <w:szCs w:val="32"/>
          <w:shd w:val="clear" w:color="auto" w:fill="FFFFFF"/>
        </w:rPr>
        <w:t>0.00</w:t>
      </w:r>
      <w:r>
        <w:rPr>
          <w:rFonts w:ascii="方正仿宋_GBK" w:hAnsi="方正仿宋_GBK" w:eastAsia="方正仿宋_GBK" w:cs="方正仿宋_GBK"/>
          <w:color w:val="auto"/>
          <w:sz w:val="32"/>
          <w:szCs w:val="32"/>
          <w:shd w:val="clear" w:color="auto" w:fill="FFFFFF"/>
        </w:rPr>
        <w:t>万元，</w:t>
      </w:r>
      <w:r>
        <w:rPr>
          <w:rFonts w:hint="default" w:ascii="Times New Roman" w:hAnsi="Times New Roman" w:eastAsia="方正仿宋_GBK"/>
          <w:color w:val="auto"/>
          <w:sz w:val="32"/>
          <w:szCs w:val="32"/>
          <w:shd w:val="clear" w:color="auto" w:fill="FFFFFF"/>
        </w:rPr>
        <w:t>与2023年度相比，无增减</w:t>
      </w:r>
      <w:r>
        <w:rPr>
          <w:rFonts w:ascii="方正仿宋_GBK" w:hAnsi="方正仿宋_GBK" w:eastAsia="方正仿宋_GBK" w:cs="方正仿宋_GBK"/>
          <w:color w:val="auto"/>
          <w:sz w:val="32"/>
          <w:szCs w:val="32"/>
          <w:shd w:val="clear" w:color="auto" w:fill="FFFFFF"/>
        </w:rPr>
        <w:t>。</w:t>
      </w:r>
    </w:p>
    <w:p>
      <w:pPr>
        <w:pStyle w:val="9"/>
        <w:keepNext w:val="0"/>
        <w:keepLines w:val="0"/>
        <w:pageBreakBefore w:val="0"/>
        <w:widowControl/>
        <w:kinsoku/>
        <w:wordWrap/>
        <w:overflowPunct/>
        <w:topLinePunct w:val="0"/>
        <w:autoSpaceDE w:val="0"/>
        <w:autoSpaceDN/>
        <w:bidi w:val="0"/>
        <w:adjustRightInd/>
        <w:snapToGrid/>
        <w:spacing w:line="596" w:lineRule="exact"/>
        <w:ind w:firstLine="643" w:firstLineChars="200"/>
        <w:textAlignment w:val="auto"/>
        <w:rPr>
          <w:rFonts w:ascii="楷体" w:hAnsi="楷体" w:eastAsia="楷体" w:cs="楷体"/>
          <w:b/>
          <w:bCs/>
          <w:color w:val="auto"/>
          <w:sz w:val="32"/>
          <w:szCs w:val="32"/>
          <w:shd w:val="clear" w:color="auto" w:fill="FFFFFF"/>
        </w:rPr>
      </w:pPr>
      <w:r>
        <w:rPr>
          <w:rFonts w:hint="eastAsia" w:ascii="楷体" w:hAnsi="楷体" w:eastAsia="楷体" w:cs="楷体"/>
          <w:b/>
          <w:bCs/>
          <w:color w:val="auto"/>
          <w:sz w:val="32"/>
          <w:szCs w:val="32"/>
          <w:shd w:val="clear" w:color="auto" w:fill="FFFFFF"/>
        </w:rPr>
        <w:t>（四）一般公共预算财政拨款基本支出决算情况说明</w:t>
      </w:r>
    </w:p>
    <w:p>
      <w:pPr>
        <w:pStyle w:val="5"/>
        <w:snapToGrid w:val="0"/>
        <w:spacing w:before="0" w:beforeAutospacing="0" w:after="0" w:afterAutospacing="0" w:line="596" w:lineRule="exact"/>
        <w:ind w:firstLine="640" w:firstLineChars="200"/>
        <w:jc w:val="both"/>
        <w:rPr>
          <w:rFonts w:ascii="方正仿宋_GBK" w:hAnsi="方正仿宋_GBK" w:eastAsia="方正仿宋_GBK" w:cs="方正仿宋_GBK"/>
          <w:color w:val="auto"/>
          <w:sz w:val="32"/>
          <w:szCs w:val="32"/>
          <w:shd w:val="clear" w:color="auto" w:fill="FFFFFF"/>
        </w:rPr>
      </w:pPr>
      <w:r>
        <w:rPr>
          <w:rFonts w:hint="default" w:ascii="Times New Roman" w:hAnsi="Times New Roman" w:eastAsia="方正仿宋_GBK"/>
          <w:color w:val="auto"/>
          <w:sz w:val="32"/>
          <w:szCs w:val="32"/>
          <w:shd w:val="clear" w:color="auto" w:fill="FFFFFF"/>
        </w:rPr>
        <w:t>2024</w:t>
      </w:r>
      <w:r>
        <w:rPr>
          <w:rFonts w:ascii="方正仿宋_GBK" w:hAnsi="方正仿宋_GBK" w:eastAsia="方正仿宋_GBK" w:cs="方正仿宋_GBK"/>
          <w:color w:val="auto"/>
          <w:sz w:val="32"/>
          <w:szCs w:val="32"/>
          <w:shd w:val="clear" w:color="auto" w:fill="FFFFFF"/>
        </w:rPr>
        <w:t>年度一般公共财政拨款基本支出</w:t>
      </w:r>
      <w:r>
        <w:rPr>
          <w:rFonts w:hint="default" w:ascii="Times New Roman" w:hAnsi="Times New Roman" w:eastAsia="方正仿宋_GBK"/>
          <w:color w:val="auto"/>
          <w:sz w:val="32"/>
          <w:szCs w:val="32"/>
          <w:shd w:val="clear" w:color="auto" w:fill="FFFFFF"/>
        </w:rPr>
        <w:t>99.70</w:t>
      </w:r>
      <w:r>
        <w:rPr>
          <w:rFonts w:ascii="方正仿宋_GBK" w:hAnsi="方正仿宋_GBK" w:eastAsia="方正仿宋_GBK" w:cs="方正仿宋_GBK"/>
          <w:color w:val="auto"/>
          <w:sz w:val="32"/>
          <w:szCs w:val="32"/>
          <w:shd w:val="clear" w:color="auto" w:fill="FFFFFF"/>
        </w:rPr>
        <w:t>万元。</w:t>
      </w:r>
    </w:p>
    <w:p>
      <w:pPr>
        <w:pStyle w:val="5"/>
        <w:keepNext w:val="0"/>
        <w:keepLines w:val="0"/>
        <w:pageBreakBefore w:val="0"/>
        <w:widowControl/>
        <w:kinsoku/>
        <w:wordWrap/>
        <w:overflowPunct/>
        <w:topLinePunct w:val="0"/>
        <w:autoSpaceDE/>
        <w:autoSpaceDN/>
        <w:bidi w:val="0"/>
        <w:adjustRightInd/>
        <w:snapToGrid w:val="0"/>
        <w:spacing w:before="0" w:beforeAutospacing="0" w:after="0" w:afterAutospacing="0" w:line="596" w:lineRule="exact"/>
        <w:ind w:firstLine="0" w:firstLineChars="0"/>
        <w:jc w:val="both"/>
        <w:textAlignment w:val="auto"/>
        <w:rPr>
          <w:rFonts w:hint="default" w:ascii="方正仿宋_GBK" w:hAnsi="方正仿宋_GBK" w:eastAsia="方正仿宋_GBK" w:cs="方正仿宋_GBK"/>
          <w:color w:val="auto"/>
          <w:sz w:val="32"/>
          <w:szCs w:val="32"/>
        </w:rPr>
      </w:pPr>
      <w:r>
        <w:rPr>
          <w:rFonts w:ascii="方正仿宋_GBK" w:hAnsi="方正仿宋_GBK" w:eastAsia="方正仿宋_GBK" w:cs="方正仿宋_GBK"/>
          <w:color w:val="auto"/>
          <w:sz w:val="32"/>
          <w:szCs w:val="32"/>
          <w:shd w:val="clear" w:color="auto" w:fill="FFFFFF"/>
        </w:rPr>
        <w:t>其中：人员经费</w:t>
      </w:r>
      <w:r>
        <w:rPr>
          <w:rFonts w:hint="default" w:ascii="Times New Roman" w:hAnsi="Times New Roman" w:eastAsia="方正仿宋_GBK"/>
          <w:color w:val="auto"/>
          <w:sz w:val="32"/>
          <w:szCs w:val="32"/>
          <w:shd w:val="clear" w:color="auto" w:fill="FFFFFF"/>
        </w:rPr>
        <w:t>83.97</w:t>
      </w:r>
      <w:r>
        <w:rPr>
          <w:rFonts w:ascii="方正仿宋_GBK" w:hAnsi="方正仿宋_GBK" w:eastAsia="方正仿宋_GBK" w:cs="方正仿宋_GBK"/>
          <w:color w:val="auto"/>
          <w:sz w:val="32"/>
          <w:szCs w:val="32"/>
          <w:shd w:val="clear" w:color="auto" w:fill="FFFFFF"/>
        </w:rPr>
        <w:t>万元，</w:t>
      </w:r>
      <w:r>
        <w:rPr>
          <w:rFonts w:hint="default" w:ascii="Times New Roman" w:hAnsi="Times New Roman" w:eastAsia="方正仿宋_GBK"/>
          <w:color w:val="auto"/>
          <w:sz w:val="32"/>
          <w:szCs w:val="32"/>
          <w:shd w:val="clear" w:color="auto" w:fill="FFFFFF"/>
        </w:rPr>
        <w:t>与2023年度相比，增加4.50万元，增长5.7%</w:t>
      </w:r>
      <w:r>
        <w:rPr>
          <w:rFonts w:ascii="方正仿宋_GBK" w:hAnsi="方正仿宋_GBK" w:eastAsia="方正仿宋_GBK" w:cs="方正仿宋_GBK"/>
          <w:color w:val="auto"/>
          <w:sz w:val="32"/>
          <w:szCs w:val="32"/>
          <w:shd w:val="clear" w:color="auto" w:fill="FFFFFF"/>
        </w:rPr>
        <w:t>，主要原因是</w:t>
      </w:r>
      <w:r>
        <w:rPr>
          <w:rFonts w:hint="eastAsia" w:ascii="方正仿宋_GBK" w:hAnsi="方正仿宋_GBK" w:eastAsia="方正仿宋_GBK" w:cs="方正仿宋_GBK"/>
          <w:color w:val="auto"/>
          <w:sz w:val="32"/>
          <w:szCs w:val="32"/>
          <w:shd w:val="clear" w:color="auto" w:fill="FFFFFF"/>
          <w:lang w:eastAsia="zh-CN"/>
        </w:rPr>
        <w:t>在职人员工资自然增资及社保政策变化基数调整导致支出增加。</w:t>
      </w:r>
      <w:r>
        <w:rPr>
          <w:rFonts w:ascii="方正仿宋_GBK" w:hAnsi="方正仿宋_GBK" w:eastAsia="方正仿宋_GBK" w:cs="方正仿宋_GBK"/>
          <w:color w:val="auto"/>
          <w:sz w:val="32"/>
          <w:szCs w:val="32"/>
          <w:shd w:val="clear" w:color="auto" w:fill="FFFFFF"/>
        </w:rPr>
        <w:t>人员经费用途主要包括</w:t>
      </w:r>
      <w:r>
        <w:rPr>
          <w:rFonts w:ascii="方正仿宋_GBK" w:hAnsi="方正仿宋_GBK" w:eastAsia="方正仿宋_GBK" w:cs="方正仿宋_GBK"/>
          <w:color w:val="auto"/>
          <w:sz w:val="32"/>
          <w:szCs w:val="32"/>
          <w:shd w:val="clear" w:color="auto" w:fill="FFFFFF"/>
        </w:rPr>
        <w:t>基本工资、津贴补贴、</w:t>
      </w:r>
      <w:r>
        <w:rPr>
          <w:rFonts w:hint="eastAsia" w:ascii="方正仿宋_GBK" w:hAnsi="方正仿宋_GBK" w:eastAsia="方正仿宋_GBK" w:cs="方正仿宋_GBK"/>
          <w:color w:val="auto"/>
          <w:sz w:val="32"/>
          <w:szCs w:val="32"/>
          <w:shd w:val="clear" w:color="auto" w:fill="FFFFFF"/>
          <w:lang w:eastAsia="zh-CN"/>
        </w:rPr>
        <w:t>超额绩效</w:t>
      </w:r>
      <w:r>
        <w:rPr>
          <w:rFonts w:ascii="方正仿宋_GBK" w:hAnsi="方正仿宋_GBK" w:eastAsia="方正仿宋_GBK" w:cs="方正仿宋_GBK"/>
          <w:color w:val="auto"/>
          <w:sz w:val="32"/>
          <w:szCs w:val="32"/>
          <w:shd w:val="clear" w:color="auto" w:fill="FFFFFF"/>
        </w:rPr>
        <w:t>、社会保障缴费、住房公积金、医疗费等。</w:t>
      </w:r>
      <w:r>
        <w:rPr>
          <w:rFonts w:ascii="方正仿宋_GBK" w:hAnsi="方正仿宋_GBK" w:eastAsia="方正仿宋_GBK" w:cs="方正仿宋_GBK"/>
          <w:color w:val="auto"/>
          <w:sz w:val="32"/>
          <w:szCs w:val="32"/>
          <w:shd w:val="clear" w:color="auto" w:fill="FFFFFF"/>
        </w:rPr>
        <w:t>公用经费</w:t>
      </w:r>
      <w:r>
        <w:rPr>
          <w:rFonts w:hint="default" w:ascii="Times New Roman" w:hAnsi="Times New Roman" w:eastAsia="方正仿宋_GBK"/>
          <w:color w:val="auto"/>
          <w:sz w:val="32"/>
          <w:szCs w:val="32"/>
          <w:shd w:val="clear" w:color="auto" w:fill="FFFFFF"/>
        </w:rPr>
        <w:t>15.73</w:t>
      </w:r>
      <w:r>
        <w:rPr>
          <w:rFonts w:ascii="方正仿宋_GBK" w:hAnsi="方正仿宋_GBK" w:eastAsia="方正仿宋_GBK" w:cs="方正仿宋_GBK"/>
          <w:color w:val="auto"/>
          <w:sz w:val="32"/>
          <w:szCs w:val="32"/>
          <w:shd w:val="clear" w:color="auto" w:fill="FFFFFF"/>
        </w:rPr>
        <w:t>万元，</w:t>
      </w:r>
      <w:r>
        <w:rPr>
          <w:rFonts w:hint="default" w:ascii="Times New Roman" w:hAnsi="Times New Roman" w:eastAsia="方正仿宋_GBK"/>
          <w:color w:val="auto"/>
          <w:sz w:val="32"/>
          <w:szCs w:val="32"/>
          <w:shd w:val="clear" w:color="auto" w:fill="FFFFFF"/>
        </w:rPr>
        <w:t>与2023年度相比，增加0.02万元，增长0.1%</w:t>
      </w:r>
      <w:r>
        <w:rPr>
          <w:rFonts w:ascii="方正仿宋_GBK" w:hAnsi="方正仿宋_GBK" w:eastAsia="方正仿宋_GBK" w:cs="方正仿宋_GBK"/>
          <w:color w:val="auto"/>
          <w:sz w:val="32"/>
          <w:szCs w:val="32"/>
          <w:shd w:val="clear" w:color="auto" w:fill="FFFFFF"/>
        </w:rPr>
        <w:t>，主要原因是</w:t>
      </w:r>
      <w:r>
        <w:rPr>
          <w:rFonts w:hint="eastAsia" w:ascii="方正仿宋_GBK" w:hAnsi="方正仿宋_GBK" w:eastAsia="方正仿宋_GBK" w:cs="方正仿宋_GBK"/>
          <w:color w:val="auto"/>
          <w:sz w:val="32"/>
          <w:szCs w:val="32"/>
          <w:shd w:val="clear" w:color="auto" w:fill="FFFFFF"/>
          <w:lang w:eastAsia="zh-CN"/>
        </w:rPr>
        <w:t>在职人员工资自然增资导致相关经费增加</w:t>
      </w:r>
      <w:r>
        <w:rPr>
          <w:rFonts w:ascii="方正仿宋_GBK" w:hAnsi="方正仿宋_GBK" w:eastAsia="方正仿宋_GBK" w:cs="方正仿宋_GBK"/>
          <w:color w:val="auto"/>
          <w:sz w:val="32"/>
          <w:szCs w:val="32"/>
          <w:shd w:val="clear" w:color="auto" w:fill="FFFFFF"/>
        </w:rPr>
        <w:t>。</w:t>
      </w:r>
      <w:r>
        <w:rPr>
          <w:rFonts w:ascii="方正仿宋_GBK" w:hAnsi="方正仿宋_GBK" w:eastAsia="方正仿宋_GBK" w:cs="方正仿宋_GBK"/>
          <w:color w:val="auto"/>
          <w:sz w:val="32"/>
          <w:szCs w:val="32"/>
          <w:shd w:val="clear" w:color="auto" w:fill="FFFFFF"/>
        </w:rPr>
        <w:t>公用经费用途主要包括</w:t>
      </w:r>
      <w:r>
        <w:rPr>
          <w:rFonts w:ascii="方正仿宋_GBK" w:hAnsi="方正仿宋_GBK" w:eastAsia="方正仿宋_GBK" w:cs="方正仿宋_GBK"/>
          <w:color w:val="auto"/>
          <w:sz w:val="32"/>
          <w:szCs w:val="32"/>
          <w:shd w:val="clear" w:color="auto" w:fill="FFFFFF"/>
        </w:rPr>
        <w:t>办公费、水费、电费、邮电费、差旅费、工会经费、其他商品和服务支出等</w:t>
      </w:r>
      <w:r>
        <w:rPr>
          <w:rFonts w:hint="eastAsia" w:ascii="方正仿宋_GBK" w:hAnsi="方正仿宋_GBK" w:eastAsia="方正仿宋_GBK" w:cs="方正仿宋_GBK"/>
          <w:color w:val="auto"/>
          <w:sz w:val="32"/>
          <w:szCs w:val="32"/>
          <w:shd w:val="clear" w:color="auto" w:fill="FFFFFF"/>
          <w:lang w:eastAsia="zh-CN"/>
        </w:rPr>
        <w:t>。</w:t>
      </w:r>
    </w:p>
    <w:p>
      <w:pPr>
        <w:pStyle w:val="9"/>
        <w:keepNext w:val="0"/>
        <w:keepLines w:val="0"/>
        <w:pageBreakBefore w:val="0"/>
        <w:widowControl/>
        <w:kinsoku/>
        <w:wordWrap/>
        <w:overflowPunct/>
        <w:topLinePunct w:val="0"/>
        <w:autoSpaceDE w:val="0"/>
        <w:autoSpaceDN/>
        <w:bidi w:val="0"/>
        <w:adjustRightInd/>
        <w:snapToGrid/>
        <w:spacing w:line="596" w:lineRule="exact"/>
        <w:ind w:firstLine="643" w:firstLineChars="200"/>
        <w:textAlignment w:val="auto"/>
        <w:rPr>
          <w:rFonts w:ascii="楷体" w:hAnsi="楷体" w:eastAsia="楷体" w:cs="楷体"/>
          <w:b/>
          <w:bCs/>
          <w:color w:val="auto"/>
          <w:sz w:val="32"/>
          <w:szCs w:val="32"/>
          <w:shd w:val="clear" w:color="auto" w:fill="FFFFFF"/>
        </w:rPr>
      </w:pPr>
      <w:r>
        <w:rPr>
          <w:rFonts w:hint="eastAsia" w:ascii="楷体" w:hAnsi="楷体" w:eastAsia="楷体" w:cs="楷体"/>
          <w:b/>
          <w:bCs/>
          <w:color w:val="auto"/>
          <w:sz w:val="32"/>
          <w:szCs w:val="32"/>
          <w:shd w:val="clear" w:color="auto" w:fill="FFFFFF"/>
        </w:rPr>
        <w:t>（五）政府性基金预算收支决算情况说明</w:t>
      </w:r>
    </w:p>
    <w:p>
      <w:pPr>
        <w:pStyle w:val="5"/>
        <w:snapToGrid w:val="0"/>
        <w:spacing w:before="0" w:beforeAutospacing="0" w:after="0" w:afterAutospacing="0" w:line="596" w:lineRule="exact"/>
        <w:ind w:firstLine="640" w:firstLineChars="200"/>
        <w:jc w:val="both"/>
        <w:rPr>
          <w:rFonts w:hint="default" w:ascii="方正仿宋_GBK" w:hAnsi="方正仿宋_GBK" w:eastAsia="方正仿宋_GBK" w:cs="方正仿宋_GBK"/>
          <w:color w:val="auto"/>
          <w:sz w:val="32"/>
          <w:szCs w:val="32"/>
          <w:shd w:val="clear" w:color="auto" w:fill="FFFFFF"/>
          <w:lang w:eastAsia="zh-CN"/>
        </w:rPr>
      </w:pPr>
      <w:r>
        <w:rPr>
          <w:rFonts w:hint="default" w:ascii="方正仿宋_GBK" w:hAnsi="方正仿宋_GBK" w:eastAsia="方正仿宋_GBK" w:cs="方正仿宋_GBK"/>
          <w:color w:val="auto"/>
          <w:sz w:val="32"/>
          <w:szCs w:val="32"/>
          <w:shd w:val="clear" w:color="auto" w:fill="FFFFFF"/>
          <w:lang w:eastAsia="zh-CN"/>
        </w:rPr>
        <w:t>本</w:t>
      </w:r>
      <w:r>
        <w:rPr>
          <w:rFonts w:hint="eastAsia" w:ascii="方正仿宋_GBK" w:hAnsi="方正仿宋_GBK" w:eastAsia="方正仿宋_GBK" w:cs="方正仿宋_GBK"/>
          <w:color w:val="auto"/>
          <w:sz w:val="32"/>
          <w:szCs w:val="32"/>
          <w:shd w:val="clear" w:color="auto" w:fill="FFFFFF"/>
          <w:lang w:eastAsia="zh-CN"/>
        </w:rPr>
        <w:t>单位</w:t>
      </w:r>
      <w:r>
        <w:rPr>
          <w:rFonts w:hint="default" w:ascii="Times New Roman" w:hAnsi="Times New Roman" w:eastAsia="方正仿宋_GBK"/>
          <w:color w:val="auto"/>
          <w:sz w:val="32"/>
          <w:szCs w:val="32"/>
          <w:shd w:val="clear" w:color="auto" w:fill="FFFFFF"/>
          <w:lang w:eastAsia="zh-CN"/>
        </w:rPr>
        <w:t>2024</w:t>
      </w:r>
      <w:r>
        <w:rPr>
          <w:rFonts w:hint="default" w:ascii="方正仿宋_GBK" w:hAnsi="方正仿宋_GBK" w:eastAsia="方正仿宋_GBK" w:cs="方正仿宋_GBK"/>
          <w:color w:val="auto"/>
          <w:sz w:val="32"/>
          <w:szCs w:val="32"/>
          <w:shd w:val="clear" w:color="auto" w:fill="FFFFFF"/>
          <w:lang w:eastAsia="zh-CN"/>
        </w:rPr>
        <w:t>年度无政府性基金预算财政拨款收支。</w:t>
      </w:r>
    </w:p>
    <w:p>
      <w:pPr>
        <w:pStyle w:val="9"/>
        <w:keepNext w:val="0"/>
        <w:keepLines w:val="0"/>
        <w:pageBreakBefore w:val="0"/>
        <w:widowControl/>
        <w:kinsoku/>
        <w:wordWrap/>
        <w:overflowPunct/>
        <w:topLinePunct w:val="0"/>
        <w:autoSpaceDE w:val="0"/>
        <w:autoSpaceDN/>
        <w:bidi w:val="0"/>
        <w:adjustRightInd/>
        <w:snapToGrid/>
        <w:spacing w:line="596" w:lineRule="exact"/>
        <w:ind w:firstLine="643" w:firstLineChars="200"/>
        <w:textAlignment w:val="auto"/>
        <w:rPr>
          <w:rFonts w:ascii="楷体" w:hAnsi="楷体" w:eastAsia="楷体" w:cs="楷体"/>
          <w:b/>
          <w:bCs/>
          <w:color w:val="auto"/>
          <w:sz w:val="32"/>
          <w:szCs w:val="32"/>
          <w:shd w:val="clear" w:color="auto" w:fill="FFFFFF"/>
        </w:rPr>
      </w:pPr>
      <w:r>
        <w:rPr>
          <w:rFonts w:hint="eastAsia" w:ascii="楷体" w:hAnsi="楷体" w:eastAsia="楷体" w:cs="楷体"/>
          <w:b/>
          <w:bCs/>
          <w:color w:val="auto"/>
          <w:sz w:val="32"/>
          <w:szCs w:val="32"/>
          <w:shd w:val="clear" w:color="auto" w:fill="FFFFFF"/>
        </w:rPr>
        <w:t>（六）国有资本经营预算财政拨款支出决算情况说明</w:t>
      </w:r>
    </w:p>
    <w:p>
      <w:pPr>
        <w:pStyle w:val="5"/>
        <w:snapToGrid w:val="0"/>
        <w:spacing w:before="0" w:beforeAutospacing="0" w:after="0" w:afterAutospacing="0" w:line="596" w:lineRule="exact"/>
        <w:ind w:firstLine="640" w:firstLineChars="200"/>
        <w:jc w:val="both"/>
        <w:rPr>
          <w:rFonts w:hint="default" w:ascii="方正仿宋_GBK" w:hAnsi="方正仿宋_GBK" w:eastAsia="方正仿宋_GBK" w:cs="方正仿宋_GBK"/>
          <w:color w:val="auto"/>
          <w:sz w:val="32"/>
          <w:szCs w:val="32"/>
          <w:shd w:val="clear" w:color="auto" w:fill="FFFFFF"/>
          <w:lang w:eastAsia="zh-CN"/>
        </w:rPr>
      </w:pPr>
      <w:r>
        <w:rPr>
          <w:rFonts w:hint="default" w:ascii="方正仿宋_GBK" w:hAnsi="方正仿宋_GBK" w:eastAsia="方正仿宋_GBK" w:cs="方正仿宋_GBK"/>
          <w:color w:val="auto"/>
          <w:sz w:val="32"/>
          <w:szCs w:val="32"/>
          <w:shd w:val="clear" w:color="auto" w:fill="FFFFFF"/>
          <w:lang w:eastAsia="zh-CN"/>
        </w:rPr>
        <w:t>本</w:t>
      </w:r>
      <w:r>
        <w:rPr>
          <w:rFonts w:hint="eastAsia" w:ascii="方正仿宋_GBK" w:hAnsi="方正仿宋_GBK" w:eastAsia="方正仿宋_GBK" w:cs="方正仿宋_GBK"/>
          <w:color w:val="auto"/>
          <w:sz w:val="32"/>
          <w:szCs w:val="32"/>
          <w:shd w:val="clear" w:color="auto" w:fill="FFFFFF"/>
          <w:lang w:eastAsia="zh-CN"/>
        </w:rPr>
        <w:t>单位</w:t>
      </w:r>
      <w:r>
        <w:rPr>
          <w:rFonts w:hint="default" w:ascii="Times New Roman" w:hAnsi="Times New Roman" w:eastAsia="方正仿宋_GBK"/>
          <w:color w:val="auto"/>
          <w:sz w:val="32"/>
          <w:szCs w:val="32"/>
          <w:shd w:val="clear" w:color="auto" w:fill="FFFFFF"/>
          <w:lang w:eastAsia="zh-CN"/>
        </w:rPr>
        <w:t>2024</w:t>
      </w:r>
      <w:r>
        <w:rPr>
          <w:rFonts w:hint="default" w:ascii="方正仿宋_GBK" w:hAnsi="方正仿宋_GBK" w:eastAsia="方正仿宋_GBK" w:cs="方正仿宋_GBK"/>
          <w:color w:val="auto"/>
          <w:sz w:val="32"/>
          <w:szCs w:val="32"/>
          <w:shd w:val="clear" w:color="auto" w:fill="FFFFFF"/>
          <w:lang w:eastAsia="zh-CN"/>
        </w:rPr>
        <w:t>年度无国有资本经营预算财政拨款支出。</w:t>
      </w:r>
    </w:p>
    <w:p>
      <w:pPr>
        <w:pStyle w:val="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6" w:lineRule="exact"/>
        <w:ind w:firstLine="643" w:firstLineChars="200"/>
        <w:textAlignment w:val="auto"/>
        <w:rPr>
          <w:rStyle w:val="8"/>
          <w:rFonts w:hint="default" w:ascii="黑体" w:hAnsi="黑体" w:eastAsia="黑体" w:cs="黑体"/>
          <w:color w:val="auto"/>
          <w:sz w:val="32"/>
          <w:szCs w:val="32"/>
          <w:shd w:val="clear" w:color="auto" w:fill="FFFFFF"/>
        </w:rPr>
      </w:pPr>
      <w:r>
        <w:rPr>
          <w:rStyle w:val="8"/>
          <w:rFonts w:ascii="黑体" w:hAnsi="黑体" w:eastAsia="黑体" w:cs="黑体"/>
          <w:color w:val="auto"/>
          <w:sz w:val="32"/>
          <w:szCs w:val="32"/>
          <w:shd w:val="clear" w:color="auto" w:fill="FFFFFF"/>
        </w:rPr>
        <w:t>三、</w:t>
      </w:r>
      <w:r>
        <w:rPr>
          <w:rStyle w:val="8"/>
          <w:rFonts w:hint="eastAsia" w:ascii="黑体" w:hAnsi="黑体" w:eastAsia="黑体" w:cs="黑体"/>
          <w:color w:val="auto"/>
          <w:sz w:val="32"/>
          <w:szCs w:val="32"/>
          <w:shd w:val="clear" w:color="auto" w:fill="FFFFFF"/>
          <w:lang w:eastAsia="zh-CN"/>
        </w:rPr>
        <w:t>财政拨款</w:t>
      </w:r>
      <w:r>
        <w:rPr>
          <w:rStyle w:val="8"/>
          <w:rFonts w:ascii="黑体" w:hAnsi="黑体" w:eastAsia="黑体" w:cs="黑体"/>
          <w:color w:val="auto"/>
          <w:sz w:val="32"/>
          <w:szCs w:val="32"/>
          <w:shd w:val="clear" w:color="auto" w:fill="FFFFFF"/>
        </w:rPr>
        <w:t>“三公”经费情况说明</w:t>
      </w:r>
    </w:p>
    <w:p>
      <w:pPr>
        <w:pStyle w:val="9"/>
        <w:keepNext w:val="0"/>
        <w:keepLines w:val="0"/>
        <w:pageBreakBefore w:val="0"/>
        <w:widowControl/>
        <w:kinsoku/>
        <w:wordWrap/>
        <w:overflowPunct/>
        <w:topLinePunct w:val="0"/>
        <w:autoSpaceDE w:val="0"/>
        <w:autoSpaceDN/>
        <w:bidi w:val="0"/>
        <w:adjustRightInd/>
        <w:snapToGrid/>
        <w:spacing w:line="596" w:lineRule="exact"/>
        <w:ind w:firstLine="643" w:firstLineChars="200"/>
        <w:textAlignment w:val="auto"/>
        <w:rPr>
          <w:rFonts w:ascii="楷体" w:hAnsi="楷体" w:eastAsia="楷体" w:cs="楷体"/>
          <w:b/>
          <w:bCs/>
          <w:color w:val="auto"/>
          <w:sz w:val="32"/>
          <w:szCs w:val="32"/>
          <w:shd w:val="clear" w:color="auto" w:fill="FFFFFF"/>
        </w:rPr>
      </w:pPr>
      <w:r>
        <w:rPr>
          <w:rFonts w:hint="eastAsia" w:ascii="楷体" w:hAnsi="楷体" w:eastAsia="楷体" w:cs="楷体"/>
          <w:b/>
          <w:bCs/>
          <w:color w:val="auto"/>
          <w:sz w:val="32"/>
          <w:szCs w:val="32"/>
          <w:shd w:val="clear" w:color="auto" w:fill="FFFFFF"/>
        </w:rPr>
        <w:t>（一）“三公”经费支出总体情况说明</w:t>
      </w:r>
    </w:p>
    <w:p>
      <w:pPr>
        <w:pStyle w:val="5"/>
        <w:snapToGrid w:val="0"/>
        <w:spacing w:before="0" w:beforeAutospacing="0" w:after="0" w:afterAutospacing="0" w:line="596" w:lineRule="exact"/>
        <w:ind w:firstLine="640" w:firstLineChars="200"/>
        <w:jc w:val="both"/>
        <w:rPr>
          <w:rFonts w:hint="default" w:ascii="方正仿宋_GBK" w:hAnsi="方正仿宋_GBK" w:eastAsia="方正仿宋_GBK" w:cs="方正仿宋_GBK"/>
          <w:color w:val="auto"/>
          <w:sz w:val="32"/>
          <w:szCs w:val="32"/>
        </w:rPr>
      </w:pPr>
      <w:r>
        <w:rPr>
          <w:rFonts w:hint="default" w:ascii="Times New Roman" w:hAnsi="Times New Roman" w:eastAsia="方正仿宋_GBK"/>
          <w:color w:val="auto"/>
          <w:sz w:val="32"/>
          <w:szCs w:val="32"/>
          <w:shd w:val="clear" w:color="auto" w:fill="FFFFFF"/>
        </w:rPr>
        <w:t>2024</w:t>
      </w:r>
      <w:r>
        <w:rPr>
          <w:rFonts w:ascii="方正仿宋_GBK" w:hAnsi="方正仿宋_GBK" w:eastAsia="方正仿宋_GBK" w:cs="方正仿宋_GBK"/>
          <w:color w:val="auto"/>
          <w:sz w:val="32"/>
          <w:szCs w:val="32"/>
          <w:shd w:val="clear" w:color="auto" w:fill="FFFFFF"/>
        </w:rPr>
        <w:t>年度“三公”经费支出共计</w:t>
      </w:r>
      <w:r>
        <w:rPr>
          <w:rFonts w:hint="default" w:ascii="Times New Roman" w:hAnsi="Times New Roman" w:eastAsia="方正仿宋_GBK"/>
          <w:color w:val="auto"/>
          <w:sz w:val="32"/>
          <w:szCs w:val="32"/>
          <w:shd w:val="clear" w:color="auto" w:fill="FFFFFF"/>
        </w:rPr>
        <w:t>0.00</w:t>
      </w:r>
      <w:r>
        <w:rPr>
          <w:rFonts w:ascii="方正仿宋_GBK" w:hAnsi="方正仿宋_GBK" w:eastAsia="方正仿宋_GBK" w:cs="方正仿宋_GBK"/>
          <w:color w:val="auto"/>
          <w:sz w:val="32"/>
          <w:szCs w:val="32"/>
          <w:shd w:val="clear" w:color="auto" w:fill="FFFFFF"/>
        </w:rPr>
        <w:t>万元，</w:t>
      </w:r>
      <w:r>
        <w:rPr>
          <w:rFonts w:hint="default" w:ascii="Times New Roman" w:hAnsi="Times New Roman" w:eastAsia="方正仿宋_GBK"/>
          <w:color w:val="auto"/>
          <w:sz w:val="32"/>
          <w:szCs w:val="32"/>
          <w:shd w:val="clear" w:color="auto" w:fill="FFFFFF"/>
        </w:rPr>
        <w:t>较年初预算数无增减</w:t>
      </w:r>
      <w:r>
        <w:rPr>
          <w:rFonts w:ascii="方正仿宋_GBK" w:hAnsi="方正仿宋_GBK" w:eastAsia="方正仿宋_GBK" w:cs="方正仿宋_GBK"/>
          <w:color w:val="auto"/>
          <w:sz w:val="32"/>
          <w:szCs w:val="32"/>
          <w:shd w:val="clear" w:color="auto" w:fill="FFFFFF"/>
        </w:rPr>
        <w:t>。</w:t>
      </w:r>
      <w:r>
        <w:rPr>
          <w:rFonts w:hint="default" w:ascii="Times New Roman" w:hAnsi="Times New Roman" w:eastAsia="方正仿宋_GBK"/>
          <w:color w:val="auto"/>
          <w:sz w:val="32"/>
          <w:szCs w:val="32"/>
          <w:shd w:val="clear" w:color="auto" w:fill="FFFFFF"/>
        </w:rPr>
        <w:t>较上年支出数减少1.00万元，下降100.0%</w:t>
      </w:r>
      <w:r>
        <w:rPr>
          <w:rFonts w:ascii="方正仿宋_GBK" w:hAnsi="方正仿宋_GBK" w:eastAsia="方正仿宋_GBK" w:cs="方正仿宋_GBK"/>
          <w:color w:val="auto"/>
          <w:sz w:val="32"/>
          <w:szCs w:val="32"/>
          <w:shd w:val="clear" w:color="auto" w:fill="FFFFFF"/>
        </w:rPr>
        <w:t>，主要原因是</w:t>
      </w:r>
      <w:r>
        <w:rPr>
          <w:rFonts w:hint="eastAsia" w:ascii="方正仿宋_GBK" w:hAnsi="方正仿宋_GBK" w:eastAsia="方正仿宋_GBK" w:cs="方正仿宋_GBK"/>
          <w:color w:val="auto"/>
          <w:sz w:val="32"/>
          <w:szCs w:val="32"/>
          <w:shd w:val="clear" w:color="auto" w:fill="FFFFFF"/>
          <w:lang w:eastAsia="zh-CN"/>
        </w:rPr>
        <w:t>本年度“三公”经费纳入本级统筹，本单位无列支。</w:t>
      </w:r>
    </w:p>
    <w:p>
      <w:pPr>
        <w:pStyle w:val="9"/>
        <w:keepNext w:val="0"/>
        <w:keepLines w:val="0"/>
        <w:pageBreakBefore w:val="0"/>
        <w:widowControl/>
        <w:kinsoku/>
        <w:wordWrap/>
        <w:overflowPunct/>
        <w:topLinePunct w:val="0"/>
        <w:autoSpaceDE w:val="0"/>
        <w:autoSpaceDN/>
        <w:bidi w:val="0"/>
        <w:adjustRightInd/>
        <w:snapToGrid/>
        <w:spacing w:line="596" w:lineRule="exact"/>
        <w:ind w:firstLine="643" w:firstLineChars="200"/>
        <w:textAlignment w:val="auto"/>
        <w:rPr>
          <w:rFonts w:ascii="楷体" w:hAnsi="楷体" w:eastAsia="楷体" w:cs="楷体"/>
          <w:b/>
          <w:bCs/>
          <w:color w:val="auto"/>
          <w:sz w:val="32"/>
          <w:szCs w:val="32"/>
          <w:shd w:val="clear" w:color="auto" w:fill="FFFFFF"/>
        </w:rPr>
      </w:pPr>
      <w:r>
        <w:rPr>
          <w:rFonts w:hint="eastAsia" w:ascii="楷体" w:hAnsi="楷体" w:eastAsia="楷体" w:cs="楷体"/>
          <w:b/>
          <w:bCs/>
          <w:color w:val="auto"/>
          <w:sz w:val="32"/>
          <w:szCs w:val="32"/>
          <w:shd w:val="clear" w:color="auto" w:fill="FFFFFF"/>
        </w:rPr>
        <w:t>（二）“三公”经费分项支出情况</w:t>
      </w:r>
    </w:p>
    <w:p>
      <w:pPr>
        <w:pStyle w:val="5"/>
        <w:snapToGrid w:val="0"/>
        <w:spacing w:before="0" w:beforeAutospacing="0" w:after="0" w:afterAutospacing="0" w:line="596" w:lineRule="exact"/>
        <w:ind w:firstLine="640" w:firstLineChars="200"/>
        <w:jc w:val="both"/>
        <w:rPr>
          <w:rFonts w:hint="default" w:ascii="方正仿宋_GBK" w:hAnsi="方正仿宋_GBK" w:eastAsia="方正仿宋_GBK" w:cs="方正仿宋_GBK"/>
          <w:color w:val="auto"/>
          <w:sz w:val="32"/>
          <w:szCs w:val="32"/>
        </w:rPr>
      </w:pPr>
      <w:r>
        <w:rPr>
          <w:rFonts w:hint="default" w:ascii="Times New Roman" w:hAnsi="Times New Roman" w:eastAsia="方正仿宋_GBK"/>
          <w:color w:val="auto"/>
          <w:sz w:val="32"/>
          <w:szCs w:val="32"/>
          <w:shd w:val="clear" w:color="auto" w:fill="FFFFFF"/>
        </w:rPr>
        <w:t>2024</w:t>
      </w:r>
      <w:r>
        <w:rPr>
          <w:rFonts w:ascii="方正仿宋_GBK" w:hAnsi="方正仿宋_GBK" w:eastAsia="方正仿宋_GBK" w:cs="方正仿宋_GBK"/>
          <w:color w:val="auto"/>
          <w:sz w:val="32"/>
          <w:szCs w:val="32"/>
          <w:shd w:val="clear" w:color="auto" w:fill="FFFFFF"/>
        </w:rPr>
        <w:t>年度本</w:t>
      </w:r>
      <w:r>
        <w:rPr>
          <w:rFonts w:hint="eastAsia" w:ascii="方正仿宋_GBK" w:hAnsi="方正仿宋_GBK" w:eastAsia="方正仿宋_GBK" w:cs="方正仿宋_GBK"/>
          <w:color w:val="auto"/>
          <w:sz w:val="32"/>
          <w:szCs w:val="32"/>
          <w:shd w:val="clear" w:color="auto" w:fill="FFFFFF"/>
          <w:lang w:eastAsia="zh-CN"/>
        </w:rPr>
        <w:t>单位未发生</w:t>
      </w:r>
      <w:r>
        <w:rPr>
          <w:rFonts w:ascii="方正仿宋_GBK" w:hAnsi="方正仿宋_GBK" w:eastAsia="方正仿宋_GBK" w:cs="方正仿宋_GBK"/>
          <w:color w:val="auto"/>
          <w:sz w:val="32"/>
          <w:szCs w:val="32"/>
          <w:shd w:val="clear" w:color="auto" w:fill="FFFFFF"/>
        </w:rPr>
        <w:t>因公出国（境）费用</w:t>
      </w:r>
      <w:r>
        <w:rPr>
          <w:rFonts w:hint="eastAsia" w:ascii="方正仿宋_GBK" w:hAnsi="方正仿宋_GBK" w:eastAsia="方正仿宋_GBK" w:cs="方正仿宋_GBK"/>
          <w:color w:val="auto"/>
          <w:sz w:val="32"/>
          <w:szCs w:val="32"/>
          <w:shd w:val="clear" w:color="auto" w:fill="FFFFFF"/>
          <w:lang w:eastAsia="zh-CN"/>
        </w:rPr>
        <w:t>、</w:t>
      </w:r>
      <w:r>
        <w:rPr>
          <w:rFonts w:ascii="方正仿宋_GBK" w:hAnsi="方正仿宋_GBK" w:eastAsia="方正仿宋_GBK" w:cs="方正仿宋_GBK"/>
          <w:color w:val="auto"/>
          <w:sz w:val="32"/>
          <w:szCs w:val="32"/>
          <w:shd w:val="clear" w:color="auto" w:fill="FFFFFF"/>
        </w:rPr>
        <w:t>公务</w:t>
      </w:r>
      <w:r>
        <w:rPr>
          <w:rFonts w:hint="eastAsia" w:ascii="方正仿宋_GBK" w:hAnsi="方正仿宋_GBK" w:eastAsia="方正仿宋_GBK" w:cs="方正仿宋_GBK"/>
          <w:color w:val="auto"/>
          <w:sz w:val="32"/>
          <w:szCs w:val="32"/>
          <w:shd w:val="clear" w:color="auto" w:fill="FFFFFF"/>
          <w:lang w:eastAsia="zh-CN"/>
        </w:rPr>
        <w:t>用</w:t>
      </w:r>
      <w:r>
        <w:rPr>
          <w:rFonts w:ascii="方正仿宋_GBK" w:hAnsi="方正仿宋_GBK" w:eastAsia="方正仿宋_GBK" w:cs="方正仿宋_GBK"/>
          <w:color w:val="auto"/>
          <w:sz w:val="32"/>
          <w:szCs w:val="32"/>
          <w:shd w:val="clear" w:color="auto" w:fill="FFFFFF"/>
        </w:rPr>
        <w:t>车购置费</w:t>
      </w:r>
      <w:r>
        <w:rPr>
          <w:rFonts w:hint="eastAsia" w:ascii="方正仿宋_GBK" w:hAnsi="方正仿宋_GBK" w:eastAsia="方正仿宋_GBK" w:cs="方正仿宋_GBK"/>
          <w:color w:val="auto"/>
          <w:sz w:val="32"/>
          <w:szCs w:val="32"/>
          <w:shd w:val="clear" w:color="auto" w:fill="FFFFFF"/>
          <w:lang w:eastAsia="zh-CN"/>
        </w:rPr>
        <w:t>、</w:t>
      </w:r>
      <w:r>
        <w:rPr>
          <w:rFonts w:ascii="方正仿宋_GBK" w:hAnsi="方正仿宋_GBK" w:eastAsia="方正仿宋_GBK" w:cs="方正仿宋_GBK"/>
          <w:color w:val="auto"/>
          <w:sz w:val="32"/>
          <w:szCs w:val="32"/>
          <w:shd w:val="clear" w:color="auto" w:fill="FFFFFF"/>
        </w:rPr>
        <w:t>公务</w:t>
      </w:r>
      <w:r>
        <w:rPr>
          <w:rFonts w:hint="eastAsia" w:ascii="方正仿宋_GBK" w:hAnsi="方正仿宋_GBK" w:eastAsia="方正仿宋_GBK" w:cs="方正仿宋_GBK"/>
          <w:color w:val="auto"/>
          <w:sz w:val="32"/>
          <w:szCs w:val="32"/>
          <w:shd w:val="clear" w:color="auto" w:fill="FFFFFF"/>
          <w:lang w:eastAsia="zh-CN"/>
        </w:rPr>
        <w:t>用</w:t>
      </w:r>
      <w:r>
        <w:rPr>
          <w:rFonts w:ascii="方正仿宋_GBK" w:hAnsi="方正仿宋_GBK" w:eastAsia="方正仿宋_GBK" w:cs="方正仿宋_GBK"/>
          <w:color w:val="auto"/>
          <w:sz w:val="32"/>
          <w:szCs w:val="32"/>
          <w:shd w:val="clear" w:color="auto" w:fill="FFFFFF"/>
        </w:rPr>
        <w:t>车运行维护费</w:t>
      </w:r>
      <w:r>
        <w:rPr>
          <w:rFonts w:hint="default" w:ascii="Times New Roman" w:hAnsi="Times New Roman" w:eastAsia="方正仿宋_GBK"/>
          <w:color w:val="auto"/>
          <w:sz w:val="32"/>
          <w:szCs w:val="32"/>
          <w:shd w:val="clear" w:color="auto" w:fill="FFFFFF"/>
        </w:rPr>
        <w:t>0.00</w:t>
      </w:r>
      <w:r>
        <w:rPr>
          <w:rFonts w:ascii="方正仿宋_GBK" w:hAnsi="方正仿宋_GBK" w:eastAsia="方正仿宋_GBK" w:cs="方正仿宋_GBK"/>
          <w:color w:val="auto"/>
          <w:sz w:val="32"/>
          <w:szCs w:val="32"/>
          <w:shd w:val="clear" w:color="auto" w:fill="FFFFFF"/>
        </w:rPr>
        <w:t>万元</w:t>
      </w:r>
      <w:r>
        <w:rPr>
          <w:rFonts w:hint="eastAsia" w:ascii="方正仿宋_GBK" w:hAnsi="方正仿宋_GBK" w:eastAsia="方正仿宋_GBK" w:cs="方正仿宋_GBK"/>
          <w:color w:val="auto"/>
          <w:sz w:val="32"/>
          <w:szCs w:val="32"/>
          <w:shd w:val="clear" w:color="auto" w:fill="FFFFFF"/>
          <w:lang w:eastAsia="zh-CN"/>
        </w:rPr>
        <w:t>、</w:t>
      </w:r>
      <w:r>
        <w:rPr>
          <w:rFonts w:ascii="方正仿宋_GBK" w:hAnsi="方正仿宋_GBK" w:eastAsia="方正仿宋_GBK" w:cs="方正仿宋_GBK"/>
          <w:color w:val="auto"/>
          <w:sz w:val="32"/>
          <w:szCs w:val="32"/>
          <w:shd w:val="clear" w:color="auto" w:fill="FFFFFF"/>
        </w:rPr>
        <w:t>公务接待费</w:t>
      </w:r>
      <w:r>
        <w:rPr>
          <w:rFonts w:ascii="方正仿宋_GBK" w:hAnsi="方正仿宋_GBK" w:eastAsia="方正仿宋_GBK" w:cs="方正仿宋_GBK"/>
          <w:color w:val="auto"/>
          <w:sz w:val="32"/>
          <w:szCs w:val="32"/>
          <w:shd w:val="clear" w:color="auto" w:fill="FFFFFF"/>
        </w:rPr>
        <w:t>。</w:t>
      </w:r>
      <w:r>
        <w:rPr>
          <w:rFonts w:hint="default" w:ascii="Times New Roman" w:hAnsi="Times New Roman" w:eastAsia="方正仿宋_GBK"/>
          <w:color w:val="auto"/>
          <w:sz w:val="32"/>
          <w:szCs w:val="32"/>
          <w:shd w:val="clear" w:color="auto" w:fill="FFFFFF"/>
        </w:rPr>
        <w:t>较上年支出数减少1.00万元，下降100.0%</w:t>
      </w:r>
      <w:r>
        <w:rPr>
          <w:rFonts w:ascii="方正仿宋_GBK" w:hAnsi="方正仿宋_GBK" w:eastAsia="方正仿宋_GBK" w:cs="方正仿宋_GBK"/>
          <w:color w:val="auto"/>
          <w:sz w:val="32"/>
          <w:szCs w:val="32"/>
          <w:shd w:val="clear" w:color="auto" w:fill="FFFFFF"/>
        </w:rPr>
        <w:t>，主要原因是</w:t>
      </w:r>
      <w:r>
        <w:rPr>
          <w:rFonts w:hint="eastAsia" w:ascii="方正仿宋_GBK" w:hAnsi="方正仿宋_GBK" w:eastAsia="方正仿宋_GBK" w:cs="方正仿宋_GBK"/>
          <w:color w:val="auto"/>
          <w:sz w:val="32"/>
          <w:szCs w:val="32"/>
          <w:shd w:val="clear" w:color="auto" w:fill="FFFFFF"/>
          <w:lang w:eastAsia="zh-CN"/>
        </w:rPr>
        <w:t>本年度“三公”经费纳入本级统筹，本单位无列支。</w:t>
      </w:r>
    </w:p>
    <w:p>
      <w:pPr>
        <w:pStyle w:val="9"/>
        <w:keepNext w:val="0"/>
        <w:keepLines w:val="0"/>
        <w:pageBreakBefore w:val="0"/>
        <w:widowControl/>
        <w:kinsoku/>
        <w:wordWrap/>
        <w:overflowPunct/>
        <w:topLinePunct w:val="0"/>
        <w:autoSpaceDE w:val="0"/>
        <w:autoSpaceDN/>
        <w:bidi w:val="0"/>
        <w:adjustRightInd/>
        <w:snapToGrid/>
        <w:spacing w:line="596" w:lineRule="exact"/>
        <w:ind w:firstLine="643" w:firstLineChars="200"/>
        <w:textAlignment w:val="auto"/>
        <w:rPr>
          <w:rFonts w:ascii="楷体" w:hAnsi="楷体" w:eastAsia="楷体" w:cs="楷体"/>
          <w:b/>
          <w:bCs/>
          <w:color w:val="auto"/>
          <w:sz w:val="32"/>
          <w:szCs w:val="32"/>
          <w:shd w:val="clear" w:color="auto" w:fill="FFFFFF"/>
        </w:rPr>
      </w:pPr>
      <w:r>
        <w:rPr>
          <w:rFonts w:hint="eastAsia" w:ascii="楷体" w:hAnsi="楷体" w:eastAsia="楷体" w:cs="楷体"/>
          <w:b/>
          <w:bCs/>
          <w:color w:val="auto"/>
          <w:sz w:val="32"/>
          <w:szCs w:val="32"/>
          <w:shd w:val="clear" w:color="auto" w:fill="FFFFFF"/>
        </w:rPr>
        <w:t>（三）“三公”经费实物量情况</w:t>
      </w:r>
    </w:p>
    <w:p>
      <w:pPr>
        <w:pStyle w:val="5"/>
        <w:snapToGrid w:val="0"/>
        <w:spacing w:before="0" w:beforeAutospacing="0" w:after="0" w:afterAutospacing="0" w:line="596" w:lineRule="exact"/>
        <w:ind w:firstLine="640" w:firstLineChars="200"/>
        <w:jc w:val="both"/>
        <w:rPr>
          <w:rFonts w:hint="default" w:ascii="方正仿宋_GBK" w:hAnsi="方正仿宋_GBK" w:eastAsia="方正仿宋_GBK" w:cs="方正仿宋_GBK"/>
          <w:color w:val="auto"/>
          <w:sz w:val="32"/>
          <w:szCs w:val="32"/>
        </w:rPr>
      </w:pPr>
      <w:r>
        <w:rPr>
          <w:rFonts w:hint="default" w:ascii="Times New Roman" w:hAnsi="Times New Roman" w:eastAsia="方正仿宋_GBK"/>
          <w:color w:val="auto"/>
          <w:sz w:val="32"/>
          <w:szCs w:val="32"/>
          <w:shd w:val="clear" w:color="auto" w:fill="FFFFFF"/>
        </w:rPr>
        <w:t>2024</w:t>
      </w:r>
      <w:r>
        <w:rPr>
          <w:rFonts w:ascii="方正仿宋_GBK" w:hAnsi="方正仿宋_GBK" w:eastAsia="方正仿宋_GBK" w:cs="方正仿宋_GBK"/>
          <w:color w:val="auto"/>
          <w:sz w:val="32"/>
          <w:szCs w:val="32"/>
          <w:shd w:val="clear" w:color="auto" w:fill="FFFFFF"/>
        </w:rPr>
        <w:t>年度本</w:t>
      </w:r>
      <w:r>
        <w:rPr>
          <w:rFonts w:hint="eastAsia" w:ascii="方正仿宋_GBK" w:hAnsi="方正仿宋_GBK" w:eastAsia="方正仿宋_GBK" w:cs="方正仿宋_GBK"/>
          <w:color w:val="auto"/>
          <w:sz w:val="32"/>
          <w:szCs w:val="32"/>
          <w:shd w:val="clear" w:color="auto" w:fill="FFFFFF"/>
          <w:lang w:eastAsia="zh-CN"/>
        </w:rPr>
        <w:t>单位</w:t>
      </w:r>
      <w:r>
        <w:rPr>
          <w:rFonts w:ascii="方正仿宋_GBK" w:hAnsi="方正仿宋_GBK" w:eastAsia="方正仿宋_GBK" w:cs="方正仿宋_GBK"/>
          <w:color w:val="auto"/>
          <w:sz w:val="32"/>
          <w:szCs w:val="32"/>
          <w:shd w:val="clear" w:color="auto" w:fill="FFFFFF"/>
        </w:rPr>
        <w:t>因公出国（境）共计</w:t>
      </w:r>
      <w:r>
        <w:rPr>
          <w:rFonts w:hint="default" w:ascii="Times New Roman" w:hAnsi="Times New Roman" w:eastAsia="方正仿宋_GBK"/>
          <w:color w:val="auto"/>
          <w:sz w:val="32"/>
          <w:szCs w:val="32"/>
          <w:shd w:val="clear" w:color="auto" w:fill="FFFFFF"/>
        </w:rPr>
        <w:t>0</w:t>
      </w:r>
      <w:r>
        <w:rPr>
          <w:rFonts w:ascii="方正仿宋_GBK" w:hAnsi="方正仿宋_GBK" w:eastAsia="方正仿宋_GBK" w:cs="方正仿宋_GBK"/>
          <w:color w:val="auto"/>
          <w:sz w:val="32"/>
          <w:szCs w:val="32"/>
          <w:shd w:val="clear" w:color="auto" w:fill="FFFFFF"/>
        </w:rPr>
        <w:t>个团组，</w:t>
      </w:r>
      <w:r>
        <w:rPr>
          <w:rFonts w:hint="default" w:ascii="Times New Roman" w:hAnsi="Times New Roman" w:eastAsia="方正仿宋_GBK"/>
          <w:color w:val="auto"/>
          <w:sz w:val="32"/>
          <w:szCs w:val="32"/>
          <w:shd w:val="clear" w:color="auto" w:fill="FFFFFF"/>
        </w:rPr>
        <w:t>0</w:t>
      </w:r>
      <w:r>
        <w:rPr>
          <w:rFonts w:ascii="方正仿宋_GBK" w:hAnsi="方正仿宋_GBK" w:eastAsia="方正仿宋_GBK" w:cs="方正仿宋_GBK"/>
          <w:color w:val="auto"/>
          <w:sz w:val="32"/>
          <w:szCs w:val="32"/>
          <w:shd w:val="clear" w:color="auto" w:fill="FFFFFF"/>
        </w:rPr>
        <w:t>人；公务用车购置</w:t>
      </w:r>
      <w:r>
        <w:rPr>
          <w:rFonts w:hint="default" w:ascii="Times New Roman" w:hAnsi="Times New Roman" w:eastAsia="方正仿宋_GBK"/>
          <w:color w:val="auto"/>
          <w:sz w:val="32"/>
          <w:szCs w:val="32"/>
          <w:shd w:val="clear" w:color="auto" w:fill="FFFFFF"/>
        </w:rPr>
        <w:t>0</w:t>
      </w:r>
      <w:r>
        <w:rPr>
          <w:rFonts w:ascii="方正仿宋_GBK" w:hAnsi="方正仿宋_GBK" w:eastAsia="方正仿宋_GBK" w:cs="方正仿宋_GBK"/>
          <w:color w:val="auto"/>
          <w:sz w:val="32"/>
          <w:szCs w:val="32"/>
          <w:shd w:val="clear" w:color="auto" w:fill="FFFFFF"/>
        </w:rPr>
        <w:t>辆，公务车保有量为</w:t>
      </w:r>
      <w:r>
        <w:rPr>
          <w:rFonts w:hint="default" w:ascii="Times New Roman" w:hAnsi="Times New Roman" w:eastAsia="方正仿宋_GBK"/>
          <w:color w:val="auto"/>
          <w:sz w:val="32"/>
          <w:szCs w:val="32"/>
          <w:shd w:val="clear" w:color="auto" w:fill="FFFFFF"/>
        </w:rPr>
        <w:t>0</w:t>
      </w:r>
      <w:r>
        <w:rPr>
          <w:rFonts w:ascii="方正仿宋_GBK" w:hAnsi="方正仿宋_GBK" w:eastAsia="方正仿宋_GBK" w:cs="方正仿宋_GBK"/>
          <w:color w:val="auto"/>
          <w:sz w:val="32"/>
          <w:szCs w:val="32"/>
          <w:shd w:val="clear" w:color="auto" w:fill="FFFFFF"/>
        </w:rPr>
        <w:t>辆；国内公务接待</w:t>
      </w:r>
      <w:r>
        <w:rPr>
          <w:rFonts w:hint="default" w:ascii="Times New Roman" w:hAnsi="Times New Roman" w:eastAsia="方正仿宋_GBK"/>
          <w:color w:val="auto"/>
          <w:sz w:val="32"/>
          <w:szCs w:val="32"/>
          <w:shd w:val="clear" w:color="auto" w:fill="FFFFFF"/>
        </w:rPr>
        <w:t>0</w:t>
      </w:r>
      <w:r>
        <w:rPr>
          <w:rFonts w:ascii="方正仿宋_GBK" w:hAnsi="方正仿宋_GBK" w:eastAsia="方正仿宋_GBK" w:cs="方正仿宋_GBK"/>
          <w:color w:val="auto"/>
          <w:sz w:val="32"/>
          <w:szCs w:val="32"/>
          <w:shd w:val="clear" w:color="auto" w:fill="FFFFFF"/>
        </w:rPr>
        <w:t>批次</w:t>
      </w:r>
      <w:r>
        <w:rPr>
          <w:rFonts w:hint="default" w:ascii="Times New Roman" w:hAnsi="Times New Roman" w:eastAsia="方正仿宋_GBK"/>
          <w:color w:val="auto"/>
          <w:sz w:val="32"/>
          <w:szCs w:val="32"/>
          <w:shd w:val="clear" w:color="auto" w:fill="FFFFFF"/>
        </w:rPr>
        <w:t>0</w:t>
      </w:r>
      <w:r>
        <w:rPr>
          <w:rFonts w:ascii="方正仿宋_GBK" w:hAnsi="方正仿宋_GBK" w:eastAsia="方正仿宋_GBK" w:cs="方正仿宋_GBK"/>
          <w:color w:val="auto"/>
          <w:sz w:val="32"/>
          <w:szCs w:val="32"/>
          <w:shd w:val="clear" w:color="auto" w:fill="FFFFFF"/>
        </w:rPr>
        <w:t>人，其中：国内外事接待</w:t>
      </w:r>
      <w:r>
        <w:rPr>
          <w:rFonts w:hint="default" w:ascii="Times New Roman" w:hAnsi="Times New Roman" w:eastAsia="方正仿宋_GBK"/>
          <w:color w:val="auto"/>
          <w:sz w:val="32"/>
          <w:szCs w:val="32"/>
          <w:shd w:val="clear" w:color="auto" w:fill="FFFFFF"/>
        </w:rPr>
        <w:t>0</w:t>
      </w:r>
      <w:r>
        <w:rPr>
          <w:rFonts w:ascii="方正仿宋_GBK" w:hAnsi="方正仿宋_GBK" w:eastAsia="方正仿宋_GBK" w:cs="方正仿宋_GBK"/>
          <w:color w:val="auto"/>
          <w:sz w:val="32"/>
          <w:szCs w:val="32"/>
          <w:shd w:val="clear" w:color="auto" w:fill="FFFFFF"/>
        </w:rPr>
        <w:t>批次，</w:t>
      </w:r>
      <w:r>
        <w:rPr>
          <w:rFonts w:hint="default" w:ascii="Times New Roman" w:hAnsi="Times New Roman" w:eastAsia="方正仿宋_GBK"/>
          <w:color w:val="auto"/>
          <w:sz w:val="32"/>
          <w:szCs w:val="32"/>
          <w:shd w:val="clear" w:color="auto" w:fill="FFFFFF"/>
        </w:rPr>
        <w:t>0</w:t>
      </w:r>
      <w:r>
        <w:rPr>
          <w:rFonts w:ascii="方正仿宋_GBK" w:hAnsi="方正仿宋_GBK" w:eastAsia="方正仿宋_GBK" w:cs="方正仿宋_GBK"/>
          <w:color w:val="auto"/>
          <w:sz w:val="32"/>
          <w:szCs w:val="32"/>
          <w:shd w:val="clear" w:color="auto" w:fill="FFFFFF"/>
        </w:rPr>
        <w:t>人；国（境）外公务接待</w:t>
      </w:r>
      <w:r>
        <w:rPr>
          <w:rFonts w:hint="default" w:ascii="Times New Roman" w:hAnsi="Times New Roman" w:eastAsia="方正仿宋_GBK"/>
          <w:color w:val="auto"/>
          <w:sz w:val="32"/>
          <w:szCs w:val="32"/>
          <w:shd w:val="clear" w:color="auto" w:fill="FFFFFF"/>
        </w:rPr>
        <w:t>0</w:t>
      </w:r>
      <w:r>
        <w:rPr>
          <w:rFonts w:ascii="方正仿宋_GBK" w:hAnsi="方正仿宋_GBK" w:eastAsia="方正仿宋_GBK" w:cs="方正仿宋_GBK"/>
          <w:color w:val="auto"/>
          <w:sz w:val="32"/>
          <w:szCs w:val="32"/>
          <w:shd w:val="clear" w:color="auto" w:fill="FFFFFF"/>
        </w:rPr>
        <w:t>批次，</w:t>
      </w:r>
      <w:r>
        <w:rPr>
          <w:rFonts w:hint="default" w:ascii="Times New Roman" w:hAnsi="Times New Roman" w:eastAsia="方正仿宋_GBK"/>
          <w:color w:val="auto"/>
          <w:sz w:val="32"/>
          <w:szCs w:val="32"/>
          <w:shd w:val="clear" w:color="auto" w:fill="FFFFFF"/>
        </w:rPr>
        <w:t>0</w:t>
      </w:r>
      <w:r>
        <w:rPr>
          <w:rFonts w:ascii="方正仿宋_GBK" w:hAnsi="方正仿宋_GBK" w:eastAsia="方正仿宋_GBK" w:cs="方正仿宋_GBK"/>
          <w:color w:val="auto"/>
          <w:sz w:val="32"/>
          <w:szCs w:val="32"/>
          <w:shd w:val="clear" w:color="auto" w:fill="FFFFFF"/>
        </w:rPr>
        <w:t>人。</w:t>
      </w:r>
      <w:r>
        <w:rPr>
          <w:rFonts w:hint="default" w:ascii="Times New Roman" w:hAnsi="Times New Roman" w:eastAsia="方正仿宋_GBK"/>
          <w:color w:val="auto"/>
          <w:sz w:val="32"/>
          <w:szCs w:val="32"/>
          <w:shd w:val="clear" w:color="auto" w:fill="FFFFFF"/>
        </w:rPr>
        <w:t>2024</w:t>
      </w:r>
      <w:r>
        <w:rPr>
          <w:rFonts w:ascii="方正仿宋_GBK" w:hAnsi="方正仿宋_GBK" w:eastAsia="方正仿宋_GBK" w:cs="方正仿宋_GBK"/>
          <w:color w:val="auto"/>
          <w:sz w:val="32"/>
          <w:szCs w:val="32"/>
          <w:shd w:val="clear" w:color="auto" w:fill="FFFFFF"/>
        </w:rPr>
        <w:t>年本</w:t>
      </w:r>
      <w:r>
        <w:rPr>
          <w:rFonts w:hint="eastAsia" w:ascii="方正仿宋_GBK" w:hAnsi="方正仿宋_GBK" w:eastAsia="方正仿宋_GBK" w:cs="方正仿宋_GBK"/>
          <w:color w:val="auto"/>
          <w:sz w:val="32"/>
          <w:szCs w:val="32"/>
          <w:shd w:val="clear" w:color="auto" w:fill="FFFFFF"/>
          <w:lang w:eastAsia="zh-CN"/>
        </w:rPr>
        <w:t>单位</w:t>
      </w:r>
      <w:r>
        <w:rPr>
          <w:rFonts w:ascii="方正仿宋_GBK" w:hAnsi="方正仿宋_GBK" w:eastAsia="方正仿宋_GBK" w:cs="方正仿宋_GBK"/>
          <w:color w:val="auto"/>
          <w:sz w:val="32"/>
          <w:szCs w:val="32"/>
          <w:shd w:val="clear" w:color="auto" w:fill="FFFFFF"/>
        </w:rPr>
        <w:t>人均接待费</w:t>
      </w:r>
      <w:r>
        <w:rPr>
          <w:rFonts w:hint="default" w:ascii="Times New Roman" w:hAnsi="Times New Roman" w:eastAsia="方正仿宋_GBK"/>
          <w:color w:val="auto"/>
          <w:sz w:val="32"/>
          <w:szCs w:val="32"/>
          <w:shd w:val="clear" w:color="auto" w:fill="FFFFFF"/>
        </w:rPr>
        <w:t>0</w:t>
      </w:r>
      <w:r>
        <w:rPr>
          <w:rFonts w:ascii="方正仿宋_GBK" w:hAnsi="方正仿宋_GBK" w:eastAsia="方正仿宋_GBK" w:cs="方正仿宋_GBK"/>
          <w:color w:val="auto"/>
          <w:sz w:val="32"/>
          <w:szCs w:val="32"/>
          <w:shd w:val="clear" w:color="auto" w:fill="FFFFFF"/>
        </w:rPr>
        <w:t>元，车均购置费</w:t>
      </w:r>
      <w:r>
        <w:rPr>
          <w:rFonts w:hint="default" w:ascii="Times New Roman" w:hAnsi="Times New Roman" w:eastAsia="方正仿宋_GBK"/>
          <w:color w:val="auto"/>
          <w:sz w:val="32"/>
          <w:szCs w:val="32"/>
          <w:shd w:val="clear" w:color="auto" w:fill="FFFFFF"/>
        </w:rPr>
        <w:t>0</w:t>
      </w:r>
      <w:r>
        <w:rPr>
          <w:rFonts w:ascii="方正仿宋_GBK" w:hAnsi="方正仿宋_GBK" w:eastAsia="方正仿宋_GBK" w:cs="方正仿宋_GBK"/>
          <w:color w:val="auto"/>
          <w:sz w:val="32"/>
          <w:szCs w:val="32"/>
          <w:shd w:val="clear" w:color="auto" w:fill="FFFFFF"/>
        </w:rPr>
        <w:t>万元，车均维护费</w:t>
      </w:r>
      <w:r>
        <w:rPr>
          <w:rFonts w:hint="default" w:ascii="Times New Roman" w:hAnsi="Times New Roman" w:eastAsia="方正仿宋_GBK"/>
          <w:color w:val="auto"/>
          <w:sz w:val="32"/>
          <w:szCs w:val="32"/>
          <w:shd w:val="clear" w:color="auto" w:fill="FFFFFF"/>
        </w:rPr>
        <w:t>0</w:t>
      </w:r>
      <w:r>
        <w:rPr>
          <w:rFonts w:ascii="方正仿宋_GBK" w:hAnsi="方正仿宋_GBK" w:eastAsia="方正仿宋_GBK" w:cs="方正仿宋_GBK"/>
          <w:color w:val="auto"/>
          <w:sz w:val="32"/>
          <w:szCs w:val="32"/>
          <w:shd w:val="clear" w:color="auto" w:fill="FFFFFF"/>
        </w:rPr>
        <w:t>万元。</w:t>
      </w:r>
    </w:p>
    <w:p>
      <w:pPr>
        <w:pStyle w:val="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6" w:lineRule="exact"/>
        <w:ind w:firstLine="643" w:firstLineChars="200"/>
        <w:textAlignment w:val="auto"/>
        <w:rPr>
          <w:rStyle w:val="8"/>
          <w:rFonts w:hint="default" w:ascii="黑体" w:hAnsi="黑体" w:eastAsia="黑体" w:cs="黑体"/>
          <w:color w:val="auto"/>
          <w:sz w:val="32"/>
          <w:szCs w:val="32"/>
          <w:shd w:val="clear" w:color="auto" w:fill="FFFFFF"/>
        </w:rPr>
      </w:pPr>
      <w:r>
        <w:rPr>
          <w:rStyle w:val="8"/>
          <w:rFonts w:ascii="黑体" w:hAnsi="黑体" w:eastAsia="黑体" w:cs="黑体"/>
          <w:color w:val="auto"/>
          <w:sz w:val="32"/>
          <w:szCs w:val="32"/>
          <w:shd w:val="clear" w:color="auto" w:fill="FFFFFF"/>
        </w:rPr>
        <w:t>四、其他需要说明的事项</w:t>
      </w:r>
    </w:p>
    <w:p>
      <w:pPr>
        <w:pStyle w:val="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6" w:lineRule="exact"/>
        <w:ind w:firstLine="643" w:firstLineChars="200"/>
        <w:jc w:val="both"/>
        <w:textAlignment w:val="auto"/>
        <w:rPr>
          <w:rFonts w:hint="default" w:ascii="楷体" w:hAnsi="楷体" w:eastAsia="楷体" w:cs="楷体"/>
          <w:b/>
          <w:bCs/>
          <w:color w:val="auto"/>
          <w:sz w:val="32"/>
          <w:szCs w:val="32"/>
          <w:shd w:val="clear" w:color="auto" w:fill="FFFFFF"/>
        </w:rPr>
      </w:pPr>
      <w:r>
        <w:rPr>
          <w:rFonts w:ascii="楷体" w:hAnsi="楷体" w:eastAsia="楷体" w:cs="楷体"/>
          <w:b/>
          <w:bCs/>
          <w:color w:val="auto"/>
          <w:sz w:val="32"/>
          <w:szCs w:val="32"/>
          <w:shd w:val="clear" w:color="auto" w:fill="FFFFFF"/>
        </w:rPr>
        <w:t>（一）财政拨款会议费、培训费和差旅费情况说明</w:t>
      </w:r>
    </w:p>
    <w:p>
      <w:pPr>
        <w:pStyle w:val="5"/>
        <w:snapToGrid w:val="0"/>
        <w:spacing w:before="0" w:beforeAutospacing="0" w:after="0" w:afterAutospacing="0" w:line="596" w:lineRule="exact"/>
        <w:ind w:firstLine="640" w:firstLineChars="200"/>
        <w:jc w:val="both"/>
        <w:rPr>
          <w:rFonts w:hint="default" w:ascii="方正仿宋_GBK" w:hAnsi="方正仿宋_GBK" w:eastAsia="方正仿宋_GBK" w:cs="方正仿宋_GBK"/>
          <w:color w:val="auto"/>
          <w:sz w:val="32"/>
          <w:szCs w:val="32"/>
          <w:highlight w:val="yellow"/>
        </w:rPr>
      </w:pPr>
      <w:r>
        <w:rPr>
          <w:rFonts w:ascii="方正仿宋_GBK" w:hAnsi="方正仿宋_GBK" w:eastAsia="方正仿宋_GBK" w:cs="方正仿宋_GBK"/>
          <w:color w:val="auto"/>
          <w:sz w:val="32"/>
          <w:szCs w:val="32"/>
          <w:shd w:val="clear" w:color="auto" w:fill="FFFFFF"/>
        </w:rPr>
        <w:t>本年度</w:t>
      </w:r>
      <w:r>
        <w:rPr>
          <w:rFonts w:hint="eastAsia" w:ascii="方正仿宋_GBK" w:hAnsi="方正仿宋_GBK" w:eastAsia="方正仿宋_GBK" w:cs="方正仿宋_GBK"/>
          <w:color w:val="auto"/>
          <w:sz w:val="32"/>
          <w:szCs w:val="32"/>
          <w:shd w:val="clear" w:color="auto" w:fill="FFFFFF"/>
          <w:lang w:eastAsia="zh-CN"/>
        </w:rPr>
        <w:t>未发送</w:t>
      </w:r>
      <w:r>
        <w:rPr>
          <w:rFonts w:ascii="方正仿宋_GBK" w:hAnsi="方正仿宋_GBK" w:eastAsia="方正仿宋_GBK" w:cs="方正仿宋_GBK"/>
          <w:color w:val="auto"/>
          <w:sz w:val="32"/>
          <w:szCs w:val="32"/>
          <w:shd w:val="clear" w:color="auto" w:fill="FFFFFF"/>
        </w:rPr>
        <w:t>会议费</w:t>
      </w:r>
      <w:r>
        <w:rPr>
          <w:rFonts w:hint="eastAsia" w:ascii="方正仿宋_GBK" w:hAnsi="方正仿宋_GBK" w:eastAsia="方正仿宋_GBK" w:cs="方正仿宋_GBK"/>
          <w:color w:val="auto"/>
          <w:sz w:val="32"/>
          <w:szCs w:val="32"/>
          <w:shd w:val="clear" w:color="auto" w:fill="FFFFFF"/>
          <w:lang w:eastAsia="zh-CN"/>
        </w:rPr>
        <w:t>及</w:t>
      </w:r>
      <w:r>
        <w:rPr>
          <w:rFonts w:ascii="方正仿宋_GBK" w:hAnsi="方正仿宋_GBK" w:eastAsia="方正仿宋_GBK" w:cs="方正仿宋_GBK"/>
          <w:color w:val="auto"/>
          <w:sz w:val="32"/>
          <w:szCs w:val="32"/>
          <w:shd w:val="clear" w:color="auto" w:fill="FFFFFF"/>
        </w:rPr>
        <w:t>培训费支出</w:t>
      </w:r>
      <w:r>
        <w:rPr>
          <w:rFonts w:ascii="方正仿宋_GBK" w:hAnsi="方正仿宋_GBK" w:eastAsia="方正仿宋_GBK" w:cs="方正仿宋_GBK"/>
          <w:color w:val="auto"/>
          <w:sz w:val="32"/>
          <w:szCs w:val="32"/>
          <w:shd w:val="clear" w:color="auto" w:fill="FFFFFF"/>
        </w:rPr>
        <w:t>。</w:t>
      </w:r>
      <w:r>
        <w:rPr>
          <w:rFonts w:ascii="方正仿宋_GBK" w:hAnsi="方正仿宋_GBK" w:eastAsia="方正仿宋_GBK" w:cs="方正仿宋_GBK"/>
          <w:color w:val="auto"/>
          <w:sz w:val="32"/>
          <w:szCs w:val="32"/>
          <w:shd w:val="clear" w:color="auto" w:fill="FFFFFF"/>
        </w:rPr>
        <w:t>本年度差旅费支出</w:t>
      </w:r>
      <w:r>
        <w:rPr>
          <w:rFonts w:hint="default" w:ascii="Times New Roman" w:hAnsi="Times New Roman" w:eastAsia="方正仿宋_GBK"/>
          <w:color w:val="auto"/>
          <w:sz w:val="32"/>
          <w:szCs w:val="32"/>
          <w:shd w:val="clear" w:color="auto" w:fill="FFFFFF"/>
        </w:rPr>
        <w:t>7.20</w:t>
      </w:r>
      <w:r>
        <w:rPr>
          <w:rFonts w:ascii="方正仿宋_GBK" w:hAnsi="方正仿宋_GBK" w:eastAsia="方正仿宋_GBK" w:cs="方正仿宋_GBK"/>
          <w:color w:val="auto"/>
          <w:sz w:val="32"/>
          <w:szCs w:val="32"/>
        </w:rPr>
        <w:t>万元，</w:t>
      </w:r>
      <w:r>
        <w:rPr>
          <w:rFonts w:hint="default" w:ascii="Times New Roman" w:hAnsi="Times New Roman" w:eastAsia="方正仿宋_GBK"/>
          <w:color w:val="auto"/>
          <w:sz w:val="32"/>
          <w:szCs w:val="32"/>
          <w:shd w:val="clear" w:color="auto" w:fill="FFFFFF"/>
        </w:rPr>
        <w:t>与2023年度相比，减少0.58万元，下降7.5%</w:t>
      </w:r>
      <w:r>
        <w:rPr>
          <w:rFonts w:ascii="方正仿宋_GBK" w:hAnsi="方正仿宋_GBK" w:eastAsia="方正仿宋_GBK" w:cs="方正仿宋_GBK"/>
          <w:color w:val="auto"/>
          <w:sz w:val="32"/>
          <w:szCs w:val="32"/>
          <w:shd w:val="clear" w:color="auto" w:fill="FFFFFF"/>
        </w:rPr>
        <w:t>，主要原因是</w:t>
      </w:r>
      <w:r>
        <w:rPr>
          <w:rFonts w:hint="eastAsia" w:ascii="方正仿宋_GBK" w:hAnsi="方正仿宋_GBK" w:eastAsia="方正仿宋_GBK" w:cs="方正仿宋_GBK"/>
          <w:color w:val="auto"/>
          <w:sz w:val="32"/>
          <w:szCs w:val="32"/>
          <w:shd w:val="clear" w:color="auto" w:fill="FFFFFF"/>
          <w:lang w:eastAsia="zh-CN"/>
        </w:rPr>
        <w:t>厉行节约，压缩差旅成本。</w:t>
      </w:r>
    </w:p>
    <w:p>
      <w:pPr>
        <w:pStyle w:val="9"/>
        <w:keepNext w:val="0"/>
        <w:keepLines w:val="0"/>
        <w:pageBreakBefore w:val="0"/>
        <w:widowControl/>
        <w:kinsoku/>
        <w:wordWrap/>
        <w:overflowPunct/>
        <w:topLinePunct w:val="0"/>
        <w:autoSpaceDE w:val="0"/>
        <w:autoSpaceDN/>
        <w:bidi w:val="0"/>
        <w:adjustRightInd/>
        <w:snapToGrid/>
        <w:spacing w:line="596" w:lineRule="exact"/>
        <w:ind w:firstLine="643" w:firstLineChars="200"/>
        <w:textAlignment w:val="auto"/>
        <w:rPr>
          <w:rFonts w:ascii="楷体" w:hAnsi="楷体" w:eastAsia="楷体" w:cs="楷体"/>
          <w:b/>
          <w:bCs/>
          <w:color w:val="auto"/>
          <w:sz w:val="32"/>
          <w:szCs w:val="32"/>
          <w:shd w:val="clear" w:color="auto" w:fill="FFFFFF"/>
        </w:rPr>
      </w:pPr>
      <w:r>
        <w:rPr>
          <w:rFonts w:hint="eastAsia" w:ascii="楷体" w:hAnsi="楷体" w:eastAsia="楷体" w:cs="楷体"/>
          <w:b/>
          <w:bCs/>
          <w:color w:val="auto"/>
          <w:sz w:val="32"/>
          <w:szCs w:val="32"/>
          <w:shd w:val="clear" w:color="auto" w:fill="FFFFFF"/>
        </w:rPr>
        <w:t>（二）机关运行经费情况说明</w:t>
      </w:r>
    </w:p>
    <w:p>
      <w:pPr>
        <w:pStyle w:val="5"/>
        <w:snapToGrid w:val="0"/>
        <w:spacing w:before="0" w:beforeAutospacing="0" w:after="0" w:afterAutospacing="0" w:line="596" w:lineRule="exact"/>
        <w:ind w:firstLine="640" w:firstLineChars="200"/>
        <w:jc w:val="both"/>
        <w:rPr>
          <w:rFonts w:hint="default" w:ascii="方正仿宋_GBK" w:hAnsi="方正仿宋_GBK" w:eastAsia="方正仿宋_GBK" w:cs="方正仿宋_GBK"/>
          <w:color w:val="auto"/>
          <w:sz w:val="32"/>
          <w:szCs w:val="32"/>
          <w:shd w:val="clear" w:color="auto" w:fill="FFFFFF"/>
          <w:lang w:eastAsia="zh-CN"/>
        </w:rPr>
      </w:pPr>
      <w:r>
        <w:rPr>
          <w:rFonts w:hint="default" w:ascii="方正仿宋_GBK" w:hAnsi="方正仿宋_GBK" w:eastAsia="方正仿宋_GBK" w:cs="方正仿宋_GBK"/>
          <w:color w:val="auto"/>
          <w:sz w:val="32"/>
          <w:szCs w:val="32"/>
          <w:shd w:val="clear" w:color="auto" w:fill="FFFFFF"/>
          <w:lang w:eastAsia="zh-CN"/>
        </w:rPr>
        <w:t>按照部门决算列报口径，我</w:t>
      </w:r>
      <w:r>
        <w:rPr>
          <w:rFonts w:hint="eastAsia" w:ascii="方正仿宋_GBK" w:hAnsi="方正仿宋_GBK" w:eastAsia="方正仿宋_GBK" w:cs="方正仿宋_GBK"/>
          <w:color w:val="auto"/>
          <w:sz w:val="32"/>
          <w:szCs w:val="32"/>
          <w:shd w:val="clear" w:color="auto" w:fill="FFFFFF"/>
          <w:lang w:eastAsia="zh-CN"/>
        </w:rPr>
        <w:t>单位</w:t>
      </w:r>
      <w:r>
        <w:rPr>
          <w:rFonts w:hint="default" w:ascii="方正仿宋_GBK" w:hAnsi="方正仿宋_GBK" w:eastAsia="方正仿宋_GBK" w:cs="方正仿宋_GBK"/>
          <w:color w:val="auto"/>
          <w:sz w:val="32"/>
          <w:szCs w:val="32"/>
          <w:shd w:val="clear" w:color="auto" w:fill="FFFFFF"/>
          <w:lang w:eastAsia="zh-CN"/>
        </w:rPr>
        <w:t>不在机关运行经费统计范围之内。</w:t>
      </w:r>
    </w:p>
    <w:p>
      <w:pPr>
        <w:pStyle w:val="9"/>
        <w:keepNext w:val="0"/>
        <w:keepLines w:val="0"/>
        <w:pageBreakBefore w:val="0"/>
        <w:widowControl/>
        <w:kinsoku/>
        <w:wordWrap/>
        <w:overflowPunct/>
        <w:topLinePunct w:val="0"/>
        <w:autoSpaceDE w:val="0"/>
        <w:autoSpaceDN/>
        <w:bidi w:val="0"/>
        <w:adjustRightInd/>
        <w:snapToGrid/>
        <w:spacing w:line="596" w:lineRule="exact"/>
        <w:ind w:firstLine="643" w:firstLineChars="200"/>
        <w:textAlignment w:val="auto"/>
        <w:rPr>
          <w:rFonts w:ascii="楷体" w:hAnsi="楷体" w:eastAsia="楷体" w:cs="楷体"/>
          <w:b/>
          <w:bCs/>
          <w:color w:val="auto"/>
          <w:sz w:val="32"/>
          <w:szCs w:val="32"/>
          <w:shd w:val="clear" w:color="auto" w:fill="FFFFFF"/>
        </w:rPr>
      </w:pPr>
      <w:r>
        <w:rPr>
          <w:rFonts w:hint="eastAsia" w:ascii="楷体" w:hAnsi="楷体" w:eastAsia="楷体" w:cs="楷体"/>
          <w:b/>
          <w:bCs/>
          <w:color w:val="auto"/>
          <w:sz w:val="32"/>
          <w:szCs w:val="32"/>
          <w:shd w:val="clear" w:color="auto" w:fill="FFFFFF"/>
        </w:rPr>
        <w:t>（三）国有资产占用情况说明</w:t>
      </w:r>
    </w:p>
    <w:p>
      <w:pPr>
        <w:pStyle w:val="5"/>
        <w:snapToGrid w:val="0"/>
        <w:spacing w:before="0" w:beforeAutospacing="0" w:after="0" w:afterAutospacing="0" w:line="596" w:lineRule="exact"/>
        <w:ind w:firstLine="640" w:firstLineChars="200"/>
        <w:jc w:val="both"/>
        <w:rPr>
          <w:rFonts w:hint="default" w:ascii="方正仿宋_GBK" w:hAnsi="方正仿宋_GBK" w:eastAsia="方正仿宋_GBK" w:cs="方正仿宋_GBK"/>
          <w:color w:val="auto"/>
          <w:sz w:val="32"/>
          <w:szCs w:val="32"/>
          <w:shd w:val="clear" w:color="auto" w:fill="FFFFFF"/>
        </w:rPr>
      </w:pPr>
      <w:r>
        <w:rPr>
          <w:rFonts w:hint="eastAsia" w:ascii="方正仿宋_GBK" w:hAnsi="方正仿宋_GBK" w:eastAsia="方正仿宋_GBK" w:cs="方正仿宋_GBK"/>
          <w:color w:val="auto"/>
          <w:sz w:val="32"/>
          <w:szCs w:val="32"/>
          <w:shd w:val="clear" w:color="auto" w:fill="FFFFFF"/>
          <w:lang w:eastAsia="zh-CN"/>
        </w:rPr>
        <w:t>因本单位属发改委下属事业单位，资产由本级统筹使用</w:t>
      </w:r>
      <w:r>
        <w:rPr>
          <w:rFonts w:hint="default" w:ascii="方正仿宋_GBK" w:hAnsi="方正仿宋_GBK" w:eastAsia="方正仿宋_GBK" w:cs="方正仿宋_GBK"/>
          <w:color w:val="auto"/>
          <w:sz w:val="32"/>
          <w:szCs w:val="32"/>
          <w:shd w:val="clear" w:color="auto" w:fill="FFFFFF"/>
        </w:rPr>
        <w:t>，</w:t>
      </w:r>
      <w:r>
        <w:rPr>
          <w:rFonts w:hint="eastAsia" w:ascii="方正仿宋_GBK" w:hAnsi="方正仿宋_GBK" w:eastAsia="方正仿宋_GBK" w:cs="方正仿宋_GBK"/>
          <w:color w:val="auto"/>
          <w:sz w:val="32"/>
          <w:szCs w:val="32"/>
          <w:shd w:val="clear" w:color="auto" w:fill="FFFFFF"/>
          <w:lang w:eastAsia="zh-CN"/>
        </w:rPr>
        <w:t>故我单位不存在资产占有情况</w:t>
      </w:r>
      <w:r>
        <w:rPr>
          <w:rFonts w:hint="default" w:ascii="方正仿宋_GBK" w:hAnsi="方正仿宋_GBK" w:eastAsia="方正仿宋_GBK" w:cs="方正仿宋_GBK"/>
          <w:color w:val="auto"/>
          <w:sz w:val="32"/>
          <w:szCs w:val="32"/>
          <w:shd w:val="clear" w:color="auto" w:fill="FFFFFF"/>
        </w:rPr>
        <w:t>。</w:t>
      </w:r>
    </w:p>
    <w:p>
      <w:pPr>
        <w:pStyle w:val="9"/>
        <w:keepNext w:val="0"/>
        <w:keepLines w:val="0"/>
        <w:pageBreakBefore w:val="0"/>
        <w:widowControl/>
        <w:kinsoku/>
        <w:wordWrap/>
        <w:overflowPunct/>
        <w:topLinePunct w:val="0"/>
        <w:autoSpaceDE w:val="0"/>
        <w:autoSpaceDN/>
        <w:bidi w:val="0"/>
        <w:adjustRightInd/>
        <w:snapToGrid/>
        <w:spacing w:line="596" w:lineRule="exact"/>
        <w:ind w:firstLine="643" w:firstLineChars="200"/>
        <w:textAlignment w:val="auto"/>
        <w:rPr>
          <w:rFonts w:ascii="楷体" w:hAnsi="楷体" w:eastAsia="楷体" w:cs="楷体"/>
          <w:b/>
          <w:bCs/>
          <w:color w:val="auto"/>
          <w:sz w:val="32"/>
          <w:szCs w:val="32"/>
          <w:shd w:val="clear" w:color="auto" w:fill="FFFFFF"/>
        </w:rPr>
      </w:pPr>
      <w:r>
        <w:rPr>
          <w:rFonts w:hint="eastAsia" w:ascii="楷体" w:hAnsi="楷体" w:eastAsia="楷体" w:cs="楷体"/>
          <w:b/>
          <w:bCs/>
          <w:color w:val="auto"/>
          <w:sz w:val="32"/>
          <w:szCs w:val="32"/>
          <w:shd w:val="clear" w:color="auto" w:fill="FFFFFF"/>
        </w:rPr>
        <w:t>（四）政府采购支出情况说明</w:t>
      </w:r>
    </w:p>
    <w:p>
      <w:pPr>
        <w:pStyle w:val="5"/>
        <w:snapToGrid w:val="0"/>
        <w:spacing w:before="0" w:beforeAutospacing="0" w:after="0" w:afterAutospacing="0" w:line="596" w:lineRule="exact"/>
        <w:ind w:firstLine="640" w:firstLineChars="200"/>
        <w:jc w:val="both"/>
        <w:rPr>
          <w:rFonts w:hint="eastAsia" w:ascii="方正仿宋_GBK" w:hAnsi="方正仿宋_GBK" w:eastAsia="方正仿宋_GBK" w:cs="方正仿宋_GBK"/>
          <w:color w:val="auto"/>
          <w:sz w:val="32"/>
          <w:szCs w:val="32"/>
          <w:shd w:val="clear" w:color="auto" w:fill="FFFFFF"/>
          <w:lang w:eastAsia="zh-CN"/>
        </w:rPr>
      </w:pPr>
      <w:r>
        <w:rPr>
          <w:rFonts w:hint="eastAsia" w:ascii="方正仿宋_GBK" w:hAnsi="方正仿宋_GBK" w:eastAsia="方正仿宋_GBK" w:cs="方正仿宋_GBK"/>
          <w:color w:val="auto"/>
          <w:sz w:val="32"/>
          <w:szCs w:val="32"/>
          <w:shd w:val="clear" w:color="auto" w:fill="FFFFFF"/>
          <w:lang w:eastAsia="zh-CN"/>
        </w:rPr>
        <w:t>2024年度我单位未发生政府采购事项，无相关经费支出。</w:t>
      </w:r>
    </w:p>
    <w:p>
      <w:pPr>
        <w:pStyle w:val="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6" w:lineRule="exact"/>
        <w:ind w:firstLine="643" w:firstLineChars="200"/>
        <w:textAlignment w:val="auto"/>
        <w:rPr>
          <w:rStyle w:val="8"/>
          <w:rFonts w:hint="eastAsia" w:ascii="黑体" w:hAnsi="黑体" w:eastAsia="黑体" w:cs="黑体"/>
          <w:color w:val="auto"/>
          <w:sz w:val="32"/>
          <w:szCs w:val="32"/>
          <w:shd w:val="clear" w:color="auto" w:fill="FFFFFF"/>
          <w:lang w:val="en-US" w:eastAsia="zh-CN"/>
        </w:rPr>
      </w:pPr>
      <w:r>
        <w:rPr>
          <w:rStyle w:val="8"/>
          <w:rFonts w:hint="eastAsia" w:ascii="黑体" w:hAnsi="黑体" w:eastAsia="黑体" w:cs="黑体"/>
          <w:color w:val="auto"/>
          <w:sz w:val="32"/>
          <w:szCs w:val="32"/>
          <w:shd w:val="clear" w:color="auto" w:fill="FFFFFF"/>
          <w:lang w:val="en-US" w:eastAsia="zh-CN"/>
        </w:rPr>
        <w:t>五、预算绩效管理情况说明</w:t>
      </w:r>
    </w:p>
    <w:p>
      <w:pPr>
        <w:pStyle w:val="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6" w:lineRule="exact"/>
        <w:ind w:firstLine="643" w:firstLineChars="200"/>
        <w:jc w:val="both"/>
        <w:textAlignment w:val="auto"/>
        <w:rPr>
          <w:rFonts w:hint="eastAsia" w:ascii="楷体" w:hAnsi="楷体" w:eastAsia="楷体" w:cs="楷体"/>
          <w:b/>
          <w:bCs/>
          <w:color w:val="auto"/>
          <w:sz w:val="32"/>
          <w:szCs w:val="32"/>
          <w:shd w:val="clear" w:color="auto" w:fill="FFFFFF"/>
          <w:lang w:val="en-US" w:eastAsia="zh-CN"/>
        </w:rPr>
      </w:pPr>
      <w:r>
        <w:rPr>
          <w:rFonts w:hint="eastAsia" w:ascii="楷体" w:hAnsi="楷体" w:eastAsia="楷体" w:cs="楷体"/>
          <w:b/>
          <w:bCs/>
          <w:color w:val="auto"/>
          <w:sz w:val="32"/>
          <w:szCs w:val="32"/>
          <w:shd w:val="clear" w:color="auto" w:fill="FFFFFF"/>
          <w:lang w:val="en-US" w:eastAsia="zh-CN"/>
        </w:rPr>
        <w:t>（一）单位自评情况</w:t>
      </w:r>
    </w:p>
    <w:p>
      <w:pPr>
        <w:pStyle w:val="5"/>
        <w:snapToGrid w:val="0"/>
        <w:spacing w:before="0" w:beforeAutospacing="0" w:after="0" w:afterAutospacing="0" w:line="596" w:lineRule="exact"/>
        <w:ind w:firstLine="640" w:firstLineChars="200"/>
        <w:jc w:val="both"/>
        <w:rPr>
          <w:rFonts w:hint="eastAsia" w:ascii="方正仿宋_GBK" w:hAnsi="方正仿宋_GBK" w:eastAsia="方正仿宋_GBK" w:cs="方正仿宋_GBK"/>
          <w:color w:val="auto"/>
          <w:sz w:val="32"/>
          <w:szCs w:val="32"/>
          <w:shd w:val="clear" w:color="auto" w:fill="FFFFFF"/>
          <w:lang w:val="en-US" w:eastAsia="zh-CN"/>
        </w:rPr>
      </w:pPr>
      <w:r>
        <w:rPr>
          <w:rFonts w:hint="eastAsia" w:ascii="方正仿宋_GBK" w:hAnsi="方正仿宋_GBK" w:eastAsia="方正仿宋_GBK" w:cs="方正仿宋_GBK"/>
          <w:color w:val="auto"/>
          <w:sz w:val="32"/>
          <w:szCs w:val="32"/>
          <w:shd w:val="clear" w:color="auto" w:fill="FFFFFF"/>
          <w:lang w:val="en-US" w:eastAsia="zh-CN"/>
        </w:rPr>
        <w:t>本单位为发改委下属二级预算单位，预算绩效管理工作由发改委机关开展，我中心涉及项目支出资金0万元。</w:t>
      </w:r>
    </w:p>
    <w:p>
      <w:pPr>
        <w:pStyle w:val="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6" w:lineRule="exact"/>
        <w:ind w:firstLine="643" w:firstLineChars="200"/>
        <w:jc w:val="both"/>
        <w:textAlignment w:val="auto"/>
        <w:rPr>
          <w:rFonts w:hint="eastAsia" w:ascii="楷体" w:hAnsi="楷体" w:eastAsia="楷体" w:cs="楷体"/>
          <w:b/>
          <w:bCs/>
          <w:color w:val="auto"/>
          <w:sz w:val="32"/>
          <w:szCs w:val="32"/>
          <w:shd w:val="clear" w:color="auto" w:fill="FFFFFF"/>
          <w:lang w:val="en-US" w:eastAsia="zh-CN"/>
        </w:rPr>
      </w:pPr>
      <w:r>
        <w:rPr>
          <w:rFonts w:hint="eastAsia" w:ascii="楷体" w:hAnsi="楷体" w:eastAsia="楷体" w:cs="楷体"/>
          <w:b/>
          <w:bCs/>
          <w:color w:val="auto"/>
          <w:sz w:val="32"/>
          <w:szCs w:val="32"/>
          <w:shd w:val="clear" w:color="auto" w:fill="FFFFFF"/>
          <w:lang w:val="en-US" w:eastAsia="zh-CN"/>
        </w:rPr>
        <w:t>（二）单位绩效评价情况</w:t>
      </w:r>
    </w:p>
    <w:p>
      <w:pPr>
        <w:pStyle w:val="5"/>
        <w:snapToGrid w:val="0"/>
        <w:spacing w:before="0" w:beforeAutospacing="0" w:after="0" w:afterAutospacing="0" w:line="596" w:lineRule="exact"/>
        <w:ind w:firstLine="640" w:firstLineChars="200"/>
        <w:jc w:val="both"/>
        <w:rPr>
          <w:rFonts w:hint="eastAsia" w:ascii="方正仿宋_GBK" w:hAnsi="方正仿宋_GBK" w:eastAsia="方正仿宋_GBK" w:cs="方正仿宋_GBK"/>
          <w:color w:val="auto"/>
          <w:sz w:val="32"/>
          <w:szCs w:val="32"/>
          <w:shd w:val="clear" w:color="auto" w:fill="FFFFFF"/>
          <w:lang w:val="en-US" w:eastAsia="zh-CN"/>
        </w:rPr>
      </w:pPr>
      <w:r>
        <w:rPr>
          <w:rFonts w:hint="eastAsia" w:ascii="方正仿宋_GBK" w:hAnsi="方正仿宋_GBK" w:eastAsia="方正仿宋_GBK" w:cs="方正仿宋_GBK"/>
          <w:color w:val="auto"/>
          <w:sz w:val="32"/>
          <w:szCs w:val="32"/>
          <w:shd w:val="clear" w:color="auto" w:fill="FFFFFF"/>
          <w:lang w:val="en-US" w:eastAsia="zh-CN"/>
        </w:rPr>
        <w:t>我单位未组织开展绩效评价。</w:t>
      </w:r>
    </w:p>
    <w:p>
      <w:pPr>
        <w:pStyle w:val="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6" w:lineRule="exact"/>
        <w:ind w:firstLine="643" w:firstLineChars="200"/>
        <w:jc w:val="both"/>
        <w:textAlignment w:val="auto"/>
        <w:rPr>
          <w:rFonts w:hint="eastAsia" w:ascii="楷体" w:hAnsi="楷体" w:eastAsia="楷体" w:cs="楷体"/>
          <w:b/>
          <w:bCs/>
          <w:color w:val="auto"/>
          <w:sz w:val="32"/>
          <w:szCs w:val="32"/>
          <w:shd w:val="clear" w:color="auto" w:fill="FFFFFF"/>
          <w:lang w:val="en-US" w:eastAsia="zh-CN"/>
        </w:rPr>
      </w:pPr>
      <w:r>
        <w:rPr>
          <w:rFonts w:hint="eastAsia" w:ascii="楷体" w:hAnsi="楷体" w:eastAsia="楷体" w:cs="楷体"/>
          <w:b/>
          <w:bCs/>
          <w:color w:val="auto"/>
          <w:sz w:val="32"/>
          <w:szCs w:val="32"/>
          <w:shd w:val="clear" w:color="auto" w:fill="FFFFFF"/>
          <w:lang w:val="en-US" w:eastAsia="zh-CN"/>
        </w:rPr>
        <w:t>（三）财政绩效评价情况</w:t>
      </w:r>
    </w:p>
    <w:p>
      <w:pPr>
        <w:pStyle w:val="5"/>
        <w:keepNext w:val="0"/>
        <w:keepLines w:val="0"/>
        <w:pageBreakBefore w:val="0"/>
        <w:widowControl/>
        <w:kinsoku/>
        <w:wordWrap/>
        <w:overflowPunct/>
        <w:topLinePunct w:val="0"/>
        <w:autoSpaceDN/>
        <w:bidi w:val="0"/>
        <w:adjustRightInd/>
        <w:snapToGrid w:val="0"/>
        <w:spacing w:before="0" w:beforeAutospacing="0" w:after="0" w:afterAutospacing="0" w:line="596" w:lineRule="exact"/>
        <w:ind w:firstLine="640" w:firstLineChars="200"/>
        <w:jc w:val="both"/>
        <w:textAlignment w:val="auto"/>
        <w:rPr>
          <w:rFonts w:hint="eastAsia" w:ascii="方正仿宋_GBK" w:hAnsi="方正仿宋_GBK" w:eastAsia="方正仿宋_GBK" w:cs="方正仿宋_GBK"/>
          <w:color w:val="auto"/>
          <w:sz w:val="32"/>
          <w:szCs w:val="32"/>
          <w:shd w:val="clear" w:color="auto" w:fill="FFFFFF"/>
          <w:lang w:val="en-US" w:eastAsia="zh-CN"/>
        </w:rPr>
      </w:pPr>
      <w:r>
        <w:rPr>
          <w:rFonts w:hint="eastAsia" w:ascii="方正仿宋_GBK" w:hAnsi="方正仿宋_GBK" w:eastAsia="方正仿宋_GBK" w:cs="方正仿宋_GBK"/>
          <w:color w:val="auto"/>
          <w:sz w:val="32"/>
          <w:szCs w:val="32"/>
          <w:shd w:val="clear" w:color="auto" w:fill="FFFFFF"/>
          <w:lang w:val="en-US" w:eastAsia="zh-CN"/>
        </w:rPr>
        <w:t>市财政局未委托第三方对我单位开展绩效评。</w:t>
      </w:r>
    </w:p>
    <w:p>
      <w:pPr>
        <w:pStyle w:val="5"/>
        <w:shd w:val="clear" w:color="auto" w:fill="FFFFFF"/>
        <w:spacing w:before="0" w:beforeAutospacing="0" w:after="0" w:afterAutospacing="0"/>
        <w:ind w:firstLine="643" w:firstLineChars="200"/>
        <w:rPr>
          <w:rStyle w:val="8"/>
          <w:rFonts w:hint="default" w:ascii="方正仿宋_GBK" w:hAnsi="方正仿宋_GBK" w:eastAsia="方正仿宋_GBK" w:cs="方正仿宋_GBK"/>
          <w:color w:val="auto"/>
          <w:sz w:val="32"/>
          <w:szCs w:val="32"/>
          <w:shd w:val="clear" w:color="auto" w:fill="FFFFFF"/>
        </w:rPr>
      </w:pPr>
      <w:r>
        <w:rPr>
          <w:rStyle w:val="8"/>
          <w:rFonts w:ascii="黑体" w:hAnsi="黑体" w:eastAsia="黑体" w:cs="黑体"/>
          <w:color w:val="auto"/>
          <w:sz w:val="32"/>
          <w:szCs w:val="32"/>
          <w:shd w:val="clear" w:color="auto" w:fill="FFFFFF"/>
        </w:rPr>
        <w:t>六、专业名词解释</w:t>
      </w:r>
    </w:p>
    <w:p>
      <w:pPr>
        <w:pStyle w:val="5"/>
        <w:snapToGrid w:val="0"/>
        <w:spacing w:before="0" w:beforeAutospacing="0" w:after="0" w:afterAutospacing="0" w:line="600" w:lineRule="exact"/>
        <w:ind w:firstLine="643" w:firstLineChars="200"/>
        <w:jc w:val="both"/>
        <w:rPr>
          <w:rFonts w:hint="default" w:ascii="方正仿宋_GBK" w:hAnsi="方正仿宋_GBK" w:eastAsia="方正仿宋_GBK" w:cs="方正仿宋_GBK"/>
          <w:color w:val="auto"/>
          <w:sz w:val="32"/>
          <w:szCs w:val="32"/>
        </w:rPr>
      </w:pPr>
      <w:r>
        <w:rPr>
          <w:rFonts w:ascii="楷体" w:hAnsi="楷体" w:eastAsia="楷体" w:cs="楷体"/>
          <w:b/>
          <w:bCs/>
          <w:color w:val="auto"/>
          <w:sz w:val="32"/>
          <w:szCs w:val="32"/>
          <w:shd w:val="clear" w:color="auto" w:fill="FFFFFF"/>
        </w:rPr>
        <w:t>（一）财政拨款收入：</w:t>
      </w:r>
      <w:r>
        <w:rPr>
          <w:rFonts w:ascii="方正仿宋_GBK" w:hAnsi="方正仿宋_GBK" w:eastAsia="方正仿宋_GBK" w:cs="方正仿宋_GBK"/>
          <w:color w:val="auto"/>
          <w:sz w:val="32"/>
          <w:szCs w:val="32"/>
          <w:shd w:val="clear" w:color="auto" w:fill="FFFFFF"/>
        </w:rPr>
        <w:t>指本年度从本级财政部门取得的财政拨款，包括一般公共预算财政拨款和政府性基金预算财政拨款。</w:t>
      </w:r>
    </w:p>
    <w:p>
      <w:pPr>
        <w:pStyle w:val="5"/>
        <w:snapToGrid w:val="0"/>
        <w:spacing w:before="0" w:beforeAutospacing="0" w:after="0" w:afterAutospacing="0" w:line="600" w:lineRule="exact"/>
        <w:ind w:firstLine="643" w:firstLineChars="200"/>
        <w:jc w:val="both"/>
        <w:rPr>
          <w:rFonts w:hint="default" w:ascii="方正仿宋_GBK" w:hAnsi="方正仿宋_GBK" w:eastAsia="方正仿宋_GBK" w:cs="方正仿宋_GBK"/>
          <w:color w:val="auto"/>
          <w:sz w:val="32"/>
          <w:szCs w:val="32"/>
        </w:rPr>
      </w:pPr>
      <w:r>
        <w:rPr>
          <w:rStyle w:val="8"/>
          <w:rFonts w:ascii="楷体" w:hAnsi="楷体" w:eastAsia="楷体" w:cs="楷体"/>
          <w:color w:val="auto"/>
          <w:sz w:val="32"/>
          <w:szCs w:val="32"/>
          <w:shd w:val="clear" w:color="auto" w:fill="FFFFFF"/>
        </w:rPr>
        <w:t>（二）事业收入</w:t>
      </w:r>
      <w:r>
        <w:rPr>
          <w:rFonts w:ascii="楷体" w:hAnsi="楷体" w:eastAsia="楷体" w:cs="楷体"/>
          <w:color w:val="auto"/>
          <w:sz w:val="32"/>
          <w:szCs w:val="32"/>
          <w:shd w:val="clear" w:color="auto" w:fill="FFFFFF"/>
        </w:rPr>
        <w:t>：</w:t>
      </w:r>
      <w:r>
        <w:rPr>
          <w:rFonts w:ascii="方正仿宋_GBK" w:hAnsi="方正仿宋_GBK" w:eastAsia="方正仿宋_GBK" w:cs="方正仿宋_GBK"/>
          <w:color w:val="auto"/>
          <w:sz w:val="32"/>
          <w:szCs w:val="32"/>
          <w:shd w:val="clear" w:color="auto" w:fill="FFFFFF"/>
        </w:rPr>
        <w:t>指事业单位开展专业业务活动及其辅助活动取得的现金流入；事业单位收到的财政专户实际核拨的教育收费等资金在此反映。</w:t>
      </w:r>
    </w:p>
    <w:p>
      <w:pPr>
        <w:pStyle w:val="5"/>
        <w:snapToGrid w:val="0"/>
        <w:spacing w:before="0" w:beforeAutospacing="0" w:after="0" w:afterAutospacing="0" w:line="600" w:lineRule="exact"/>
        <w:ind w:firstLine="643" w:firstLineChars="200"/>
        <w:jc w:val="both"/>
        <w:rPr>
          <w:rFonts w:hint="default" w:ascii="方正仿宋_GBK" w:hAnsi="方正仿宋_GBK" w:eastAsia="方正仿宋_GBK" w:cs="方正仿宋_GBK"/>
          <w:color w:val="auto"/>
          <w:sz w:val="32"/>
          <w:szCs w:val="32"/>
        </w:rPr>
      </w:pPr>
      <w:r>
        <w:rPr>
          <w:rStyle w:val="8"/>
          <w:rFonts w:ascii="楷体" w:hAnsi="楷体" w:eastAsia="楷体" w:cs="楷体"/>
          <w:color w:val="auto"/>
          <w:sz w:val="32"/>
          <w:szCs w:val="32"/>
          <w:shd w:val="clear" w:color="auto" w:fill="FFFFFF"/>
        </w:rPr>
        <w:t>（三）经营收入</w:t>
      </w:r>
      <w:r>
        <w:rPr>
          <w:rFonts w:ascii="楷体" w:hAnsi="楷体" w:eastAsia="楷体" w:cs="楷体"/>
          <w:color w:val="auto"/>
          <w:sz w:val="32"/>
          <w:szCs w:val="32"/>
          <w:shd w:val="clear" w:color="auto" w:fill="FFFFFF"/>
        </w:rPr>
        <w:t>：</w:t>
      </w:r>
      <w:r>
        <w:rPr>
          <w:rFonts w:ascii="方正仿宋_GBK" w:hAnsi="方正仿宋_GBK" w:eastAsia="方正仿宋_GBK" w:cs="方正仿宋_GBK"/>
          <w:color w:val="auto"/>
          <w:sz w:val="32"/>
          <w:szCs w:val="32"/>
          <w:shd w:val="clear" w:color="auto" w:fill="FFFFFF"/>
        </w:rPr>
        <w:t>指事业单位在专业业务活动及其辅助活动之外开展非独立核算经营活动取得的现金流入。</w:t>
      </w:r>
    </w:p>
    <w:p>
      <w:pPr>
        <w:pStyle w:val="5"/>
        <w:snapToGrid w:val="0"/>
        <w:spacing w:before="0" w:beforeAutospacing="0" w:after="0" w:afterAutospacing="0" w:line="600" w:lineRule="exact"/>
        <w:ind w:firstLine="643" w:firstLineChars="200"/>
        <w:jc w:val="both"/>
        <w:rPr>
          <w:rFonts w:hint="default" w:ascii="方正仿宋_GBK" w:hAnsi="方正仿宋_GBK" w:eastAsia="方正仿宋_GBK" w:cs="方正仿宋_GBK"/>
          <w:color w:val="auto"/>
          <w:sz w:val="32"/>
          <w:szCs w:val="32"/>
        </w:rPr>
      </w:pPr>
      <w:r>
        <w:rPr>
          <w:rStyle w:val="8"/>
          <w:rFonts w:ascii="楷体" w:hAnsi="楷体" w:eastAsia="楷体" w:cs="楷体"/>
          <w:color w:val="auto"/>
          <w:sz w:val="32"/>
          <w:szCs w:val="32"/>
          <w:shd w:val="clear" w:color="auto" w:fill="FFFFFF"/>
        </w:rPr>
        <w:t>（四）其他收入</w:t>
      </w:r>
      <w:r>
        <w:rPr>
          <w:rFonts w:ascii="楷体" w:hAnsi="楷体" w:eastAsia="楷体" w:cs="楷体"/>
          <w:color w:val="auto"/>
          <w:sz w:val="32"/>
          <w:szCs w:val="32"/>
          <w:shd w:val="clear" w:color="auto" w:fill="FFFFFF"/>
        </w:rPr>
        <w:t>：</w:t>
      </w:r>
      <w:r>
        <w:rPr>
          <w:rFonts w:ascii="方正仿宋_GBK" w:hAnsi="方正仿宋_GBK" w:eastAsia="方正仿宋_GBK" w:cs="方正仿宋_GBK"/>
          <w:color w:val="auto"/>
          <w:sz w:val="32"/>
          <w:szCs w:val="32"/>
          <w:shd w:val="clear" w:color="auto" w:fill="FFFFFF"/>
        </w:rPr>
        <w:t>指单位取得的除“财政拨款收入”、“事业收入”、“经营收入”等以外的收入，包括未纳入财政预算或财政专户管理的投资收益、银行存款利息收入、租金收入、捐赠收入，现金盘盈收入、存货盘盈收入、收回已核销的应收及预付款项、无法偿付的应付及预收款项等。各单位从本级财政部门以外的同级单位取得的经费、从非本级财政部门取得的经费，以及行政单位收到的财政专户管理资金反映在本项内。</w:t>
      </w:r>
    </w:p>
    <w:p>
      <w:pPr>
        <w:pStyle w:val="5"/>
        <w:snapToGrid w:val="0"/>
        <w:spacing w:before="0" w:beforeAutospacing="0" w:after="0" w:afterAutospacing="0" w:line="600" w:lineRule="exact"/>
        <w:ind w:firstLine="643" w:firstLineChars="200"/>
        <w:jc w:val="both"/>
        <w:rPr>
          <w:rFonts w:hint="default" w:ascii="方正仿宋_GBK" w:hAnsi="方正仿宋_GBK" w:eastAsia="方正仿宋_GBK" w:cs="方正仿宋_GBK"/>
          <w:color w:val="auto"/>
          <w:sz w:val="32"/>
          <w:szCs w:val="32"/>
        </w:rPr>
      </w:pPr>
      <w:r>
        <w:rPr>
          <w:rStyle w:val="8"/>
          <w:rFonts w:ascii="楷体" w:hAnsi="楷体" w:eastAsia="楷体" w:cs="楷体"/>
          <w:color w:val="auto"/>
          <w:sz w:val="32"/>
          <w:szCs w:val="32"/>
          <w:shd w:val="clear" w:color="auto" w:fill="FFFFFF"/>
        </w:rPr>
        <w:t>（五）使用非财政拨款结余</w:t>
      </w:r>
      <w:r>
        <w:rPr>
          <w:rFonts w:ascii="楷体" w:hAnsi="楷体" w:eastAsia="楷体" w:cs="楷体"/>
          <w:color w:val="auto"/>
          <w:sz w:val="32"/>
          <w:szCs w:val="32"/>
          <w:shd w:val="clear" w:color="auto" w:fill="FFFFFF"/>
        </w:rPr>
        <w:t>：</w:t>
      </w:r>
      <w:r>
        <w:rPr>
          <w:rFonts w:ascii="方正仿宋_GBK" w:hAnsi="方正仿宋_GBK" w:eastAsia="方正仿宋_GBK" w:cs="方正仿宋_GBK"/>
          <w:color w:val="auto"/>
          <w:sz w:val="32"/>
          <w:szCs w:val="32"/>
          <w:shd w:val="clear" w:color="auto" w:fill="FFFFFF"/>
        </w:rPr>
        <w:t>指单位在当年的“财政拨款收入”、“事业收入”、“经营收入”、“其他收入”等不足以安排当年支出的情况下，使用以前年度积累的非财政拨款结余弥补本年度收支缺口的资金。</w:t>
      </w:r>
    </w:p>
    <w:p>
      <w:pPr>
        <w:pStyle w:val="5"/>
        <w:snapToGrid w:val="0"/>
        <w:spacing w:before="0" w:beforeAutospacing="0" w:after="0" w:afterAutospacing="0" w:line="600" w:lineRule="exact"/>
        <w:ind w:firstLine="643" w:firstLineChars="200"/>
        <w:jc w:val="both"/>
        <w:rPr>
          <w:rFonts w:hint="default" w:ascii="方正仿宋_GBK" w:hAnsi="方正仿宋_GBK" w:eastAsia="方正仿宋_GBK" w:cs="方正仿宋_GBK"/>
          <w:color w:val="auto"/>
          <w:sz w:val="32"/>
          <w:szCs w:val="32"/>
        </w:rPr>
      </w:pPr>
      <w:r>
        <w:rPr>
          <w:rStyle w:val="8"/>
          <w:rFonts w:ascii="楷体" w:hAnsi="楷体" w:eastAsia="楷体" w:cs="楷体"/>
          <w:color w:val="auto"/>
          <w:sz w:val="32"/>
          <w:szCs w:val="32"/>
          <w:shd w:val="clear" w:color="auto" w:fill="FFFFFF"/>
        </w:rPr>
        <w:t>（六）年初结转和结余</w:t>
      </w:r>
      <w:r>
        <w:rPr>
          <w:rFonts w:ascii="楷体" w:hAnsi="楷体" w:eastAsia="楷体" w:cs="楷体"/>
          <w:color w:val="auto"/>
          <w:sz w:val="32"/>
          <w:szCs w:val="32"/>
          <w:shd w:val="clear" w:color="auto" w:fill="FFFFFF"/>
        </w:rPr>
        <w:t>：</w:t>
      </w:r>
      <w:r>
        <w:rPr>
          <w:rFonts w:ascii="方正仿宋_GBK" w:hAnsi="方正仿宋_GBK" w:eastAsia="方正仿宋_GBK" w:cs="方正仿宋_GBK"/>
          <w:color w:val="auto"/>
          <w:sz w:val="32"/>
          <w:szCs w:val="32"/>
          <w:shd w:val="clear" w:color="auto" w:fill="FFFFFF"/>
        </w:rPr>
        <w:t>指单位上年结转本年使用的基本支出结转、项目支出结转和结余、经营结余。</w:t>
      </w:r>
    </w:p>
    <w:p>
      <w:pPr>
        <w:pStyle w:val="5"/>
        <w:snapToGrid w:val="0"/>
        <w:spacing w:before="0" w:beforeAutospacing="0" w:after="0" w:afterAutospacing="0" w:line="600" w:lineRule="exact"/>
        <w:ind w:firstLine="643" w:firstLineChars="200"/>
        <w:jc w:val="both"/>
        <w:rPr>
          <w:rFonts w:hint="default" w:ascii="方正仿宋_GBK" w:hAnsi="方正仿宋_GBK" w:eastAsia="方正仿宋_GBK" w:cs="方正仿宋_GBK"/>
          <w:color w:val="auto"/>
          <w:sz w:val="32"/>
          <w:szCs w:val="32"/>
        </w:rPr>
      </w:pPr>
      <w:r>
        <w:rPr>
          <w:rStyle w:val="8"/>
          <w:rFonts w:ascii="楷体" w:hAnsi="楷体" w:eastAsia="楷体" w:cs="楷体"/>
          <w:color w:val="auto"/>
          <w:sz w:val="32"/>
          <w:szCs w:val="32"/>
          <w:shd w:val="clear" w:color="auto" w:fill="FFFFFF"/>
        </w:rPr>
        <w:t>（七）结余分配</w:t>
      </w:r>
      <w:r>
        <w:rPr>
          <w:rFonts w:ascii="楷体" w:hAnsi="楷体" w:eastAsia="楷体" w:cs="楷体"/>
          <w:color w:val="auto"/>
          <w:sz w:val="32"/>
          <w:szCs w:val="32"/>
          <w:shd w:val="clear" w:color="auto" w:fill="FFFFFF"/>
        </w:rPr>
        <w:t>：</w:t>
      </w:r>
      <w:r>
        <w:rPr>
          <w:rFonts w:ascii="方正仿宋_GBK" w:hAnsi="方正仿宋_GBK" w:eastAsia="方正仿宋_GBK" w:cs="方正仿宋_GBK"/>
          <w:color w:val="auto"/>
          <w:sz w:val="32"/>
          <w:szCs w:val="32"/>
          <w:shd w:val="clear" w:color="auto" w:fill="FFFFFF"/>
        </w:rPr>
        <w:t>指单位按照国家有关规定，缴纳所得税、提取专用基金、转入非财政拨款结余等当年结余的分配情况。</w:t>
      </w:r>
    </w:p>
    <w:p>
      <w:pPr>
        <w:pStyle w:val="5"/>
        <w:snapToGrid w:val="0"/>
        <w:spacing w:before="0" w:beforeAutospacing="0" w:after="0" w:afterAutospacing="0" w:line="600" w:lineRule="exact"/>
        <w:ind w:firstLine="643" w:firstLineChars="200"/>
        <w:jc w:val="both"/>
        <w:rPr>
          <w:rFonts w:hint="default" w:ascii="方正仿宋_GBK" w:hAnsi="方正仿宋_GBK" w:eastAsia="方正仿宋_GBK" w:cs="方正仿宋_GBK"/>
          <w:color w:val="auto"/>
          <w:sz w:val="32"/>
          <w:szCs w:val="32"/>
        </w:rPr>
      </w:pPr>
      <w:r>
        <w:rPr>
          <w:rStyle w:val="8"/>
          <w:rFonts w:ascii="楷体" w:hAnsi="楷体" w:eastAsia="楷体" w:cs="楷体"/>
          <w:color w:val="auto"/>
          <w:sz w:val="32"/>
          <w:szCs w:val="32"/>
          <w:shd w:val="clear" w:color="auto" w:fill="FFFFFF"/>
        </w:rPr>
        <w:t>（八）年末结转和结余</w:t>
      </w:r>
      <w:r>
        <w:rPr>
          <w:rFonts w:ascii="楷体" w:hAnsi="楷体" w:eastAsia="楷体" w:cs="楷体"/>
          <w:color w:val="auto"/>
          <w:sz w:val="32"/>
          <w:szCs w:val="32"/>
          <w:shd w:val="clear" w:color="auto" w:fill="FFFFFF"/>
        </w:rPr>
        <w:t>：</w:t>
      </w:r>
      <w:r>
        <w:rPr>
          <w:rFonts w:ascii="方正仿宋_GBK" w:hAnsi="方正仿宋_GBK" w:eastAsia="方正仿宋_GBK" w:cs="方正仿宋_GBK"/>
          <w:color w:val="auto"/>
          <w:sz w:val="32"/>
          <w:szCs w:val="32"/>
          <w:shd w:val="clear" w:color="auto" w:fill="FFFFFF"/>
        </w:rPr>
        <w:t>指单位结转下年的基本支出结转、项目支出结转和结余、经营结余。</w:t>
      </w:r>
    </w:p>
    <w:p>
      <w:pPr>
        <w:pStyle w:val="5"/>
        <w:snapToGrid w:val="0"/>
        <w:spacing w:before="0" w:beforeAutospacing="0" w:after="0" w:afterAutospacing="0" w:line="600" w:lineRule="exact"/>
        <w:ind w:firstLine="643" w:firstLineChars="200"/>
        <w:jc w:val="both"/>
        <w:rPr>
          <w:rFonts w:hint="default" w:ascii="方正仿宋_GBK" w:hAnsi="方正仿宋_GBK" w:eastAsia="方正仿宋_GBK" w:cs="方正仿宋_GBK"/>
          <w:color w:val="auto"/>
          <w:sz w:val="32"/>
          <w:szCs w:val="32"/>
        </w:rPr>
      </w:pPr>
      <w:r>
        <w:rPr>
          <w:rStyle w:val="8"/>
          <w:rFonts w:ascii="楷体" w:hAnsi="楷体" w:eastAsia="楷体" w:cs="楷体"/>
          <w:color w:val="auto"/>
          <w:sz w:val="32"/>
          <w:szCs w:val="32"/>
          <w:shd w:val="clear" w:color="auto" w:fill="FFFFFF"/>
        </w:rPr>
        <w:t>（九）基本支出</w:t>
      </w:r>
      <w:r>
        <w:rPr>
          <w:rFonts w:ascii="楷体" w:hAnsi="楷体" w:eastAsia="楷体" w:cs="楷体"/>
          <w:color w:val="auto"/>
          <w:sz w:val="32"/>
          <w:szCs w:val="32"/>
          <w:shd w:val="clear" w:color="auto" w:fill="FFFFFF"/>
        </w:rPr>
        <w:t>：</w:t>
      </w:r>
      <w:r>
        <w:rPr>
          <w:rFonts w:ascii="方正仿宋_GBK" w:hAnsi="方正仿宋_GBK" w:eastAsia="方正仿宋_GBK" w:cs="方正仿宋_GBK"/>
          <w:color w:val="auto"/>
          <w:sz w:val="32"/>
          <w:szCs w:val="32"/>
          <w:shd w:val="clear" w:color="auto" w:fill="FFFFFF"/>
        </w:rPr>
        <w:t>指为保障机构正常运转、完成日常工作任务而发生的人员经费和公用经费。其中：人员经费指政府收支分类经济科目中的“工资福利支出”和“对个人和家庭的补助”；公用经费指政府收支分类经济科目中除“工资福利支出”和“对个人和家庭的补助”外的其他支出。</w:t>
      </w:r>
    </w:p>
    <w:p>
      <w:pPr>
        <w:pStyle w:val="5"/>
        <w:snapToGrid w:val="0"/>
        <w:spacing w:before="0" w:beforeAutospacing="0" w:after="0" w:afterAutospacing="0" w:line="600" w:lineRule="exact"/>
        <w:ind w:firstLine="643" w:firstLineChars="200"/>
        <w:jc w:val="both"/>
        <w:rPr>
          <w:rFonts w:hint="default" w:ascii="方正仿宋_GBK" w:hAnsi="方正仿宋_GBK" w:eastAsia="方正仿宋_GBK" w:cs="方正仿宋_GBK"/>
          <w:color w:val="auto"/>
          <w:sz w:val="32"/>
          <w:szCs w:val="32"/>
        </w:rPr>
      </w:pPr>
      <w:r>
        <w:rPr>
          <w:rStyle w:val="8"/>
          <w:rFonts w:ascii="楷体" w:hAnsi="楷体" w:eastAsia="楷体" w:cs="楷体"/>
          <w:color w:val="auto"/>
          <w:sz w:val="32"/>
          <w:szCs w:val="32"/>
          <w:shd w:val="clear" w:color="auto" w:fill="FFFFFF"/>
        </w:rPr>
        <w:t>（十）项目支出</w:t>
      </w:r>
      <w:r>
        <w:rPr>
          <w:rFonts w:ascii="楷体" w:hAnsi="楷体" w:eastAsia="楷体" w:cs="楷体"/>
          <w:color w:val="auto"/>
          <w:sz w:val="32"/>
          <w:szCs w:val="32"/>
          <w:shd w:val="clear" w:color="auto" w:fill="FFFFFF"/>
        </w:rPr>
        <w:t>：</w:t>
      </w:r>
      <w:r>
        <w:rPr>
          <w:rFonts w:ascii="方正仿宋_GBK" w:hAnsi="方正仿宋_GBK" w:eastAsia="方正仿宋_GBK" w:cs="方正仿宋_GBK"/>
          <w:color w:val="auto"/>
          <w:sz w:val="32"/>
          <w:szCs w:val="32"/>
          <w:shd w:val="clear" w:color="auto" w:fill="FFFFFF"/>
        </w:rPr>
        <w:t>指在基本支出之外为完成特定行政任务和事业发展目标所发生的支出。</w:t>
      </w:r>
    </w:p>
    <w:p>
      <w:pPr>
        <w:pStyle w:val="5"/>
        <w:snapToGrid w:val="0"/>
        <w:spacing w:before="0" w:beforeAutospacing="0" w:after="0" w:afterAutospacing="0" w:line="600" w:lineRule="exact"/>
        <w:ind w:firstLine="643" w:firstLineChars="200"/>
        <w:jc w:val="both"/>
        <w:rPr>
          <w:rFonts w:hint="default" w:ascii="方正仿宋_GBK" w:hAnsi="方正仿宋_GBK" w:eastAsia="方正仿宋_GBK" w:cs="方正仿宋_GBK"/>
          <w:color w:val="auto"/>
          <w:sz w:val="32"/>
          <w:szCs w:val="32"/>
        </w:rPr>
      </w:pPr>
      <w:r>
        <w:rPr>
          <w:rStyle w:val="8"/>
          <w:rFonts w:ascii="楷体" w:hAnsi="楷体" w:eastAsia="楷体" w:cs="楷体"/>
          <w:color w:val="auto"/>
          <w:sz w:val="32"/>
          <w:szCs w:val="32"/>
          <w:shd w:val="clear" w:color="auto" w:fill="FFFFFF"/>
        </w:rPr>
        <w:t>（十一）经营支出</w:t>
      </w:r>
      <w:r>
        <w:rPr>
          <w:rFonts w:ascii="楷体" w:hAnsi="楷体" w:eastAsia="楷体" w:cs="楷体"/>
          <w:color w:val="auto"/>
          <w:sz w:val="32"/>
          <w:szCs w:val="32"/>
          <w:shd w:val="clear" w:color="auto" w:fill="FFFFFF"/>
        </w:rPr>
        <w:t>：</w:t>
      </w:r>
      <w:r>
        <w:rPr>
          <w:rFonts w:ascii="方正仿宋_GBK" w:hAnsi="方正仿宋_GBK" w:eastAsia="方正仿宋_GBK" w:cs="方正仿宋_GBK"/>
          <w:color w:val="auto"/>
          <w:sz w:val="32"/>
          <w:szCs w:val="32"/>
          <w:shd w:val="clear" w:color="auto" w:fill="FFFFFF"/>
        </w:rPr>
        <w:t>指事业单位在专业业务活动及其辅助活动之外开展非独立核算经营活动发生的支出。</w:t>
      </w:r>
    </w:p>
    <w:p>
      <w:pPr>
        <w:pStyle w:val="5"/>
        <w:snapToGrid w:val="0"/>
        <w:spacing w:before="0" w:beforeAutospacing="0" w:after="0" w:afterAutospacing="0" w:line="600" w:lineRule="exact"/>
        <w:ind w:firstLine="643" w:firstLineChars="200"/>
        <w:jc w:val="both"/>
        <w:rPr>
          <w:rFonts w:hint="default" w:ascii="方正仿宋_GBK" w:hAnsi="方正仿宋_GBK" w:eastAsia="方正仿宋_GBK" w:cs="方正仿宋_GBK"/>
          <w:color w:val="auto"/>
          <w:sz w:val="32"/>
          <w:szCs w:val="32"/>
        </w:rPr>
      </w:pPr>
      <w:r>
        <w:rPr>
          <w:rStyle w:val="8"/>
          <w:rFonts w:ascii="楷体" w:hAnsi="楷体" w:eastAsia="楷体" w:cs="楷体"/>
          <w:color w:val="auto"/>
          <w:sz w:val="32"/>
          <w:szCs w:val="32"/>
          <w:shd w:val="clear" w:color="auto" w:fill="FFFFFF"/>
        </w:rPr>
        <w:t>（十二）“三公”经费</w:t>
      </w:r>
      <w:r>
        <w:rPr>
          <w:rFonts w:ascii="楷体" w:hAnsi="楷体" w:eastAsia="楷体" w:cs="楷体"/>
          <w:color w:val="auto"/>
          <w:sz w:val="32"/>
          <w:szCs w:val="32"/>
          <w:shd w:val="clear" w:color="auto" w:fill="FFFFFF"/>
        </w:rPr>
        <w:t>：</w:t>
      </w:r>
      <w:r>
        <w:rPr>
          <w:rFonts w:ascii="方正仿宋_GBK" w:hAnsi="方正仿宋_GBK" w:eastAsia="方正仿宋_GBK" w:cs="方正仿宋_GBK"/>
          <w:color w:val="auto"/>
          <w:sz w:val="32"/>
          <w:szCs w:val="32"/>
          <w:shd w:val="clear" w:color="auto" w:fill="FFFFFF"/>
        </w:rPr>
        <w:t>指用一般公共预算财政拨款安排的因公出国（境）费、公务用车购置及运行维护费、公务接待费。其中，因公出国（境）费反映单位公务出国（境）的国际旅费、国外城市间交通费、住宿费、伙食费、培训费、公杂费等支出；公务用车购置费反映单位公务用车购置支出（含车辆购置税）；公务用车运行维护费反映单位按规定保留的公务用车燃料费、维修费、过路过桥费、保险费、安全奖励费用等支出；公务接待费反映单位按规定开支的各类公务接待（含外宾接待）支出。</w:t>
      </w:r>
    </w:p>
    <w:p>
      <w:pPr>
        <w:pStyle w:val="5"/>
        <w:snapToGrid w:val="0"/>
        <w:spacing w:before="0" w:beforeAutospacing="0" w:after="0" w:afterAutospacing="0" w:line="600" w:lineRule="exact"/>
        <w:ind w:firstLine="643" w:firstLineChars="200"/>
        <w:jc w:val="both"/>
        <w:rPr>
          <w:rFonts w:hint="default" w:ascii="方正仿宋_GBK" w:hAnsi="方正仿宋_GBK" w:eastAsia="方正仿宋_GBK" w:cs="方正仿宋_GBK"/>
          <w:color w:val="auto"/>
          <w:sz w:val="32"/>
          <w:szCs w:val="32"/>
        </w:rPr>
      </w:pPr>
      <w:r>
        <w:rPr>
          <w:rStyle w:val="8"/>
          <w:rFonts w:ascii="楷体" w:hAnsi="楷体" w:eastAsia="楷体" w:cs="楷体"/>
          <w:color w:val="auto"/>
          <w:sz w:val="32"/>
          <w:szCs w:val="32"/>
          <w:shd w:val="clear" w:color="auto" w:fill="FFFFFF"/>
        </w:rPr>
        <w:t>（十三）机关运行经费</w:t>
      </w:r>
      <w:r>
        <w:rPr>
          <w:rFonts w:ascii="楷体" w:hAnsi="楷体" w:eastAsia="楷体" w:cs="楷体"/>
          <w:color w:val="auto"/>
          <w:sz w:val="32"/>
          <w:szCs w:val="32"/>
          <w:shd w:val="clear" w:color="auto" w:fill="FFFFFF"/>
        </w:rPr>
        <w:t>：</w:t>
      </w:r>
      <w:r>
        <w:rPr>
          <w:rFonts w:ascii="方正仿宋_GBK" w:hAnsi="方正仿宋_GBK" w:eastAsia="方正仿宋_GBK" w:cs="方正仿宋_GBK"/>
          <w:color w:val="auto"/>
          <w:sz w:val="32"/>
          <w:szCs w:val="32"/>
          <w:shd w:val="clear" w:color="auto" w:fill="FFFFFF"/>
        </w:rPr>
        <w:t>为保障行政单位（含参照公务员法管理的事业单位）运行用于购买货物和服务等的各项公用经费，包括办公及印刷费、邮电费、差旅费、会议费、福利费、日常维护费、专用材料及一般设备购置费、办公用房水电费、办公用房取暖费、办公用房物业管理费、公务用车运行维护费以及其他费用。</w:t>
      </w:r>
    </w:p>
    <w:p>
      <w:pPr>
        <w:pStyle w:val="5"/>
        <w:snapToGrid w:val="0"/>
        <w:spacing w:before="0" w:beforeAutospacing="0" w:after="0" w:afterAutospacing="0" w:line="600" w:lineRule="exact"/>
        <w:ind w:firstLine="643" w:firstLineChars="200"/>
        <w:jc w:val="both"/>
        <w:rPr>
          <w:rFonts w:hint="default" w:ascii="方正仿宋_GBK" w:hAnsi="方正仿宋_GBK" w:eastAsia="方正仿宋_GBK" w:cs="方正仿宋_GBK"/>
          <w:color w:val="auto"/>
          <w:sz w:val="32"/>
          <w:szCs w:val="32"/>
        </w:rPr>
      </w:pPr>
      <w:r>
        <w:rPr>
          <w:rStyle w:val="8"/>
          <w:rFonts w:ascii="楷体" w:hAnsi="楷体" w:eastAsia="楷体" w:cs="楷体"/>
          <w:color w:val="auto"/>
          <w:sz w:val="32"/>
          <w:szCs w:val="32"/>
          <w:shd w:val="clear" w:color="auto" w:fill="FFFFFF"/>
        </w:rPr>
        <w:t>（十四）工资福利支出（支出经济分类科目类级）</w:t>
      </w:r>
      <w:r>
        <w:rPr>
          <w:rFonts w:ascii="楷体" w:hAnsi="楷体" w:eastAsia="楷体" w:cs="楷体"/>
          <w:color w:val="auto"/>
          <w:sz w:val="32"/>
          <w:szCs w:val="32"/>
          <w:shd w:val="clear" w:color="auto" w:fill="FFFFFF"/>
        </w:rPr>
        <w:t>：</w:t>
      </w:r>
      <w:r>
        <w:rPr>
          <w:rFonts w:ascii="方正仿宋_GBK" w:hAnsi="方正仿宋_GBK" w:eastAsia="方正仿宋_GBK" w:cs="方正仿宋_GBK"/>
          <w:color w:val="auto"/>
          <w:sz w:val="32"/>
          <w:szCs w:val="32"/>
          <w:shd w:val="clear" w:color="auto" w:fill="FFFFFF"/>
        </w:rPr>
        <w:t>反映单位开支的在职职工和编制外长期聘用人员的各类劳动报酬，以及为上述人员缴纳的各项社会保险费等。</w:t>
      </w:r>
    </w:p>
    <w:p>
      <w:pPr>
        <w:pStyle w:val="5"/>
        <w:snapToGrid w:val="0"/>
        <w:spacing w:before="0" w:beforeAutospacing="0" w:after="0" w:afterAutospacing="0" w:line="600" w:lineRule="exact"/>
        <w:ind w:firstLine="643" w:firstLineChars="200"/>
        <w:jc w:val="both"/>
        <w:rPr>
          <w:rFonts w:hint="default" w:ascii="方正仿宋_GBK" w:hAnsi="方正仿宋_GBK" w:eastAsia="方正仿宋_GBK" w:cs="方正仿宋_GBK"/>
          <w:color w:val="auto"/>
          <w:sz w:val="32"/>
          <w:szCs w:val="32"/>
        </w:rPr>
      </w:pPr>
      <w:r>
        <w:rPr>
          <w:rStyle w:val="8"/>
          <w:rFonts w:ascii="楷体" w:hAnsi="楷体" w:eastAsia="楷体" w:cs="楷体"/>
          <w:color w:val="auto"/>
          <w:sz w:val="32"/>
          <w:szCs w:val="32"/>
          <w:shd w:val="clear" w:color="auto" w:fill="FFFFFF"/>
        </w:rPr>
        <w:t>（十五）商品和服务支出（支出经济分类科目类级）</w:t>
      </w:r>
      <w:r>
        <w:rPr>
          <w:rFonts w:ascii="楷体" w:hAnsi="楷体" w:eastAsia="楷体" w:cs="楷体"/>
          <w:color w:val="auto"/>
          <w:sz w:val="32"/>
          <w:szCs w:val="32"/>
          <w:shd w:val="clear" w:color="auto" w:fill="FFFFFF"/>
        </w:rPr>
        <w:t>：</w:t>
      </w:r>
      <w:r>
        <w:rPr>
          <w:rFonts w:ascii="方正仿宋_GBK" w:hAnsi="方正仿宋_GBK" w:eastAsia="方正仿宋_GBK" w:cs="方正仿宋_GBK"/>
          <w:color w:val="auto"/>
          <w:sz w:val="32"/>
          <w:szCs w:val="32"/>
          <w:shd w:val="clear" w:color="auto" w:fill="FFFFFF"/>
        </w:rPr>
        <w:t>反映单位购买商品和服务的支出（不包括用于购置固定资产的支出、战略性和应急储备支出）。</w:t>
      </w:r>
    </w:p>
    <w:p>
      <w:pPr>
        <w:pStyle w:val="5"/>
        <w:snapToGrid w:val="0"/>
        <w:spacing w:before="0" w:beforeAutospacing="0" w:after="0" w:afterAutospacing="0" w:line="600" w:lineRule="exact"/>
        <w:ind w:firstLine="643" w:firstLineChars="200"/>
        <w:jc w:val="both"/>
        <w:rPr>
          <w:rFonts w:hint="default" w:ascii="方正仿宋_GBK" w:hAnsi="方正仿宋_GBK" w:eastAsia="方正仿宋_GBK" w:cs="方正仿宋_GBK"/>
          <w:color w:val="auto"/>
          <w:sz w:val="32"/>
          <w:szCs w:val="32"/>
        </w:rPr>
      </w:pPr>
      <w:r>
        <w:rPr>
          <w:rStyle w:val="8"/>
          <w:rFonts w:ascii="楷体" w:hAnsi="楷体" w:eastAsia="楷体" w:cs="楷体"/>
          <w:color w:val="auto"/>
          <w:sz w:val="32"/>
          <w:szCs w:val="32"/>
          <w:shd w:val="clear" w:color="auto" w:fill="FFFFFF"/>
        </w:rPr>
        <w:t>（十六）对个人和家庭的补助（支出经济分类科目类级）</w:t>
      </w:r>
      <w:r>
        <w:rPr>
          <w:rFonts w:ascii="楷体" w:hAnsi="楷体" w:eastAsia="楷体" w:cs="楷体"/>
          <w:color w:val="auto"/>
          <w:sz w:val="32"/>
          <w:szCs w:val="32"/>
          <w:shd w:val="clear" w:color="auto" w:fill="FFFFFF"/>
        </w:rPr>
        <w:t>：</w:t>
      </w:r>
      <w:r>
        <w:rPr>
          <w:rFonts w:ascii="方正仿宋_GBK" w:hAnsi="方正仿宋_GBK" w:eastAsia="方正仿宋_GBK" w:cs="方正仿宋_GBK"/>
          <w:color w:val="auto"/>
          <w:sz w:val="32"/>
          <w:szCs w:val="32"/>
          <w:shd w:val="clear" w:color="auto" w:fill="FFFFFF"/>
        </w:rPr>
        <w:t>反映用于对个人和家庭的补助支出。</w:t>
      </w:r>
    </w:p>
    <w:p>
      <w:pPr>
        <w:pStyle w:val="5"/>
        <w:snapToGrid w:val="0"/>
        <w:spacing w:before="0" w:beforeAutospacing="0" w:after="0" w:afterAutospacing="0" w:line="600" w:lineRule="exact"/>
        <w:ind w:firstLine="643" w:firstLineChars="200"/>
        <w:jc w:val="both"/>
        <w:rPr>
          <w:rFonts w:hint="default" w:ascii="方正仿宋_GBK" w:hAnsi="方正仿宋_GBK" w:eastAsia="方正仿宋_GBK" w:cs="方正仿宋_GBK"/>
          <w:color w:val="auto"/>
          <w:sz w:val="32"/>
          <w:szCs w:val="32"/>
        </w:rPr>
      </w:pPr>
      <w:r>
        <w:rPr>
          <w:rStyle w:val="8"/>
          <w:rFonts w:ascii="楷体" w:hAnsi="楷体" w:eastAsia="楷体" w:cs="楷体"/>
          <w:color w:val="auto"/>
          <w:sz w:val="32"/>
          <w:szCs w:val="32"/>
          <w:shd w:val="clear" w:color="auto" w:fill="FFFFFF"/>
        </w:rPr>
        <w:t>（十七）其他资本性支出（支出经济分类科目类级）</w:t>
      </w:r>
      <w:r>
        <w:rPr>
          <w:rFonts w:ascii="楷体" w:hAnsi="楷体" w:eastAsia="楷体" w:cs="楷体"/>
          <w:color w:val="auto"/>
          <w:sz w:val="32"/>
          <w:szCs w:val="32"/>
          <w:shd w:val="clear" w:color="auto" w:fill="FFFFFF"/>
        </w:rPr>
        <w:t>：</w:t>
      </w:r>
      <w:r>
        <w:rPr>
          <w:rFonts w:ascii="方正仿宋_GBK" w:hAnsi="方正仿宋_GBK" w:eastAsia="方正仿宋_GBK" w:cs="方正仿宋_GBK"/>
          <w:color w:val="auto"/>
          <w:sz w:val="32"/>
          <w:szCs w:val="32"/>
          <w:shd w:val="clear" w:color="auto" w:fill="FFFFFF"/>
        </w:rPr>
        <w:t>反映非各级发展与改革部门集中安排的用于购置固定资产、战略性和应急性储备、土地和无形资产，以及构建基础设施、大型修缮和财政支持企业更新改造所发生的支出。</w:t>
      </w:r>
    </w:p>
    <w:p>
      <w:pPr>
        <w:pStyle w:val="5"/>
        <w:shd w:val="clear" w:color="auto" w:fill="FFFFFF"/>
        <w:spacing w:before="0" w:beforeAutospacing="0" w:after="0" w:afterAutospacing="0"/>
        <w:rPr>
          <w:rStyle w:val="8"/>
          <w:rFonts w:hint="default" w:ascii="方正仿宋_GBK" w:hAnsi="方正仿宋_GBK" w:eastAsia="方正仿宋_GBK" w:cs="方正仿宋_GBK"/>
          <w:color w:val="auto"/>
          <w:sz w:val="32"/>
          <w:szCs w:val="32"/>
          <w:shd w:val="clear" w:color="auto" w:fill="FFFFFF"/>
        </w:rPr>
      </w:pPr>
      <w:r>
        <w:rPr>
          <w:rStyle w:val="8"/>
          <w:rFonts w:ascii="方正仿宋_GBK" w:hAnsi="方正仿宋_GBK" w:eastAsia="方正仿宋_GBK" w:cs="方正仿宋_GBK"/>
          <w:color w:val="auto"/>
          <w:sz w:val="32"/>
          <w:szCs w:val="32"/>
          <w:shd w:val="clear" w:color="auto" w:fill="FFFFFF"/>
        </w:rPr>
        <w:t xml:space="preserve">  </w:t>
      </w:r>
      <w:r>
        <w:rPr>
          <w:rStyle w:val="8"/>
          <w:rFonts w:ascii="黑体" w:hAnsi="黑体" w:eastAsia="黑体" w:cs="黑体"/>
          <w:color w:val="auto"/>
          <w:sz w:val="32"/>
          <w:szCs w:val="32"/>
          <w:shd w:val="clear" w:color="auto" w:fill="FFFFFF"/>
        </w:rPr>
        <w:t>七、决算公开联系方式及信息反馈渠道</w:t>
      </w:r>
    </w:p>
    <w:p>
      <w:pPr>
        <w:pStyle w:val="5"/>
        <w:snapToGrid w:val="0"/>
        <w:spacing w:before="0" w:beforeAutospacing="0" w:after="0" w:afterAutospacing="0" w:line="600" w:lineRule="exact"/>
        <w:ind w:firstLine="640" w:firstLineChars="200"/>
        <w:jc w:val="both"/>
        <w:rPr>
          <w:rFonts w:hint="default" w:ascii="方正仿宋_GBK" w:hAnsi="方正仿宋_GBK" w:eastAsia="方正仿宋_GBK" w:cs="方正仿宋_GBK"/>
          <w:color w:val="auto"/>
          <w:sz w:val="32"/>
          <w:szCs w:val="32"/>
          <w:shd w:val="clear" w:color="auto" w:fill="FFFFFF"/>
        </w:rPr>
      </w:pPr>
      <w:r>
        <w:rPr>
          <w:rFonts w:ascii="方正仿宋_GBK" w:hAnsi="方正仿宋_GBK" w:eastAsia="方正仿宋_GBK" w:cs="方正仿宋_GBK"/>
          <w:color w:val="auto"/>
          <w:sz w:val="32"/>
          <w:szCs w:val="32"/>
          <w:shd w:val="clear" w:color="auto" w:fill="FFFFFF"/>
        </w:rPr>
        <w:t>本单位决算公开信息反馈和联系方式：</w:t>
      </w:r>
    </w:p>
    <w:p>
      <w:pPr>
        <w:pStyle w:val="5"/>
        <w:snapToGrid w:val="0"/>
        <w:spacing w:before="0" w:beforeAutospacing="0" w:after="0" w:afterAutospacing="0" w:line="600" w:lineRule="exact"/>
        <w:ind w:firstLine="640" w:firstLineChars="200"/>
        <w:jc w:val="both"/>
        <w:rPr>
          <w:rStyle w:val="8"/>
          <w:rFonts w:hint="default" w:ascii="方正仿宋_GBK" w:hAnsi="方正仿宋_GBK" w:eastAsia="方正仿宋_GBK" w:cs="方正仿宋_GBK"/>
          <w:color w:val="auto"/>
          <w:sz w:val="32"/>
          <w:szCs w:val="32"/>
          <w:shd w:val="clear" w:color="auto" w:fill="FFFF00"/>
        </w:rPr>
      </w:pPr>
      <w:r>
        <w:rPr>
          <w:rFonts w:ascii="方正仿宋_GBK" w:hAnsi="方正仿宋_GBK" w:eastAsia="方正仿宋_GBK" w:cs="方正仿宋_GBK"/>
          <w:color w:val="auto"/>
          <w:sz w:val="32"/>
          <w:szCs w:val="32"/>
          <w:shd w:val="clear" w:color="auto" w:fill="FFFFFF"/>
        </w:rPr>
        <w:t xml:space="preserve">张帆  </w:t>
      </w:r>
      <w:bookmarkStart w:id="0" w:name="_GoBack"/>
      <w:r>
        <w:rPr>
          <w:rFonts w:hint="default" w:ascii="Times New Roman" w:hAnsi="Times New Roman" w:eastAsia="方正仿宋_GBK"/>
          <w:color w:val="auto"/>
          <w:sz w:val="32"/>
          <w:szCs w:val="32"/>
          <w:shd w:val="clear" w:color="auto" w:fill="FFFFFF"/>
          <w:lang w:eastAsia="zh-CN"/>
        </w:rPr>
        <w:t>023-73332293</w:t>
      </w:r>
      <w:bookmarkEnd w:id="0"/>
    </w:p>
    <w:p>
      <w:pPr>
        <w:pStyle w:val="5"/>
        <w:keepNext w:val="0"/>
        <w:keepLines w:val="0"/>
        <w:pageBreakBefore w:val="0"/>
        <w:widowControl/>
        <w:kinsoku/>
        <w:wordWrap/>
        <w:overflowPunct/>
        <w:topLinePunct w:val="0"/>
        <w:autoSpaceDN/>
        <w:bidi w:val="0"/>
        <w:adjustRightInd/>
        <w:snapToGrid w:val="0"/>
        <w:spacing w:before="0" w:beforeAutospacing="0" w:after="0" w:afterAutospacing="0" w:line="596" w:lineRule="exact"/>
        <w:ind w:firstLine="640" w:firstLineChars="200"/>
        <w:jc w:val="both"/>
        <w:textAlignment w:val="auto"/>
        <w:rPr>
          <w:rFonts w:hint="eastAsia" w:ascii="方正仿宋_GBK" w:hAnsi="方正仿宋_GBK" w:eastAsia="方正仿宋_GBK" w:cs="方正仿宋_GBK"/>
          <w:color w:val="auto"/>
          <w:sz w:val="32"/>
          <w:szCs w:val="32"/>
          <w:shd w:val="clear" w:color="auto" w:fill="FFFFFF"/>
          <w:lang w:val="en-US" w:eastAsia="zh-CN"/>
        </w:rPr>
        <w:sectPr>
          <w:footerReference r:id="rId3" w:type="default"/>
          <w:pgSz w:w="11915" w:h="16840"/>
          <w:pgMar w:top="1440" w:right="1800" w:bottom="1440" w:left="1800" w:header="851" w:footer="992" w:gutter="0"/>
          <w:pgNumType w:fmt="numberInDash"/>
          <w:cols w:space="720" w:num="1"/>
          <w:docGrid w:type="lines" w:linePitch="312" w:charSpace="0"/>
        </w:sectPr>
      </w:pPr>
    </w:p>
    <w:tbl>
      <w:tblPr>
        <w:tblStyle w:val="6"/>
        <w:tblW w:w="1980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4210"/>
        <w:gridCol w:w="838"/>
        <w:gridCol w:w="4583"/>
        <w:gridCol w:w="4950"/>
        <w:gridCol w:w="800"/>
        <w:gridCol w:w="441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jc w:val="center"/>
        </w:trPr>
        <w:tc>
          <w:tcPr>
            <w:tcW w:w="19800" w:type="dxa"/>
            <w:gridSpan w:val="6"/>
            <w:tcBorders>
              <w:top w:val="nil"/>
              <w:left w:val="nil"/>
              <w:bottom w:val="nil"/>
              <w:right w:val="nil"/>
            </w:tcBorders>
            <w:shd w:val="clear" w:color="auto" w:fill="auto"/>
            <w:vAlign w:val="bottom"/>
          </w:tcPr>
          <w:p>
            <w:pPr>
              <w:keepNext w:val="0"/>
              <w:keepLines w:val="0"/>
              <w:widowControl/>
              <w:suppressLineNumbers w:val="0"/>
              <w:jc w:val="center"/>
              <w:textAlignment w:val="bottom"/>
              <w:rPr>
                <w:rFonts w:hint="eastAsia" w:ascii="宋体" w:hAnsi="宋体" w:eastAsia="宋体" w:cs="宋体"/>
                <w:i w:val="0"/>
                <w:iCs w:val="0"/>
                <w:color w:val="auto"/>
                <w:sz w:val="30"/>
                <w:szCs w:val="30"/>
                <w:u w:val="none"/>
              </w:rPr>
            </w:pPr>
            <w:r>
              <w:rPr>
                <w:rFonts w:hint="eastAsia" w:ascii="宋体" w:hAnsi="宋体" w:eastAsia="宋体" w:cs="宋体"/>
                <w:b/>
                <w:bCs/>
                <w:i w:val="0"/>
                <w:iCs w:val="0"/>
                <w:color w:val="auto"/>
                <w:kern w:val="0"/>
                <w:sz w:val="30"/>
                <w:szCs w:val="30"/>
                <w:u w:val="none"/>
                <w:lang w:val="en-US" w:eastAsia="zh-CN" w:bidi="ar"/>
              </w:rPr>
              <w:t>收入支出决算表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jc w:val="center"/>
        </w:trPr>
        <w:tc>
          <w:tcPr>
            <w:tcW w:w="15381" w:type="dxa"/>
            <w:gridSpan w:val="5"/>
            <w:vMerge w:val="restart"/>
            <w:tcBorders>
              <w:top w:val="nil"/>
              <w:left w:val="nil"/>
              <w:right w:val="nil"/>
            </w:tcBorders>
            <w:shd w:val="clear" w:color="auto" w:fill="auto"/>
            <w:vAlign w:val="bottom"/>
          </w:tcPr>
          <w:p>
            <w:pPr>
              <w:rPr>
                <w:rFonts w:hint="default" w:ascii="Arial" w:hAnsi="Arial" w:eastAsia="宋体" w:cs="Arial"/>
                <w:i w:val="0"/>
                <w:iCs w:val="0"/>
                <w:color w:val="auto"/>
                <w:sz w:val="20"/>
                <w:szCs w:val="20"/>
                <w:u w:val="none"/>
              </w:rPr>
            </w:pPr>
            <w:r>
              <w:rPr>
                <w:rFonts w:hint="eastAsia" w:cs="宋体"/>
                <w:color w:val="auto"/>
                <w:sz w:val="20"/>
                <w:szCs w:val="20"/>
                <w:lang w:eastAsia="zh-CN"/>
              </w:rPr>
              <w:t>单位</w:t>
            </w:r>
            <w:r>
              <w:rPr>
                <w:rFonts w:cs="宋体"/>
                <w:color w:val="auto"/>
                <w:sz w:val="20"/>
                <w:szCs w:val="20"/>
              </w:rPr>
              <w:t>：</w:t>
            </w:r>
            <w:r>
              <w:rPr>
                <w:color w:val="auto"/>
                <w:sz w:val="20"/>
                <w:u w:color="auto"/>
              </w:rPr>
              <w:t>石柱土家族自治县服务业发展指导中心</w:t>
            </w:r>
          </w:p>
        </w:tc>
        <w:tc>
          <w:tcPr>
            <w:tcW w:w="4419" w:type="dxa"/>
            <w:tcBorders>
              <w:top w:val="nil"/>
              <w:left w:val="nil"/>
              <w:bottom w:val="nil"/>
              <w:right w:val="nil"/>
            </w:tcBorders>
            <w:shd w:val="clear" w:color="auto" w:fill="auto"/>
            <w:vAlign w:val="bottom"/>
          </w:tcPr>
          <w:p>
            <w:pPr>
              <w:keepNext w:val="0"/>
              <w:keepLines w:val="0"/>
              <w:widowControl/>
              <w:suppressLineNumbers w:val="0"/>
              <w:jc w:val="right"/>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01表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jc w:val="center"/>
        </w:trPr>
        <w:tc>
          <w:tcPr>
            <w:tcW w:w="15381" w:type="dxa"/>
            <w:gridSpan w:val="5"/>
            <w:vMerge w:val="continue"/>
            <w:tcBorders>
              <w:left w:val="nil"/>
              <w:bottom w:val="nil"/>
              <w:right w:val="nil"/>
            </w:tcBorders>
            <w:shd w:val="clear" w:color="auto" w:fill="auto"/>
            <w:vAlign w:val="bottom"/>
          </w:tcPr>
          <w:p>
            <w:pPr>
              <w:rPr>
                <w:rFonts w:hint="default" w:ascii="Arial" w:hAnsi="Arial" w:eastAsia="宋体" w:cs="Arial"/>
                <w:i w:val="0"/>
                <w:iCs w:val="0"/>
                <w:color w:val="auto"/>
                <w:sz w:val="20"/>
                <w:szCs w:val="20"/>
                <w:u w:val="none"/>
              </w:rPr>
            </w:pPr>
          </w:p>
        </w:tc>
        <w:tc>
          <w:tcPr>
            <w:tcW w:w="4419" w:type="dxa"/>
            <w:tcBorders>
              <w:top w:val="nil"/>
              <w:left w:val="nil"/>
              <w:bottom w:val="nil"/>
              <w:right w:val="nil"/>
            </w:tcBorders>
            <w:shd w:val="clear" w:color="auto" w:fill="auto"/>
            <w:vAlign w:val="bottom"/>
          </w:tcPr>
          <w:p>
            <w:pPr>
              <w:keepNext w:val="0"/>
              <w:keepLines w:val="0"/>
              <w:widowControl/>
              <w:suppressLineNumbers w:val="0"/>
              <w:jc w:val="right"/>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单位：</w:t>
            </w:r>
            <w:r>
              <w:rPr>
                <w:rFonts w:hint="eastAsia" w:cs="宋体"/>
                <w:i w:val="0"/>
                <w:iCs w:val="0"/>
                <w:color w:val="auto"/>
                <w:kern w:val="0"/>
                <w:sz w:val="20"/>
                <w:szCs w:val="20"/>
                <w:u w:val="none"/>
                <w:lang w:val="en-US" w:eastAsia="zh-CN" w:bidi="ar"/>
              </w:rPr>
              <w:t>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963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收入</w:t>
            </w:r>
          </w:p>
        </w:tc>
        <w:tc>
          <w:tcPr>
            <w:tcW w:w="10169" w:type="dxa"/>
            <w:gridSpan w:val="3"/>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项目</w:t>
            </w:r>
          </w:p>
        </w:tc>
        <w:tc>
          <w:tcPr>
            <w:tcW w:w="83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行次</w:t>
            </w:r>
          </w:p>
        </w:tc>
        <w:tc>
          <w:tcPr>
            <w:tcW w:w="4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金额</w:t>
            </w:r>
          </w:p>
        </w:tc>
        <w:tc>
          <w:tcPr>
            <w:tcW w:w="49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项目</w:t>
            </w:r>
          </w:p>
        </w:tc>
        <w:tc>
          <w:tcPr>
            <w:tcW w:w="8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行次</w:t>
            </w:r>
          </w:p>
        </w:tc>
        <w:tc>
          <w:tcPr>
            <w:tcW w:w="4419"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金额</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栏次</w:t>
            </w:r>
          </w:p>
        </w:tc>
        <w:tc>
          <w:tcPr>
            <w:tcW w:w="83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auto"/>
                <w:sz w:val="22"/>
                <w:szCs w:val="22"/>
                <w:u w:val="none"/>
              </w:rPr>
            </w:pPr>
          </w:p>
        </w:tc>
        <w:tc>
          <w:tcPr>
            <w:tcW w:w="4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1</w:t>
            </w:r>
          </w:p>
        </w:tc>
        <w:tc>
          <w:tcPr>
            <w:tcW w:w="49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栏次</w:t>
            </w:r>
          </w:p>
        </w:tc>
        <w:tc>
          <w:tcPr>
            <w:tcW w:w="8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auto"/>
                <w:sz w:val="22"/>
                <w:szCs w:val="22"/>
                <w:u w:val="none"/>
              </w:rPr>
            </w:pPr>
          </w:p>
        </w:tc>
        <w:tc>
          <w:tcPr>
            <w:tcW w:w="4419"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一、一般公共预算财政拨款收入</w:t>
            </w:r>
          </w:p>
        </w:tc>
        <w:tc>
          <w:tcPr>
            <w:tcW w:w="83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1</w:t>
            </w:r>
          </w:p>
        </w:tc>
        <w:tc>
          <w:tcPr>
            <w:tcW w:w="4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996,998.71 </w:t>
            </w:r>
          </w:p>
        </w:tc>
        <w:tc>
          <w:tcPr>
            <w:tcW w:w="49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一、一般公共服务支出</w:t>
            </w:r>
          </w:p>
        </w:tc>
        <w:tc>
          <w:tcPr>
            <w:tcW w:w="8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3</w:t>
            </w:r>
            <w:r>
              <w:rPr>
                <w:rFonts w:hint="eastAsia" w:cs="宋体"/>
                <w:b/>
                <w:bCs/>
                <w:i w:val="0"/>
                <w:iCs w:val="0"/>
                <w:color w:val="auto"/>
                <w:kern w:val="0"/>
                <w:sz w:val="22"/>
                <w:szCs w:val="22"/>
                <w:u w:val="none"/>
                <w:lang w:val="en-US" w:eastAsia="zh-CN" w:bidi="ar"/>
              </w:rPr>
              <w:t>1</w:t>
            </w:r>
          </w:p>
        </w:tc>
        <w:tc>
          <w:tcPr>
            <w:tcW w:w="4419"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cs="Times New Roman"/>
                <w:color w:val="auto"/>
                <w:sz w:val="22"/>
                <w:szCs w:val="22"/>
              </w:rPr>
              <w:t xml:space="preserve">781,650.19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二、政府性基金预算财政拨款收入</w:t>
            </w:r>
          </w:p>
        </w:tc>
        <w:tc>
          <w:tcPr>
            <w:tcW w:w="83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2</w:t>
            </w:r>
          </w:p>
        </w:tc>
        <w:tc>
          <w:tcPr>
            <w:tcW w:w="4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c>
          <w:tcPr>
            <w:tcW w:w="49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二、外交支出</w:t>
            </w:r>
          </w:p>
        </w:tc>
        <w:tc>
          <w:tcPr>
            <w:tcW w:w="8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3</w:t>
            </w:r>
            <w:r>
              <w:rPr>
                <w:rFonts w:hint="eastAsia" w:cs="宋体"/>
                <w:b/>
                <w:bCs/>
                <w:i w:val="0"/>
                <w:iCs w:val="0"/>
                <w:color w:val="auto"/>
                <w:kern w:val="0"/>
                <w:sz w:val="22"/>
                <w:szCs w:val="22"/>
                <w:u w:val="none"/>
                <w:lang w:val="en-US" w:eastAsia="zh-CN" w:bidi="ar"/>
              </w:rPr>
              <w:t>2</w:t>
            </w:r>
          </w:p>
        </w:tc>
        <w:tc>
          <w:tcPr>
            <w:tcW w:w="4419"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cs="Times New Roman"/>
                <w:color w:val="auto"/>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三、国有资本经营预算财政拨款收入</w:t>
            </w:r>
          </w:p>
        </w:tc>
        <w:tc>
          <w:tcPr>
            <w:tcW w:w="83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3</w:t>
            </w:r>
          </w:p>
        </w:tc>
        <w:tc>
          <w:tcPr>
            <w:tcW w:w="4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c>
          <w:tcPr>
            <w:tcW w:w="49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三、国防支出</w:t>
            </w:r>
          </w:p>
        </w:tc>
        <w:tc>
          <w:tcPr>
            <w:tcW w:w="8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3</w:t>
            </w:r>
            <w:r>
              <w:rPr>
                <w:rFonts w:hint="eastAsia" w:cs="宋体"/>
                <w:b/>
                <w:bCs/>
                <w:i w:val="0"/>
                <w:iCs w:val="0"/>
                <w:color w:val="auto"/>
                <w:kern w:val="0"/>
                <w:sz w:val="22"/>
                <w:szCs w:val="22"/>
                <w:u w:val="none"/>
                <w:lang w:val="en-US" w:eastAsia="zh-CN" w:bidi="ar"/>
              </w:rPr>
              <w:t>3</w:t>
            </w:r>
          </w:p>
        </w:tc>
        <w:tc>
          <w:tcPr>
            <w:tcW w:w="4419"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cs="Times New Roman"/>
                <w:color w:val="auto"/>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四、上级补助收入</w:t>
            </w:r>
          </w:p>
        </w:tc>
        <w:tc>
          <w:tcPr>
            <w:tcW w:w="83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4</w:t>
            </w:r>
          </w:p>
        </w:tc>
        <w:tc>
          <w:tcPr>
            <w:tcW w:w="4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c>
          <w:tcPr>
            <w:tcW w:w="49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四、公共安全支出</w:t>
            </w:r>
          </w:p>
        </w:tc>
        <w:tc>
          <w:tcPr>
            <w:tcW w:w="8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3</w:t>
            </w:r>
            <w:r>
              <w:rPr>
                <w:rFonts w:hint="eastAsia" w:cs="宋体"/>
                <w:b/>
                <w:bCs/>
                <w:i w:val="0"/>
                <w:iCs w:val="0"/>
                <w:color w:val="auto"/>
                <w:kern w:val="0"/>
                <w:sz w:val="22"/>
                <w:szCs w:val="22"/>
                <w:u w:val="none"/>
                <w:lang w:val="en-US" w:eastAsia="zh-CN" w:bidi="ar"/>
              </w:rPr>
              <w:t>4</w:t>
            </w:r>
          </w:p>
        </w:tc>
        <w:tc>
          <w:tcPr>
            <w:tcW w:w="4419"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cs="Times New Roman"/>
                <w:color w:val="auto"/>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五、事业收入</w:t>
            </w:r>
          </w:p>
        </w:tc>
        <w:tc>
          <w:tcPr>
            <w:tcW w:w="83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5</w:t>
            </w:r>
          </w:p>
        </w:tc>
        <w:tc>
          <w:tcPr>
            <w:tcW w:w="4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c>
          <w:tcPr>
            <w:tcW w:w="49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五、教育支出</w:t>
            </w:r>
          </w:p>
        </w:tc>
        <w:tc>
          <w:tcPr>
            <w:tcW w:w="8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3</w:t>
            </w:r>
            <w:r>
              <w:rPr>
                <w:rFonts w:hint="eastAsia" w:cs="宋体"/>
                <w:b/>
                <w:bCs/>
                <w:i w:val="0"/>
                <w:iCs w:val="0"/>
                <w:color w:val="auto"/>
                <w:kern w:val="0"/>
                <w:sz w:val="22"/>
                <w:szCs w:val="22"/>
                <w:u w:val="none"/>
                <w:lang w:val="en-US" w:eastAsia="zh-CN" w:bidi="ar"/>
              </w:rPr>
              <w:t>5</w:t>
            </w:r>
          </w:p>
        </w:tc>
        <w:tc>
          <w:tcPr>
            <w:tcW w:w="4419"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cs="Times New Roman"/>
                <w:color w:val="auto"/>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六、经营收入</w:t>
            </w:r>
          </w:p>
        </w:tc>
        <w:tc>
          <w:tcPr>
            <w:tcW w:w="83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6</w:t>
            </w:r>
          </w:p>
        </w:tc>
        <w:tc>
          <w:tcPr>
            <w:tcW w:w="4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c>
          <w:tcPr>
            <w:tcW w:w="49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六、科学技术支出</w:t>
            </w:r>
          </w:p>
        </w:tc>
        <w:tc>
          <w:tcPr>
            <w:tcW w:w="8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3</w:t>
            </w:r>
            <w:r>
              <w:rPr>
                <w:rFonts w:hint="eastAsia" w:cs="宋体"/>
                <w:b/>
                <w:bCs/>
                <w:i w:val="0"/>
                <w:iCs w:val="0"/>
                <w:color w:val="auto"/>
                <w:kern w:val="0"/>
                <w:sz w:val="22"/>
                <w:szCs w:val="22"/>
                <w:u w:val="none"/>
                <w:lang w:val="en-US" w:eastAsia="zh-CN" w:bidi="ar"/>
              </w:rPr>
              <w:t>6</w:t>
            </w:r>
          </w:p>
        </w:tc>
        <w:tc>
          <w:tcPr>
            <w:tcW w:w="4419"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cs="Times New Roman"/>
                <w:color w:val="auto"/>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七、附属单位上缴收入</w:t>
            </w:r>
          </w:p>
        </w:tc>
        <w:tc>
          <w:tcPr>
            <w:tcW w:w="83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7</w:t>
            </w:r>
          </w:p>
        </w:tc>
        <w:tc>
          <w:tcPr>
            <w:tcW w:w="4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c>
          <w:tcPr>
            <w:tcW w:w="49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七、文化旅游体育与传媒支出</w:t>
            </w:r>
          </w:p>
        </w:tc>
        <w:tc>
          <w:tcPr>
            <w:tcW w:w="8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3</w:t>
            </w:r>
            <w:r>
              <w:rPr>
                <w:rFonts w:hint="eastAsia" w:cs="宋体"/>
                <w:b/>
                <w:bCs/>
                <w:i w:val="0"/>
                <w:iCs w:val="0"/>
                <w:color w:val="auto"/>
                <w:kern w:val="0"/>
                <w:sz w:val="22"/>
                <w:szCs w:val="22"/>
                <w:u w:val="none"/>
                <w:lang w:val="en-US" w:eastAsia="zh-CN" w:bidi="ar"/>
              </w:rPr>
              <w:t>7</w:t>
            </w:r>
          </w:p>
        </w:tc>
        <w:tc>
          <w:tcPr>
            <w:tcW w:w="4419"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cs="Times New Roman"/>
                <w:color w:val="auto"/>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八、其他收入</w:t>
            </w:r>
          </w:p>
        </w:tc>
        <w:tc>
          <w:tcPr>
            <w:tcW w:w="83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8</w:t>
            </w:r>
          </w:p>
        </w:tc>
        <w:tc>
          <w:tcPr>
            <w:tcW w:w="4583" w:type="dxa"/>
            <w:tcBorders>
              <w:top w:val="nil"/>
              <w:left w:val="nil"/>
              <w:bottom w:val="nil"/>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c>
          <w:tcPr>
            <w:tcW w:w="49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八、社会保障和就业支出</w:t>
            </w:r>
          </w:p>
        </w:tc>
        <w:tc>
          <w:tcPr>
            <w:tcW w:w="8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3</w:t>
            </w:r>
            <w:r>
              <w:rPr>
                <w:rFonts w:hint="eastAsia" w:cs="宋体"/>
                <w:b/>
                <w:bCs/>
                <w:i w:val="0"/>
                <w:iCs w:val="0"/>
                <w:color w:val="auto"/>
                <w:kern w:val="0"/>
                <w:sz w:val="22"/>
                <w:szCs w:val="22"/>
                <w:u w:val="none"/>
                <w:lang w:val="en-US" w:eastAsia="zh-CN" w:bidi="ar"/>
              </w:rPr>
              <w:t>8</w:t>
            </w:r>
          </w:p>
        </w:tc>
        <w:tc>
          <w:tcPr>
            <w:tcW w:w="4419"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cs="Times New Roman"/>
                <w:color w:val="auto"/>
                <w:sz w:val="22"/>
                <w:szCs w:val="22"/>
              </w:rPr>
              <w:t xml:space="preserve">126,411.36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b/>
                <w:bCs/>
                <w:i w:val="0"/>
                <w:iCs w:val="0"/>
                <w:color w:val="auto"/>
                <w:sz w:val="22"/>
                <w:szCs w:val="22"/>
                <w:u w:val="none"/>
              </w:rPr>
            </w:pPr>
          </w:p>
        </w:tc>
        <w:tc>
          <w:tcPr>
            <w:tcW w:w="838"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9</w:t>
            </w:r>
          </w:p>
        </w:tc>
        <w:tc>
          <w:tcPr>
            <w:tcW w:w="4583"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auto"/>
                <w:sz w:val="22"/>
                <w:szCs w:val="22"/>
                <w:u w:val="none"/>
              </w:rPr>
            </w:pPr>
          </w:p>
        </w:tc>
        <w:tc>
          <w:tcPr>
            <w:tcW w:w="49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九、卫生健康支出</w:t>
            </w:r>
          </w:p>
        </w:tc>
        <w:tc>
          <w:tcPr>
            <w:tcW w:w="8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cs="宋体"/>
                <w:b/>
                <w:bCs/>
                <w:i w:val="0"/>
                <w:iCs w:val="0"/>
                <w:color w:val="auto"/>
                <w:sz w:val="22"/>
                <w:szCs w:val="22"/>
                <w:u w:val="none"/>
                <w:lang w:val="en-US" w:eastAsia="zh-CN"/>
              </w:rPr>
              <w:t>39</w:t>
            </w:r>
          </w:p>
        </w:tc>
        <w:tc>
          <w:tcPr>
            <w:tcW w:w="4419"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cs="Times New Roman"/>
                <w:color w:val="auto"/>
                <w:sz w:val="22"/>
                <w:szCs w:val="22"/>
              </w:rPr>
              <w:t xml:space="preserve">45,158.28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b/>
                <w:bCs/>
                <w:i w:val="0"/>
                <w:iCs w:val="0"/>
                <w:color w:val="auto"/>
                <w:sz w:val="22"/>
                <w:szCs w:val="22"/>
                <w:u w:val="none"/>
              </w:rPr>
            </w:pPr>
          </w:p>
        </w:tc>
        <w:tc>
          <w:tcPr>
            <w:tcW w:w="838"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10</w:t>
            </w:r>
          </w:p>
        </w:tc>
        <w:tc>
          <w:tcPr>
            <w:tcW w:w="4583"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auto"/>
                <w:sz w:val="22"/>
                <w:szCs w:val="22"/>
                <w:u w:val="none"/>
              </w:rPr>
            </w:pPr>
          </w:p>
        </w:tc>
        <w:tc>
          <w:tcPr>
            <w:tcW w:w="49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十、节能环保支出</w:t>
            </w:r>
          </w:p>
        </w:tc>
        <w:tc>
          <w:tcPr>
            <w:tcW w:w="8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cs="宋体"/>
                <w:b/>
                <w:bCs/>
                <w:i w:val="0"/>
                <w:iCs w:val="0"/>
                <w:color w:val="auto"/>
                <w:kern w:val="0"/>
                <w:sz w:val="22"/>
                <w:szCs w:val="22"/>
                <w:u w:val="none"/>
                <w:lang w:val="en-US" w:eastAsia="zh-CN" w:bidi="ar"/>
              </w:rPr>
              <w:t>40</w:t>
            </w:r>
          </w:p>
        </w:tc>
        <w:tc>
          <w:tcPr>
            <w:tcW w:w="4419"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cs="Times New Roman"/>
                <w:color w:val="auto"/>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b/>
                <w:bCs/>
                <w:i w:val="0"/>
                <w:iCs w:val="0"/>
                <w:color w:val="auto"/>
                <w:sz w:val="22"/>
                <w:szCs w:val="22"/>
                <w:u w:val="none"/>
              </w:rPr>
            </w:pPr>
          </w:p>
        </w:tc>
        <w:tc>
          <w:tcPr>
            <w:tcW w:w="838"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11</w:t>
            </w:r>
          </w:p>
        </w:tc>
        <w:tc>
          <w:tcPr>
            <w:tcW w:w="4583"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auto"/>
                <w:sz w:val="22"/>
                <w:szCs w:val="22"/>
                <w:u w:val="none"/>
              </w:rPr>
            </w:pPr>
          </w:p>
        </w:tc>
        <w:tc>
          <w:tcPr>
            <w:tcW w:w="49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十一、城乡社区支出</w:t>
            </w:r>
          </w:p>
        </w:tc>
        <w:tc>
          <w:tcPr>
            <w:tcW w:w="8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4</w:t>
            </w:r>
            <w:r>
              <w:rPr>
                <w:rFonts w:hint="eastAsia" w:cs="宋体"/>
                <w:b/>
                <w:bCs/>
                <w:i w:val="0"/>
                <w:iCs w:val="0"/>
                <w:color w:val="auto"/>
                <w:kern w:val="0"/>
                <w:sz w:val="22"/>
                <w:szCs w:val="22"/>
                <w:u w:val="none"/>
                <w:lang w:val="en-US" w:eastAsia="zh-CN" w:bidi="ar"/>
              </w:rPr>
              <w:t>1</w:t>
            </w:r>
          </w:p>
        </w:tc>
        <w:tc>
          <w:tcPr>
            <w:tcW w:w="4419"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cs="Times New Roman"/>
                <w:color w:val="auto"/>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b/>
                <w:bCs/>
                <w:i w:val="0"/>
                <w:iCs w:val="0"/>
                <w:color w:val="auto"/>
                <w:sz w:val="22"/>
                <w:szCs w:val="22"/>
                <w:u w:val="none"/>
              </w:rPr>
            </w:pPr>
          </w:p>
        </w:tc>
        <w:tc>
          <w:tcPr>
            <w:tcW w:w="838"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12</w:t>
            </w:r>
          </w:p>
        </w:tc>
        <w:tc>
          <w:tcPr>
            <w:tcW w:w="4583"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auto"/>
                <w:sz w:val="22"/>
                <w:szCs w:val="22"/>
                <w:u w:val="none"/>
              </w:rPr>
            </w:pPr>
          </w:p>
        </w:tc>
        <w:tc>
          <w:tcPr>
            <w:tcW w:w="49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十二、农林水支出</w:t>
            </w:r>
          </w:p>
        </w:tc>
        <w:tc>
          <w:tcPr>
            <w:tcW w:w="8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4</w:t>
            </w:r>
            <w:r>
              <w:rPr>
                <w:rFonts w:hint="eastAsia" w:cs="宋体"/>
                <w:b/>
                <w:bCs/>
                <w:i w:val="0"/>
                <w:iCs w:val="0"/>
                <w:color w:val="auto"/>
                <w:kern w:val="0"/>
                <w:sz w:val="22"/>
                <w:szCs w:val="22"/>
                <w:u w:val="none"/>
                <w:lang w:val="en-US" w:eastAsia="zh-CN" w:bidi="ar"/>
              </w:rPr>
              <w:t>2</w:t>
            </w:r>
          </w:p>
        </w:tc>
        <w:tc>
          <w:tcPr>
            <w:tcW w:w="4419"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cs="Times New Roman"/>
                <w:color w:val="auto"/>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b/>
                <w:bCs/>
                <w:i w:val="0"/>
                <w:iCs w:val="0"/>
                <w:color w:val="auto"/>
                <w:sz w:val="22"/>
                <w:szCs w:val="22"/>
                <w:u w:val="none"/>
              </w:rPr>
            </w:pPr>
          </w:p>
        </w:tc>
        <w:tc>
          <w:tcPr>
            <w:tcW w:w="838"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13</w:t>
            </w:r>
          </w:p>
        </w:tc>
        <w:tc>
          <w:tcPr>
            <w:tcW w:w="4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auto"/>
                <w:sz w:val="22"/>
                <w:szCs w:val="22"/>
                <w:u w:val="none"/>
              </w:rPr>
            </w:pPr>
          </w:p>
        </w:tc>
        <w:tc>
          <w:tcPr>
            <w:tcW w:w="49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十三、交通运输支出</w:t>
            </w:r>
          </w:p>
        </w:tc>
        <w:tc>
          <w:tcPr>
            <w:tcW w:w="8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4</w:t>
            </w:r>
            <w:r>
              <w:rPr>
                <w:rFonts w:hint="eastAsia" w:cs="宋体"/>
                <w:b/>
                <w:bCs/>
                <w:i w:val="0"/>
                <w:iCs w:val="0"/>
                <w:color w:val="auto"/>
                <w:kern w:val="0"/>
                <w:sz w:val="22"/>
                <w:szCs w:val="22"/>
                <w:u w:val="none"/>
                <w:lang w:val="en-US" w:eastAsia="zh-CN" w:bidi="ar"/>
              </w:rPr>
              <w:t>3</w:t>
            </w:r>
          </w:p>
        </w:tc>
        <w:tc>
          <w:tcPr>
            <w:tcW w:w="4419"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cs="Times New Roman"/>
                <w:color w:val="auto"/>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b/>
                <w:bCs/>
                <w:i w:val="0"/>
                <w:iCs w:val="0"/>
                <w:color w:val="auto"/>
                <w:sz w:val="22"/>
                <w:szCs w:val="22"/>
                <w:u w:val="none"/>
              </w:rPr>
            </w:pPr>
          </w:p>
        </w:tc>
        <w:tc>
          <w:tcPr>
            <w:tcW w:w="83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14</w:t>
            </w:r>
          </w:p>
        </w:tc>
        <w:tc>
          <w:tcPr>
            <w:tcW w:w="4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auto"/>
                <w:sz w:val="22"/>
                <w:szCs w:val="22"/>
                <w:u w:val="none"/>
              </w:rPr>
            </w:pPr>
          </w:p>
        </w:tc>
        <w:tc>
          <w:tcPr>
            <w:tcW w:w="49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十四、资源勘探工业信息等支出</w:t>
            </w:r>
          </w:p>
        </w:tc>
        <w:tc>
          <w:tcPr>
            <w:tcW w:w="8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4</w:t>
            </w:r>
            <w:r>
              <w:rPr>
                <w:rFonts w:hint="eastAsia" w:cs="宋体"/>
                <w:b/>
                <w:bCs/>
                <w:i w:val="0"/>
                <w:iCs w:val="0"/>
                <w:color w:val="auto"/>
                <w:kern w:val="0"/>
                <w:sz w:val="22"/>
                <w:szCs w:val="22"/>
                <w:u w:val="none"/>
                <w:lang w:val="en-US" w:eastAsia="zh-CN" w:bidi="ar"/>
              </w:rPr>
              <w:t>4</w:t>
            </w:r>
          </w:p>
        </w:tc>
        <w:tc>
          <w:tcPr>
            <w:tcW w:w="4419"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cs="Times New Roman"/>
                <w:color w:val="auto"/>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b/>
                <w:bCs/>
                <w:i w:val="0"/>
                <w:iCs w:val="0"/>
                <w:color w:val="auto"/>
                <w:sz w:val="22"/>
                <w:szCs w:val="22"/>
                <w:u w:val="none"/>
              </w:rPr>
            </w:pPr>
          </w:p>
        </w:tc>
        <w:tc>
          <w:tcPr>
            <w:tcW w:w="83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15</w:t>
            </w:r>
          </w:p>
        </w:tc>
        <w:tc>
          <w:tcPr>
            <w:tcW w:w="4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auto"/>
                <w:sz w:val="22"/>
                <w:szCs w:val="22"/>
                <w:u w:val="none"/>
              </w:rPr>
            </w:pPr>
          </w:p>
        </w:tc>
        <w:tc>
          <w:tcPr>
            <w:tcW w:w="49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十五、商业服务业等支出</w:t>
            </w:r>
          </w:p>
        </w:tc>
        <w:tc>
          <w:tcPr>
            <w:tcW w:w="8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4</w:t>
            </w:r>
            <w:r>
              <w:rPr>
                <w:rFonts w:hint="eastAsia" w:cs="宋体"/>
                <w:b/>
                <w:bCs/>
                <w:i w:val="0"/>
                <w:iCs w:val="0"/>
                <w:color w:val="auto"/>
                <w:kern w:val="0"/>
                <w:sz w:val="22"/>
                <w:szCs w:val="22"/>
                <w:u w:val="none"/>
                <w:lang w:val="en-US" w:eastAsia="zh-CN" w:bidi="ar"/>
              </w:rPr>
              <w:t>5</w:t>
            </w:r>
          </w:p>
        </w:tc>
        <w:tc>
          <w:tcPr>
            <w:tcW w:w="4419"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cs="Times New Roman"/>
                <w:color w:val="auto"/>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b/>
                <w:bCs/>
                <w:i w:val="0"/>
                <w:iCs w:val="0"/>
                <w:color w:val="auto"/>
                <w:sz w:val="22"/>
                <w:szCs w:val="22"/>
                <w:u w:val="none"/>
              </w:rPr>
            </w:pPr>
          </w:p>
        </w:tc>
        <w:tc>
          <w:tcPr>
            <w:tcW w:w="83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16</w:t>
            </w:r>
          </w:p>
        </w:tc>
        <w:tc>
          <w:tcPr>
            <w:tcW w:w="4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auto"/>
                <w:sz w:val="22"/>
                <w:szCs w:val="22"/>
                <w:u w:val="none"/>
              </w:rPr>
            </w:pPr>
          </w:p>
        </w:tc>
        <w:tc>
          <w:tcPr>
            <w:tcW w:w="49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十六、金融支出</w:t>
            </w:r>
          </w:p>
        </w:tc>
        <w:tc>
          <w:tcPr>
            <w:tcW w:w="8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4</w:t>
            </w:r>
            <w:r>
              <w:rPr>
                <w:rFonts w:hint="eastAsia" w:cs="宋体"/>
                <w:b/>
                <w:bCs/>
                <w:i w:val="0"/>
                <w:iCs w:val="0"/>
                <w:color w:val="auto"/>
                <w:kern w:val="0"/>
                <w:sz w:val="22"/>
                <w:szCs w:val="22"/>
                <w:u w:val="none"/>
                <w:lang w:val="en-US" w:eastAsia="zh-CN" w:bidi="ar"/>
              </w:rPr>
              <w:t>6</w:t>
            </w:r>
          </w:p>
        </w:tc>
        <w:tc>
          <w:tcPr>
            <w:tcW w:w="4419"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cs="Times New Roman"/>
                <w:color w:val="auto"/>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b/>
                <w:bCs/>
                <w:i w:val="0"/>
                <w:iCs w:val="0"/>
                <w:color w:val="auto"/>
                <w:sz w:val="22"/>
                <w:szCs w:val="22"/>
                <w:u w:val="none"/>
              </w:rPr>
            </w:pPr>
          </w:p>
        </w:tc>
        <w:tc>
          <w:tcPr>
            <w:tcW w:w="83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17</w:t>
            </w:r>
          </w:p>
        </w:tc>
        <w:tc>
          <w:tcPr>
            <w:tcW w:w="4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auto"/>
                <w:sz w:val="22"/>
                <w:szCs w:val="22"/>
                <w:u w:val="none"/>
              </w:rPr>
            </w:pPr>
          </w:p>
        </w:tc>
        <w:tc>
          <w:tcPr>
            <w:tcW w:w="49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十七、援助其他地区支出</w:t>
            </w:r>
          </w:p>
        </w:tc>
        <w:tc>
          <w:tcPr>
            <w:tcW w:w="8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4</w:t>
            </w:r>
            <w:r>
              <w:rPr>
                <w:rFonts w:hint="eastAsia" w:cs="宋体"/>
                <w:b/>
                <w:bCs/>
                <w:i w:val="0"/>
                <w:iCs w:val="0"/>
                <w:color w:val="auto"/>
                <w:kern w:val="0"/>
                <w:sz w:val="22"/>
                <w:szCs w:val="22"/>
                <w:u w:val="none"/>
                <w:lang w:val="en-US" w:eastAsia="zh-CN" w:bidi="ar"/>
              </w:rPr>
              <w:t>7</w:t>
            </w:r>
          </w:p>
        </w:tc>
        <w:tc>
          <w:tcPr>
            <w:tcW w:w="4419"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cs="Times New Roman"/>
                <w:color w:val="auto"/>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b/>
                <w:bCs/>
                <w:i w:val="0"/>
                <w:iCs w:val="0"/>
                <w:color w:val="auto"/>
                <w:sz w:val="22"/>
                <w:szCs w:val="22"/>
                <w:u w:val="none"/>
              </w:rPr>
            </w:pPr>
          </w:p>
        </w:tc>
        <w:tc>
          <w:tcPr>
            <w:tcW w:w="83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18</w:t>
            </w:r>
          </w:p>
        </w:tc>
        <w:tc>
          <w:tcPr>
            <w:tcW w:w="4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auto"/>
                <w:sz w:val="22"/>
                <w:szCs w:val="22"/>
                <w:u w:val="none"/>
              </w:rPr>
            </w:pPr>
          </w:p>
        </w:tc>
        <w:tc>
          <w:tcPr>
            <w:tcW w:w="49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十八、自然资源海洋气象等支出</w:t>
            </w:r>
          </w:p>
        </w:tc>
        <w:tc>
          <w:tcPr>
            <w:tcW w:w="8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4</w:t>
            </w:r>
            <w:r>
              <w:rPr>
                <w:rFonts w:hint="eastAsia" w:cs="宋体"/>
                <w:b/>
                <w:bCs/>
                <w:i w:val="0"/>
                <w:iCs w:val="0"/>
                <w:color w:val="auto"/>
                <w:kern w:val="0"/>
                <w:sz w:val="22"/>
                <w:szCs w:val="22"/>
                <w:u w:val="none"/>
                <w:lang w:val="en-US" w:eastAsia="zh-CN" w:bidi="ar"/>
              </w:rPr>
              <w:t>8</w:t>
            </w:r>
          </w:p>
        </w:tc>
        <w:tc>
          <w:tcPr>
            <w:tcW w:w="4419"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cs="Times New Roman"/>
                <w:color w:val="auto"/>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b/>
                <w:bCs/>
                <w:i w:val="0"/>
                <w:iCs w:val="0"/>
                <w:color w:val="auto"/>
                <w:sz w:val="22"/>
                <w:szCs w:val="22"/>
                <w:u w:val="none"/>
              </w:rPr>
            </w:pPr>
          </w:p>
        </w:tc>
        <w:tc>
          <w:tcPr>
            <w:tcW w:w="83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19</w:t>
            </w:r>
          </w:p>
        </w:tc>
        <w:tc>
          <w:tcPr>
            <w:tcW w:w="4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auto"/>
                <w:sz w:val="22"/>
                <w:szCs w:val="22"/>
                <w:u w:val="none"/>
              </w:rPr>
            </w:pPr>
          </w:p>
        </w:tc>
        <w:tc>
          <w:tcPr>
            <w:tcW w:w="49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十九、住房保障支出</w:t>
            </w:r>
          </w:p>
        </w:tc>
        <w:tc>
          <w:tcPr>
            <w:tcW w:w="8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cs="宋体"/>
                <w:b/>
                <w:bCs/>
                <w:i w:val="0"/>
                <w:iCs w:val="0"/>
                <w:color w:val="auto"/>
                <w:kern w:val="0"/>
                <w:sz w:val="22"/>
                <w:szCs w:val="22"/>
                <w:u w:val="none"/>
                <w:lang w:val="en-US" w:eastAsia="zh-CN" w:bidi="ar"/>
              </w:rPr>
              <w:t>49</w:t>
            </w:r>
          </w:p>
        </w:tc>
        <w:tc>
          <w:tcPr>
            <w:tcW w:w="4419"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cs="Times New Roman"/>
                <w:color w:val="auto"/>
                <w:sz w:val="22"/>
                <w:szCs w:val="22"/>
              </w:rPr>
              <w:t xml:space="preserve">43,778.88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b/>
                <w:bCs/>
                <w:i w:val="0"/>
                <w:iCs w:val="0"/>
                <w:color w:val="auto"/>
                <w:sz w:val="22"/>
                <w:szCs w:val="22"/>
                <w:u w:val="none"/>
              </w:rPr>
            </w:pPr>
          </w:p>
        </w:tc>
        <w:tc>
          <w:tcPr>
            <w:tcW w:w="83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20</w:t>
            </w:r>
          </w:p>
        </w:tc>
        <w:tc>
          <w:tcPr>
            <w:tcW w:w="4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auto"/>
                <w:sz w:val="22"/>
                <w:szCs w:val="22"/>
                <w:u w:val="none"/>
              </w:rPr>
            </w:pPr>
          </w:p>
        </w:tc>
        <w:tc>
          <w:tcPr>
            <w:tcW w:w="49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二十、粮油物资储备支出</w:t>
            </w:r>
          </w:p>
        </w:tc>
        <w:tc>
          <w:tcPr>
            <w:tcW w:w="8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5</w:t>
            </w:r>
            <w:r>
              <w:rPr>
                <w:rFonts w:hint="eastAsia" w:cs="宋体"/>
                <w:b/>
                <w:bCs/>
                <w:i w:val="0"/>
                <w:iCs w:val="0"/>
                <w:color w:val="auto"/>
                <w:kern w:val="0"/>
                <w:sz w:val="22"/>
                <w:szCs w:val="22"/>
                <w:u w:val="none"/>
                <w:lang w:val="en-US" w:eastAsia="zh-CN" w:bidi="ar"/>
              </w:rPr>
              <w:t>0</w:t>
            </w:r>
          </w:p>
        </w:tc>
        <w:tc>
          <w:tcPr>
            <w:tcW w:w="4419"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cs="Times New Roman"/>
                <w:color w:val="auto"/>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b/>
                <w:bCs/>
                <w:i w:val="0"/>
                <w:iCs w:val="0"/>
                <w:color w:val="auto"/>
                <w:sz w:val="22"/>
                <w:szCs w:val="22"/>
                <w:u w:val="none"/>
              </w:rPr>
            </w:pPr>
          </w:p>
        </w:tc>
        <w:tc>
          <w:tcPr>
            <w:tcW w:w="83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21</w:t>
            </w:r>
          </w:p>
        </w:tc>
        <w:tc>
          <w:tcPr>
            <w:tcW w:w="4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auto"/>
                <w:sz w:val="22"/>
                <w:szCs w:val="22"/>
                <w:u w:val="none"/>
              </w:rPr>
            </w:pPr>
          </w:p>
        </w:tc>
        <w:tc>
          <w:tcPr>
            <w:tcW w:w="49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二十一、国有资本经营预算支出</w:t>
            </w:r>
          </w:p>
        </w:tc>
        <w:tc>
          <w:tcPr>
            <w:tcW w:w="8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5</w:t>
            </w:r>
            <w:r>
              <w:rPr>
                <w:rFonts w:hint="eastAsia" w:cs="宋体"/>
                <w:b/>
                <w:bCs/>
                <w:i w:val="0"/>
                <w:iCs w:val="0"/>
                <w:color w:val="auto"/>
                <w:kern w:val="0"/>
                <w:sz w:val="22"/>
                <w:szCs w:val="22"/>
                <w:u w:val="none"/>
                <w:lang w:val="en-US" w:eastAsia="zh-CN" w:bidi="ar"/>
              </w:rPr>
              <w:t>1</w:t>
            </w:r>
          </w:p>
        </w:tc>
        <w:tc>
          <w:tcPr>
            <w:tcW w:w="4419"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cs="Times New Roman"/>
                <w:color w:val="auto"/>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b/>
                <w:bCs/>
                <w:i w:val="0"/>
                <w:iCs w:val="0"/>
                <w:color w:val="auto"/>
                <w:sz w:val="22"/>
                <w:szCs w:val="22"/>
                <w:u w:val="none"/>
              </w:rPr>
            </w:pPr>
          </w:p>
        </w:tc>
        <w:tc>
          <w:tcPr>
            <w:tcW w:w="83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22</w:t>
            </w:r>
          </w:p>
        </w:tc>
        <w:tc>
          <w:tcPr>
            <w:tcW w:w="4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auto"/>
                <w:sz w:val="22"/>
                <w:szCs w:val="22"/>
                <w:u w:val="none"/>
              </w:rPr>
            </w:pPr>
          </w:p>
        </w:tc>
        <w:tc>
          <w:tcPr>
            <w:tcW w:w="49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二十二、灾害防治及应急管理支出</w:t>
            </w:r>
          </w:p>
        </w:tc>
        <w:tc>
          <w:tcPr>
            <w:tcW w:w="8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5</w:t>
            </w:r>
            <w:r>
              <w:rPr>
                <w:rFonts w:hint="eastAsia" w:cs="宋体"/>
                <w:b/>
                <w:bCs/>
                <w:i w:val="0"/>
                <w:iCs w:val="0"/>
                <w:color w:val="auto"/>
                <w:kern w:val="0"/>
                <w:sz w:val="22"/>
                <w:szCs w:val="22"/>
                <w:u w:val="none"/>
                <w:lang w:val="en-US" w:eastAsia="zh-CN" w:bidi="ar"/>
              </w:rPr>
              <w:t>2</w:t>
            </w:r>
          </w:p>
        </w:tc>
        <w:tc>
          <w:tcPr>
            <w:tcW w:w="4419"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cs="Times New Roman"/>
                <w:color w:val="auto"/>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b/>
                <w:bCs/>
                <w:i w:val="0"/>
                <w:iCs w:val="0"/>
                <w:color w:val="auto"/>
                <w:sz w:val="22"/>
                <w:szCs w:val="22"/>
                <w:u w:val="none"/>
              </w:rPr>
            </w:pPr>
          </w:p>
        </w:tc>
        <w:tc>
          <w:tcPr>
            <w:tcW w:w="83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23</w:t>
            </w:r>
          </w:p>
        </w:tc>
        <w:tc>
          <w:tcPr>
            <w:tcW w:w="4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auto"/>
                <w:sz w:val="22"/>
                <w:szCs w:val="22"/>
                <w:u w:val="none"/>
              </w:rPr>
            </w:pPr>
          </w:p>
        </w:tc>
        <w:tc>
          <w:tcPr>
            <w:tcW w:w="49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二十三、其他支出</w:t>
            </w:r>
          </w:p>
        </w:tc>
        <w:tc>
          <w:tcPr>
            <w:tcW w:w="8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5</w:t>
            </w:r>
            <w:r>
              <w:rPr>
                <w:rFonts w:hint="eastAsia" w:cs="宋体"/>
                <w:b/>
                <w:bCs/>
                <w:i w:val="0"/>
                <w:iCs w:val="0"/>
                <w:color w:val="auto"/>
                <w:kern w:val="0"/>
                <w:sz w:val="22"/>
                <w:szCs w:val="22"/>
                <w:u w:val="none"/>
                <w:lang w:val="en-US" w:eastAsia="zh-CN" w:bidi="ar"/>
              </w:rPr>
              <w:t>3</w:t>
            </w:r>
          </w:p>
        </w:tc>
        <w:tc>
          <w:tcPr>
            <w:tcW w:w="4419"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cs="Times New Roman"/>
                <w:color w:val="auto"/>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auto"/>
                <w:sz w:val="22"/>
                <w:szCs w:val="22"/>
                <w:u w:val="none"/>
              </w:rPr>
            </w:pPr>
          </w:p>
        </w:tc>
        <w:tc>
          <w:tcPr>
            <w:tcW w:w="83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24</w:t>
            </w:r>
          </w:p>
        </w:tc>
        <w:tc>
          <w:tcPr>
            <w:tcW w:w="4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auto"/>
                <w:sz w:val="22"/>
                <w:szCs w:val="22"/>
                <w:u w:val="none"/>
              </w:rPr>
            </w:pPr>
          </w:p>
        </w:tc>
        <w:tc>
          <w:tcPr>
            <w:tcW w:w="49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二十四、债务还本支出</w:t>
            </w:r>
          </w:p>
        </w:tc>
        <w:tc>
          <w:tcPr>
            <w:tcW w:w="8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5</w:t>
            </w:r>
            <w:r>
              <w:rPr>
                <w:rFonts w:hint="eastAsia" w:cs="宋体"/>
                <w:b/>
                <w:bCs/>
                <w:i w:val="0"/>
                <w:iCs w:val="0"/>
                <w:color w:val="auto"/>
                <w:kern w:val="0"/>
                <w:sz w:val="22"/>
                <w:szCs w:val="22"/>
                <w:u w:val="none"/>
                <w:lang w:val="en-US" w:eastAsia="zh-CN" w:bidi="ar"/>
              </w:rPr>
              <w:t>4</w:t>
            </w:r>
          </w:p>
        </w:tc>
        <w:tc>
          <w:tcPr>
            <w:tcW w:w="4419"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cs="Times New Roman"/>
                <w:color w:val="auto"/>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b/>
                <w:bCs/>
                <w:i w:val="0"/>
                <w:iCs w:val="0"/>
                <w:color w:val="auto"/>
                <w:sz w:val="22"/>
                <w:szCs w:val="22"/>
                <w:u w:val="none"/>
              </w:rPr>
            </w:pPr>
          </w:p>
        </w:tc>
        <w:tc>
          <w:tcPr>
            <w:tcW w:w="83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25</w:t>
            </w:r>
          </w:p>
        </w:tc>
        <w:tc>
          <w:tcPr>
            <w:tcW w:w="4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auto"/>
                <w:sz w:val="22"/>
                <w:szCs w:val="22"/>
                <w:u w:val="none"/>
              </w:rPr>
            </w:pPr>
          </w:p>
        </w:tc>
        <w:tc>
          <w:tcPr>
            <w:tcW w:w="49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二十五、债务付息支出</w:t>
            </w:r>
          </w:p>
        </w:tc>
        <w:tc>
          <w:tcPr>
            <w:tcW w:w="8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5</w:t>
            </w:r>
            <w:r>
              <w:rPr>
                <w:rFonts w:hint="eastAsia" w:cs="宋体"/>
                <w:b/>
                <w:bCs/>
                <w:i w:val="0"/>
                <w:iCs w:val="0"/>
                <w:color w:val="auto"/>
                <w:kern w:val="0"/>
                <w:sz w:val="22"/>
                <w:szCs w:val="22"/>
                <w:u w:val="none"/>
                <w:lang w:val="en-US" w:eastAsia="zh-CN" w:bidi="ar"/>
              </w:rPr>
              <w:t>5</w:t>
            </w:r>
          </w:p>
        </w:tc>
        <w:tc>
          <w:tcPr>
            <w:tcW w:w="4419"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cs="Times New Roman"/>
                <w:color w:val="auto"/>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b/>
                <w:bCs/>
                <w:i w:val="0"/>
                <w:iCs w:val="0"/>
                <w:color w:val="auto"/>
                <w:sz w:val="22"/>
                <w:szCs w:val="22"/>
                <w:u w:val="none"/>
              </w:rPr>
            </w:pPr>
          </w:p>
        </w:tc>
        <w:tc>
          <w:tcPr>
            <w:tcW w:w="83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26</w:t>
            </w:r>
          </w:p>
        </w:tc>
        <w:tc>
          <w:tcPr>
            <w:tcW w:w="4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auto"/>
                <w:sz w:val="22"/>
                <w:szCs w:val="22"/>
                <w:u w:val="none"/>
              </w:rPr>
            </w:pPr>
          </w:p>
        </w:tc>
        <w:tc>
          <w:tcPr>
            <w:tcW w:w="49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二十六、抗疫特别国债安排的支出</w:t>
            </w:r>
          </w:p>
        </w:tc>
        <w:tc>
          <w:tcPr>
            <w:tcW w:w="8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5</w:t>
            </w:r>
            <w:r>
              <w:rPr>
                <w:rFonts w:hint="eastAsia" w:cs="宋体"/>
                <w:b/>
                <w:bCs/>
                <w:i w:val="0"/>
                <w:iCs w:val="0"/>
                <w:color w:val="auto"/>
                <w:kern w:val="0"/>
                <w:sz w:val="22"/>
                <w:szCs w:val="22"/>
                <w:u w:val="none"/>
                <w:lang w:val="en-US" w:eastAsia="zh-CN" w:bidi="ar"/>
              </w:rPr>
              <w:t>6</w:t>
            </w:r>
          </w:p>
        </w:tc>
        <w:tc>
          <w:tcPr>
            <w:tcW w:w="4419"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cs="Times New Roman"/>
                <w:color w:val="auto"/>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本年收入合计</w:t>
            </w:r>
          </w:p>
        </w:tc>
        <w:tc>
          <w:tcPr>
            <w:tcW w:w="83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27</w:t>
            </w:r>
          </w:p>
        </w:tc>
        <w:tc>
          <w:tcPr>
            <w:tcW w:w="4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996,998.71 </w:t>
            </w:r>
          </w:p>
        </w:tc>
        <w:tc>
          <w:tcPr>
            <w:tcW w:w="49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本年支出合计</w:t>
            </w:r>
          </w:p>
        </w:tc>
        <w:tc>
          <w:tcPr>
            <w:tcW w:w="8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5</w:t>
            </w:r>
            <w:r>
              <w:rPr>
                <w:rFonts w:hint="eastAsia" w:cs="宋体"/>
                <w:b/>
                <w:bCs/>
                <w:i w:val="0"/>
                <w:iCs w:val="0"/>
                <w:color w:val="auto"/>
                <w:kern w:val="0"/>
                <w:sz w:val="22"/>
                <w:szCs w:val="22"/>
                <w:u w:val="none"/>
                <w:lang w:val="en-US" w:eastAsia="zh-CN" w:bidi="ar"/>
              </w:rPr>
              <w:t>7</w:t>
            </w:r>
          </w:p>
        </w:tc>
        <w:tc>
          <w:tcPr>
            <w:tcW w:w="4419"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cs="Times New Roman"/>
                <w:color w:val="auto"/>
                <w:sz w:val="22"/>
                <w:szCs w:val="22"/>
              </w:rPr>
              <w:t xml:space="preserve">996,998.71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使用非财政拨款结余（含专用结余）</w:t>
            </w:r>
          </w:p>
        </w:tc>
        <w:tc>
          <w:tcPr>
            <w:tcW w:w="83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28</w:t>
            </w:r>
          </w:p>
        </w:tc>
        <w:tc>
          <w:tcPr>
            <w:tcW w:w="4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c>
          <w:tcPr>
            <w:tcW w:w="49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结余分配</w:t>
            </w:r>
          </w:p>
        </w:tc>
        <w:tc>
          <w:tcPr>
            <w:tcW w:w="8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5</w:t>
            </w:r>
            <w:r>
              <w:rPr>
                <w:rFonts w:hint="eastAsia" w:cs="宋体"/>
                <w:b/>
                <w:bCs/>
                <w:i w:val="0"/>
                <w:iCs w:val="0"/>
                <w:color w:val="auto"/>
                <w:kern w:val="0"/>
                <w:sz w:val="22"/>
                <w:szCs w:val="22"/>
                <w:u w:val="none"/>
                <w:lang w:val="en-US" w:eastAsia="zh-CN" w:bidi="ar"/>
              </w:rPr>
              <w:t>8</w:t>
            </w:r>
          </w:p>
        </w:tc>
        <w:tc>
          <w:tcPr>
            <w:tcW w:w="4419" w:type="dxa"/>
            <w:tcBorders>
              <w:top w:val="nil"/>
              <w:left w:val="nil"/>
              <w:bottom w:val="single" w:color="auto"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cs="Times New Roman"/>
                <w:color w:val="auto"/>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年初结转和结余</w:t>
            </w:r>
          </w:p>
        </w:tc>
        <w:tc>
          <w:tcPr>
            <w:tcW w:w="83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29</w:t>
            </w:r>
          </w:p>
        </w:tc>
        <w:tc>
          <w:tcPr>
            <w:tcW w:w="4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c>
          <w:tcPr>
            <w:tcW w:w="49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年末结转和结余</w:t>
            </w:r>
          </w:p>
        </w:tc>
        <w:tc>
          <w:tcPr>
            <w:tcW w:w="800" w:type="dxa"/>
            <w:tcBorders>
              <w:top w:val="nil"/>
              <w:left w:val="nil"/>
              <w:bottom w:val="single" w:color="000000"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cs="宋体"/>
                <w:b/>
                <w:bCs/>
                <w:i w:val="0"/>
                <w:iCs w:val="0"/>
                <w:color w:val="auto"/>
                <w:sz w:val="22"/>
                <w:szCs w:val="22"/>
                <w:u w:val="none"/>
                <w:lang w:val="en-US" w:eastAsia="zh-CN"/>
              </w:rPr>
              <w:t>59</w:t>
            </w:r>
          </w:p>
        </w:tc>
        <w:tc>
          <w:tcPr>
            <w:tcW w:w="441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cs="Times New Roman"/>
                <w:color w:val="auto"/>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总计</w:t>
            </w:r>
          </w:p>
        </w:tc>
        <w:tc>
          <w:tcPr>
            <w:tcW w:w="838"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3</w:t>
            </w:r>
            <w:r>
              <w:rPr>
                <w:rFonts w:hint="eastAsia" w:cs="宋体"/>
                <w:b/>
                <w:bCs/>
                <w:i w:val="0"/>
                <w:iCs w:val="0"/>
                <w:color w:val="auto"/>
                <w:kern w:val="0"/>
                <w:sz w:val="22"/>
                <w:szCs w:val="22"/>
                <w:u w:val="none"/>
                <w:lang w:val="en-US" w:eastAsia="zh-CN" w:bidi="ar"/>
              </w:rPr>
              <w:t>0</w:t>
            </w:r>
          </w:p>
        </w:tc>
        <w:tc>
          <w:tcPr>
            <w:tcW w:w="4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996,998.71 </w:t>
            </w:r>
          </w:p>
        </w:tc>
        <w:tc>
          <w:tcPr>
            <w:tcW w:w="49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总计</w:t>
            </w:r>
          </w:p>
        </w:tc>
        <w:tc>
          <w:tcPr>
            <w:tcW w:w="800" w:type="dxa"/>
            <w:tcBorders>
              <w:top w:val="nil"/>
              <w:left w:val="nil"/>
              <w:bottom w:val="single" w:color="000000"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6</w:t>
            </w:r>
            <w:r>
              <w:rPr>
                <w:rFonts w:hint="eastAsia" w:cs="宋体"/>
                <w:b/>
                <w:bCs/>
                <w:i w:val="0"/>
                <w:iCs w:val="0"/>
                <w:color w:val="auto"/>
                <w:kern w:val="0"/>
                <w:sz w:val="22"/>
                <w:szCs w:val="22"/>
                <w:u w:val="none"/>
                <w:lang w:val="en-US" w:eastAsia="zh-CN" w:bidi="ar"/>
              </w:rPr>
              <w:t>0</w:t>
            </w:r>
          </w:p>
        </w:tc>
        <w:tc>
          <w:tcPr>
            <w:tcW w:w="441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cs="Times New Roman"/>
                <w:color w:val="auto"/>
                <w:sz w:val="22"/>
                <w:szCs w:val="22"/>
              </w:rPr>
              <w:t>996,998.71</w:t>
            </w:r>
          </w:p>
        </w:tc>
      </w:tr>
    </w:tbl>
    <w:p>
      <w:pPr>
        <w:pStyle w:val="9"/>
        <w:numPr>
          <w:ilvl w:val="0"/>
          <w:numId w:val="0"/>
        </w:numPr>
        <w:autoSpaceDE w:val="0"/>
        <w:rPr>
          <w:rFonts w:hint="eastAsia" w:ascii="宋体" w:hAnsi="宋体" w:eastAsia="宋体" w:cs="宋体"/>
          <w:color w:val="auto"/>
          <w:sz w:val="21"/>
          <w:szCs w:val="21"/>
          <w:lang w:val="en-US" w:eastAsia="zh-CN"/>
        </w:rPr>
        <w:sectPr>
          <w:headerReference r:id="rId4" w:type="default"/>
          <w:footerReference r:id="rId5" w:type="default"/>
          <w:pgSz w:w="23811" w:h="16838" w:orient="landscape"/>
          <w:pgMar w:top="567" w:right="454" w:bottom="567" w:left="1037" w:header="0" w:footer="283" w:gutter="0"/>
          <w:pgNumType w:fmt="numberInDash"/>
          <w:cols w:space="720" w:num="1"/>
          <w:docGrid w:type="lines" w:linePitch="312" w:charSpace="0"/>
        </w:sectPr>
      </w:pPr>
    </w:p>
    <w:p>
      <w:pPr>
        <w:pStyle w:val="9"/>
        <w:numPr>
          <w:ilvl w:val="0"/>
          <w:numId w:val="0"/>
        </w:numPr>
        <w:autoSpaceDE w:val="0"/>
        <w:rPr>
          <w:rFonts w:hint="eastAsia" w:ascii="宋体" w:hAnsi="宋体" w:eastAsia="宋体" w:cs="宋体"/>
          <w:color w:val="auto"/>
          <w:sz w:val="21"/>
          <w:szCs w:val="21"/>
          <w:lang w:val="en-US" w:eastAsia="zh-CN"/>
        </w:rPr>
      </w:pPr>
    </w:p>
    <w:tbl>
      <w:tblPr>
        <w:tblStyle w:val="6"/>
        <w:tblW w:w="22443"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584"/>
        <w:gridCol w:w="583"/>
        <w:gridCol w:w="550"/>
        <w:gridCol w:w="3900"/>
        <w:gridCol w:w="2403"/>
        <w:gridCol w:w="2403"/>
        <w:gridCol w:w="2403"/>
        <w:gridCol w:w="2403"/>
        <w:gridCol w:w="2403"/>
        <w:gridCol w:w="2403"/>
        <w:gridCol w:w="2408"/>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trPr>
        <w:tc>
          <w:tcPr>
            <w:tcW w:w="22443" w:type="dxa"/>
            <w:gridSpan w:val="11"/>
            <w:tcBorders>
              <w:top w:val="nil"/>
              <w:left w:val="nil"/>
              <w:bottom w:val="nil"/>
              <w:right w:val="nil"/>
            </w:tcBorders>
            <w:shd w:val="clear" w:color="auto" w:fill="auto"/>
            <w:vAlign w:val="bottom"/>
          </w:tcPr>
          <w:p>
            <w:pPr>
              <w:keepNext w:val="0"/>
              <w:keepLines w:val="0"/>
              <w:widowControl/>
              <w:suppressLineNumbers w:val="0"/>
              <w:jc w:val="center"/>
              <w:textAlignment w:val="bottom"/>
              <w:rPr>
                <w:rFonts w:hint="eastAsia" w:ascii="宋体" w:hAnsi="宋体" w:eastAsia="宋体" w:cs="宋体"/>
                <w:i w:val="0"/>
                <w:iCs w:val="0"/>
                <w:color w:val="auto"/>
                <w:sz w:val="30"/>
                <w:szCs w:val="30"/>
                <w:u w:val="none"/>
              </w:rPr>
            </w:pPr>
            <w:r>
              <w:rPr>
                <w:rFonts w:hint="eastAsia" w:ascii="宋体" w:hAnsi="宋体" w:eastAsia="宋体" w:cs="宋体"/>
                <w:b/>
                <w:bCs/>
                <w:i w:val="0"/>
                <w:iCs w:val="0"/>
                <w:color w:val="auto"/>
                <w:kern w:val="0"/>
                <w:sz w:val="30"/>
                <w:szCs w:val="30"/>
                <w:u w:val="none"/>
                <w:lang w:val="en-US" w:eastAsia="zh-CN" w:bidi="ar"/>
              </w:rPr>
              <w:t>收入决算表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0" w:hRule="atLeast"/>
        </w:trPr>
        <w:tc>
          <w:tcPr>
            <w:tcW w:w="20035" w:type="dxa"/>
            <w:gridSpan w:val="10"/>
            <w:tcBorders>
              <w:top w:val="nil"/>
              <w:left w:val="nil"/>
              <w:bottom w:val="nil"/>
              <w:right w:val="nil"/>
            </w:tcBorders>
            <w:shd w:val="clear" w:color="auto" w:fill="auto"/>
            <w:vAlign w:val="bottom"/>
          </w:tcPr>
          <w:p>
            <w:pPr>
              <w:rPr>
                <w:rFonts w:hint="default" w:ascii="Arial" w:hAnsi="Arial" w:eastAsia="宋体" w:cs="Arial"/>
                <w:i w:val="0"/>
                <w:iCs w:val="0"/>
                <w:color w:val="auto"/>
                <w:sz w:val="20"/>
                <w:szCs w:val="20"/>
                <w:u w:val="none"/>
              </w:rPr>
            </w:pPr>
            <w:r>
              <w:rPr>
                <w:rFonts w:hint="eastAsia" w:cs="宋体"/>
                <w:color w:val="auto"/>
                <w:sz w:val="20"/>
                <w:szCs w:val="20"/>
                <w:lang w:eastAsia="zh-CN"/>
              </w:rPr>
              <w:t>单位</w:t>
            </w:r>
            <w:r>
              <w:rPr>
                <w:rFonts w:cs="宋体"/>
                <w:color w:val="auto"/>
                <w:sz w:val="20"/>
                <w:szCs w:val="20"/>
              </w:rPr>
              <w:t>：</w:t>
            </w:r>
            <w:r>
              <w:rPr>
                <w:color w:val="auto"/>
                <w:sz w:val="20"/>
                <w:u w:color="auto"/>
              </w:rPr>
              <w:t>石柱土家族自治县服务业发展指导中心</w:t>
            </w:r>
          </w:p>
        </w:tc>
        <w:tc>
          <w:tcPr>
            <w:tcW w:w="2408" w:type="dxa"/>
            <w:tcBorders>
              <w:top w:val="nil"/>
              <w:left w:val="nil"/>
              <w:right w:val="nil"/>
            </w:tcBorders>
            <w:shd w:val="clear" w:color="auto" w:fill="auto"/>
            <w:vAlign w:val="bottom"/>
          </w:tcPr>
          <w:p>
            <w:pPr>
              <w:keepNext w:val="0"/>
              <w:keepLines w:val="0"/>
              <w:widowControl/>
              <w:suppressLineNumbers w:val="0"/>
              <w:jc w:val="right"/>
              <w:textAlignment w:val="bottom"/>
              <w:rPr>
                <w:rFonts w:hint="default" w:ascii="Arial" w:hAnsi="Arial" w:eastAsia="宋体" w:cs="Arial"/>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02表</w:t>
            </w:r>
          </w:p>
          <w:p>
            <w:pPr>
              <w:keepNext w:val="0"/>
              <w:keepLines w:val="0"/>
              <w:widowControl/>
              <w:suppressLineNumbers w:val="0"/>
              <w:jc w:val="right"/>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单位：</w:t>
            </w:r>
            <w:r>
              <w:rPr>
                <w:rFonts w:hint="eastAsia" w:cs="宋体"/>
                <w:i w:val="0"/>
                <w:iCs w:val="0"/>
                <w:color w:val="auto"/>
                <w:kern w:val="0"/>
                <w:sz w:val="20"/>
                <w:szCs w:val="20"/>
                <w:u w:val="none"/>
                <w:lang w:val="en-US" w:eastAsia="zh-CN" w:bidi="ar"/>
              </w:rPr>
              <w:t>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717"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科目代码</w:t>
            </w:r>
          </w:p>
        </w:tc>
        <w:tc>
          <w:tcPr>
            <w:tcW w:w="3900" w:type="dxa"/>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科目名称</w:t>
            </w:r>
          </w:p>
        </w:tc>
        <w:tc>
          <w:tcPr>
            <w:tcW w:w="2403" w:type="dxa"/>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本年收入合计</w:t>
            </w:r>
          </w:p>
        </w:tc>
        <w:tc>
          <w:tcPr>
            <w:tcW w:w="2403" w:type="dxa"/>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财政拨款收入</w:t>
            </w:r>
          </w:p>
        </w:tc>
        <w:tc>
          <w:tcPr>
            <w:tcW w:w="2403" w:type="dxa"/>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上级补助收入</w:t>
            </w:r>
          </w:p>
        </w:tc>
        <w:tc>
          <w:tcPr>
            <w:tcW w:w="2403" w:type="dxa"/>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事业收入</w:t>
            </w:r>
          </w:p>
        </w:tc>
        <w:tc>
          <w:tcPr>
            <w:tcW w:w="2403" w:type="dxa"/>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经营收入</w:t>
            </w:r>
          </w:p>
        </w:tc>
        <w:tc>
          <w:tcPr>
            <w:tcW w:w="2403" w:type="dxa"/>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附属单位上缴收入</w:t>
            </w:r>
          </w:p>
        </w:tc>
        <w:tc>
          <w:tcPr>
            <w:tcW w:w="2408" w:type="dxa"/>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其他收入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717"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2"/>
                <w:szCs w:val="22"/>
                <w:u w:val="none"/>
              </w:rPr>
            </w:pPr>
          </w:p>
        </w:tc>
        <w:tc>
          <w:tcPr>
            <w:tcW w:w="3900"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2"/>
                <w:szCs w:val="22"/>
                <w:u w:val="none"/>
              </w:rPr>
            </w:pPr>
          </w:p>
        </w:tc>
        <w:tc>
          <w:tcPr>
            <w:tcW w:w="2408"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717"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2"/>
                <w:szCs w:val="22"/>
                <w:u w:val="none"/>
              </w:rPr>
            </w:pPr>
          </w:p>
        </w:tc>
        <w:tc>
          <w:tcPr>
            <w:tcW w:w="3900"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2"/>
                <w:szCs w:val="22"/>
                <w:u w:val="none"/>
              </w:rPr>
            </w:pPr>
          </w:p>
        </w:tc>
        <w:tc>
          <w:tcPr>
            <w:tcW w:w="2408"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717"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2"/>
                <w:szCs w:val="22"/>
                <w:u w:val="none"/>
              </w:rPr>
            </w:pPr>
          </w:p>
        </w:tc>
        <w:tc>
          <w:tcPr>
            <w:tcW w:w="3900"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2"/>
                <w:szCs w:val="22"/>
                <w:u w:val="none"/>
              </w:rPr>
            </w:pPr>
          </w:p>
        </w:tc>
        <w:tc>
          <w:tcPr>
            <w:tcW w:w="2408"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584" w:type="dxa"/>
            <w:vMerge w:val="restar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类</w:t>
            </w:r>
          </w:p>
        </w:tc>
        <w:tc>
          <w:tcPr>
            <w:tcW w:w="583"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款</w:t>
            </w:r>
          </w:p>
        </w:tc>
        <w:tc>
          <w:tcPr>
            <w:tcW w:w="550"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项</w:t>
            </w:r>
          </w:p>
        </w:tc>
        <w:tc>
          <w:tcPr>
            <w:tcW w:w="39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栏次</w:t>
            </w:r>
          </w:p>
        </w:tc>
        <w:tc>
          <w:tcPr>
            <w:tcW w:w="240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1</w:t>
            </w:r>
          </w:p>
        </w:tc>
        <w:tc>
          <w:tcPr>
            <w:tcW w:w="240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2</w:t>
            </w:r>
          </w:p>
        </w:tc>
        <w:tc>
          <w:tcPr>
            <w:tcW w:w="240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3</w:t>
            </w:r>
          </w:p>
        </w:tc>
        <w:tc>
          <w:tcPr>
            <w:tcW w:w="240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4</w:t>
            </w:r>
          </w:p>
        </w:tc>
        <w:tc>
          <w:tcPr>
            <w:tcW w:w="240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5</w:t>
            </w:r>
          </w:p>
        </w:tc>
        <w:tc>
          <w:tcPr>
            <w:tcW w:w="240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6</w:t>
            </w:r>
          </w:p>
        </w:tc>
        <w:tc>
          <w:tcPr>
            <w:tcW w:w="240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584" w:type="dxa"/>
            <w:vMerge w:val="continue"/>
            <w:tcBorders>
              <w:top w:val="nil"/>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2"/>
                <w:szCs w:val="22"/>
                <w:u w:val="none"/>
              </w:rPr>
            </w:pPr>
          </w:p>
        </w:tc>
        <w:tc>
          <w:tcPr>
            <w:tcW w:w="583"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2"/>
                <w:szCs w:val="22"/>
                <w:u w:val="none"/>
              </w:rPr>
            </w:pPr>
          </w:p>
        </w:tc>
        <w:tc>
          <w:tcPr>
            <w:tcW w:w="550"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2"/>
                <w:szCs w:val="22"/>
                <w:u w:val="none"/>
              </w:rPr>
            </w:pPr>
          </w:p>
        </w:tc>
        <w:tc>
          <w:tcPr>
            <w:tcW w:w="39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合计</w:t>
            </w:r>
          </w:p>
        </w:tc>
        <w:tc>
          <w:tcPr>
            <w:tcW w:w="240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auto"/>
                <w:sz w:val="22"/>
                <w:szCs w:val="22"/>
                <w:u w:val="none"/>
              </w:rPr>
            </w:pPr>
            <w:r>
              <w:rPr>
                <w:rFonts w:hint="default" w:ascii="Times New Roman" w:hAnsi="Times New Roman" w:cs="Times New Roman"/>
                <w:b/>
                <w:bCs/>
                <w:color w:val="auto"/>
                <w:sz w:val="22"/>
                <w:szCs w:val="22"/>
              </w:rPr>
              <w:t xml:space="preserve">996,998.71 </w:t>
            </w:r>
          </w:p>
        </w:tc>
        <w:tc>
          <w:tcPr>
            <w:tcW w:w="240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auto"/>
                <w:sz w:val="22"/>
                <w:szCs w:val="22"/>
                <w:u w:val="none"/>
              </w:rPr>
            </w:pPr>
            <w:r>
              <w:rPr>
                <w:rFonts w:hint="default" w:ascii="Times New Roman" w:hAnsi="Times New Roman" w:cs="Times New Roman"/>
                <w:b/>
                <w:bCs/>
                <w:color w:val="auto"/>
                <w:sz w:val="22"/>
                <w:szCs w:val="22"/>
              </w:rPr>
              <w:t xml:space="preserve">996,998.71 </w:t>
            </w:r>
          </w:p>
        </w:tc>
        <w:tc>
          <w:tcPr>
            <w:tcW w:w="240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auto"/>
                <w:sz w:val="22"/>
                <w:szCs w:val="22"/>
                <w:u w:val="none"/>
              </w:rPr>
            </w:pPr>
            <w:r>
              <w:rPr>
                <w:rFonts w:hint="default" w:ascii="Times New Roman" w:hAnsi="Times New Roman" w:cs="Times New Roman"/>
                <w:b/>
                <w:bCs/>
                <w:color w:val="auto"/>
                <w:sz w:val="22"/>
                <w:szCs w:val="22"/>
              </w:rPr>
              <w:t xml:space="preserve">0.00 </w:t>
            </w:r>
          </w:p>
        </w:tc>
        <w:tc>
          <w:tcPr>
            <w:tcW w:w="240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auto"/>
                <w:sz w:val="22"/>
                <w:szCs w:val="22"/>
                <w:u w:val="none"/>
              </w:rPr>
            </w:pPr>
            <w:r>
              <w:rPr>
                <w:rFonts w:hint="default" w:ascii="Times New Roman" w:hAnsi="Times New Roman" w:cs="Times New Roman"/>
                <w:b/>
                <w:bCs/>
                <w:color w:val="auto"/>
                <w:sz w:val="22"/>
                <w:szCs w:val="22"/>
              </w:rPr>
              <w:t xml:space="preserve">0.00 </w:t>
            </w:r>
          </w:p>
        </w:tc>
        <w:tc>
          <w:tcPr>
            <w:tcW w:w="240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auto"/>
                <w:sz w:val="22"/>
                <w:szCs w:val="22"/>
                <w:u w:val="none"/>
              </w:rPr>
            </w:pPr>
            <w:r>
              <w:rPr>
                <w:rFonts w:hint="default" w:ascii="Times New Roman" w:hAnsi="Times New Roman" w:cs="Times New Roman"/>
                <w:b/>
                <w:bCs/>
                <w:color w:val="auto"/>
                <w:sz w:val="22"/>
                <w:szCs w:val="22"/>
              </w:rPr>
              <w:t xml:space="preserve">0.00 </w:t>
            </w:r>
          </w:p>
        </w:tc>
        <w:tc>
          <w:tcPr>
            <w:tcW w:w="240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auto"/>
                <w:sz w:val="22"/>
                <w:szCs w:val="22"/>
                <w:u w:val="none"/>
              </w:rPr>
            </w:pPr>
            <w:r>
              <w:rPr>
                <w:rFonts w:hint="default" w:ascii="Times New Roman" w:hAnsi="Times New Roman" w:cs="Times New Roman"/>
                <w:b/>
                <w:bCs/>
                <w:color w:val="auto"/>
                <w:sz w:val="22"/>
                <w:szCs w:val="22"/>
              </w:rPr>
              <w:t xml:space="preserve">0.00 </w:t>
            </w:r>
          </w:p>
        </w:tc>
        <w:tc>
          <w:tcPr>
            <w:tcW w:w="240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auto"/>
                <w:sz w:val="22"/>
                <w:szCs w:val="22"/>
                <w:u w:val="none"/>
              </w:rPr>
            </w:pPr>
            <w:r>
              <w:rPr>
                <w:rFonts w:hint="default" w:ascii="Times New Roman" w:hAnsi="Times New Roman" w:cs="Times New Roman"/>
                <w:b/>
                <w:bCs/>
                <w:color w:val="auto"/>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auto"/>
                <w:sz w:val="22"/>
                <w:szCs w:val="22"/>
                <w:u w:val="none"/>
              </w:rPr>
            </w:pPr>
            <w:r>
              <w:rPr>
                <w:rFonts w:cs="宋体"/>
                <w:b/>
                <w:color w:val="auto"/>
                <w:sz w:val="22"/>
                <w:szCs w:val="22"/>
              </w:rPr>
              <w:t>201</w:t>
            </w:r>
          </w:p>
        </w:tc>
        <w:tc>
          <w:tcPr>
            <w:tcW w:w="39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auto"/>
                <w:sz w:val="22"/>
                <w:szCs w:val="22"/>
                <w:u w:val="none"/>
              </w:rPr>
            </w:pPr>
            <w:r>
              <w:rPr>
                <w:rFonts w:cs="宋体"/>
                <w:b/>
                <w:color w:val="auto"/>
                <w:sz w:val="22"/>
                <w:szCs w:val="22"/>
              </w:rPr>
              <w:t>一般公共服务支出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781,650.19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781,650.19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auto"/>
                <w:sz w:val="22"/>
                <w:szCs w:val="22"/>
                <w:u w:val="none"/>
              </w:rPr>
            </w:pPr>
            <w:r>
              <w:rPr>
                <w:rFonts w:cs="宋体"/>
                <w:b/>
                <w:color w:val="auto"/>
                <w:sz w:val="22"/>
                <w:szCs w:val="22"/>
              </w:rPr>
              <w:t>20104</w:t>
            </w:r>
          </w:p>
        </w:tc>
        <w:tc>
          <w:tcPr>
            <w:tcW w:w="39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auto"/>
                <w:sz w:val="22"/>
                <w:szCs w:val="22"/>
                <w:u w:val="none"/>
              </w:rPr>
            </w:pPr>
            <w:r>
              <w:rPr>
                <w:rFonts w:cs="宋体"/>
                <w:b/>
                <w:color w:val="auto"/>
                <w:sz w:val="22"/>
                <w:szCs w:val="22"/>
              </w:rPr>
              <w:t>发展与改革事务</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781,650.19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781,650.19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auto"/>
                <w:sz w:val="22"/>
                <w:szCs w:val="22"/>
                <w:u w:val="none"/>
              </w:rPr>
            </w:pPr>
            <w:r>
              <w:rPr>
                <w:rFonts w:cs="宋体"/>
                <w:color w:val="auto"/>
                <w:sz w:val="22"/>
                <w:szCs w:val="22"/>
              </w:rPr>
              <w:t>2010450</w:t>
            </w:r>
          </w:p>
        </w:tc>
        <w:tc>
          <w:tcPr>
            <w:tcW w:w="39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auto"/>
                <w:sz w:val="22"/>
                <w:szCs w:val="22"/>
                <w:u w:val="none"/>
              </w:rPr>
            </w:pPr>
            <w:r>
              <w:rPr>
                <w:rFonts w:cs="宋体"/>
                <w:color w:val="auto"/>
                <w:sz w:val="22"/>
                <w:szCs w:val="22"/>
              </w:rPr>
              <w:t>事业运行</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781,650.19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781,650.19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auto"/>
                <w:sz w:val="22"/>
                <w:szCs w:val="22"/>
                <w:u w:val="none"/>
              </w:rPr>
            </w:pPr>
            <w:r>
              <w:rPr>
                <w:rFonts w:cs="宋体"/>
                <w:b/>
                <w:color w:val="auto"/>
                <w:sz w:val="22"/>
                <w:szCs w:val="22"/>
              </w:rPr>
              <w:t>208</w:t>
            </w:r>
          </w:p>
        </w:tc>
        <w:tc>
          <w:tcPr>
            <w:tcW w:w="39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auto"/>
                <w:sz w:val="22"/>
                <w:szCs w:val="22"/>
                <w:u w:val="none"/>
              </w:rPr>
            </w:pPr>
            <w:r>
              <w:rPr>
                <w:rFonts w:cs="宋体"/>
                <w:b/>
                <w:color w:val="auto"/>
                <w:sz w:val="22"/>
                <w:szCs w:val="22"/>
              </w:rPr>
              <w:t>社会保障和就业支出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126,411.36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126,411.36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auto"/>
                <w:sz w:val="22"/>
                <w:szCs w:val="22"/>
                <w:u w:val="none"/>
              </w:rPr>
            </w:pPr>
            <w:r>
              <w:rPr>
                <w:rFonts w:cs="宋体"/>
                <w:b/>
                <w:color w:val="auto"/>
                <w:sz w:val="22"/>
                <w:szCs w:val="22"/>
              </w:rPr>
              <w:t>20805</w:t>
            </w:r>
          </w:p>
        </w:tc>
        <w:tc>
          <w:tcPr>
            <w:tcW w:w="39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auto"/>
                <w:sz w:val="22"/>
                <w:szCs w:val="22"/>
                <w:u w:val="none"/>
              </w:rPr>
            </w:pPr>
            <w:r>
              <w:rPr>
                <w:rFonts w:cs="宋体"/>
                <w:b/>
                <w:color w:val="auto"/>
                <w:sz w:val="22"/>
                <w:szCs w:val="22"/>
              </w:rPr>
              <w:t>行政事业单位养老支出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126,411.36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126,411.36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auto"/>
                <w:sz w:val="22"/>
                <w:szCs w:val="22"/>
                <w:u w:val="none"/>
              </w:rPr>
            </w:pPr>
            <w:r>
              <w:rPr>
                <w:rFonts w:cs="宋体"/>
                <w:color w:val="auto"/>
                <w:sz w:val="22"/>
                <w:szCs w:val="22"/>
              </w:rPr>
              <w:t>2080505</w:t>
            </w:r>
          </w:p>
        </w:tc>
        <w:tc>
          <w:tcPr>
            <w:tcW w:w="39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auto"/>
                <w:sz w:val="22"/>
                <w:szCs w:val="22"/>
                <w:u w:val="none"/>
              </w:rPr>
            </w:pPr>
            <w:r>
              <w:rPr>
                <w:rFonts w:cs="宋体"/>
                <w:color w:val="auto"/>
                <w:sz w:val="22"/>
                <w:szCs w:val="22"/>
              </w:rPr>
              <w:t>机关事业单位基本养老保险缴费支出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84,274.24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84,274.24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auto"/>
                <w:sz w:val="22"/>
                <w:szCs w:val="22"/>
                <w:u w:val="none"/>
              </w:rPr>
            </w:pPr>
            <w:r>
              <w:rPr>
                <w:rFonts w:cs="宋体"/>
                <w:color w:val="auto"/>
                <w:sz w:val="22"/>
                <w:szCs w:val="22"/>
              </w:rPr>
              <w:t>2080506</w:t>
            </w:r>
          </w:p>
        </w:tc>
        <w:tc>
          <w:tcPr>
            <w:tcW w:w="39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auto"/>
                <w:sz w:val="22"/>
                <w:szCs w:val="22"/>
                <w:u w:val="none"/>
              </w:rPr>
            </w:pPr>
            <w:r>
              <w:rPr>
                <w:rFonts w:cs="宋体"/>
                <w:color w:val="auto"/>
                <w:sz w:val="22"/>
                <w:szCs w:val="22"/>
              </w:rPr>
              <w:t>机关事业单位职业年金缴费支出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42,137.12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42,137.12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auto"/>
                <w:sz w:val="22"/>
                <w:szCs w:val="22"/>
                <w:u w:val="none"/>
              </w:rPr>
            </w:pPr>
            <w:r>
              <w:rPr>
                <w:rFonts w:cs="宋体"/>
                <w:b/>
                <w:color w:val="auto"/>
                <w:sz w:val="22"/>
                <w:szCs w:val="22"/>
              </w:rPr>
              <w:t>210</w:t>
            </w:r>
          </w:p>
        </w:tc>
        <w:tc>
          <w:tcPr>
            <w:tcW w:w="39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auto"/>
                <w:sz w:val="22"/>
                <w:szCs w:val="22"/>
                <w:u w:val="none"/>
              </w:rPr>
            </w:pPr>
            <w:r>
              <w:rPr>
                <w:rFonts w:cs="宋体"/>
                <w:b/>
                <w:color w:val="auto"/>
                <w:sz w:val="22"/>
                <w:szCs w:val="22"/>
              </w:rPr>
              <w:t>卫生健康支出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45,158.28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45,158.28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auto"/>
                <w:sz w:val="22"/>
                <w:szCs w:val="22"/>
                <w:u w:val="none"/>
              </w:rPr>
            </w:pPr>
            <w:r>
              <w:rPr>
                <w:rFonts w:cs="宋体"/>
                <w:b/>
                <w:color w:val="auto"/>
                <w:sz w:val="22"/>
                <w:szCs w:val="22"/>
              </w:rPr>
              <w:t>21011</w:t>
            </w:r>
          </w:p>
        </w:tc>
        <w:tc>
          <w:tcPr>
            <w:tcW w:w="39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auto"/>
                <w:sz w:val="22"/>
                <w:szCs w:val="22"/>
                <w:u w:val="none"/>
              </w:rPr>
            </w:pPr>
            <w:r>
              <w:rPr>
                <w:rFonts w:cs="宋体"/>
                <w:b/>
                <w:color w:val="auto"/>
                <w:sz w:val="22"/>
                <w:szCs w:val="22"/>
              </w:rPr>
              <w:t>行政事业单位医疗</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45,158.28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45,158.28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auto"/>
                <w:sz w:val="22"/>
                <w:szCs w:val="22"/>
                <w:u w:val="none"/>
              </w:rPr>
            </w:pPr>
            <w:r>
              <w:rPr>
                <w:rFonts w:cs="宋体"/>
                <w:color w:val="auto"/>
                <w:sz w:val="22"/>
                <w:szCs w:val="22"/>
              </w:rPr>
              <w:t>2101102</w:t>
            </w:r>
          </w:p>
        </w:tc>
        <w:tc>
          <w:tcPr>
            <w:tcW w:w="39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auto"/>
                <w:sz w:val="22"/>
                <w:szCs w:val="22"/>
                <w:u w:val="none"/>
              </w:rPr>
            </w:pPr>
            <w:r>
              <w:rPr>
                <w:rFonts w:cs="宋体"/>
                <w:color w:val="auto"/>
                <w:sz w:val="22"/>
                <w:szCs w:val="22"/>
              </w:rPr>
              <w:t>事业单位医疗</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34,658.28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34,658.28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auto"/>
                <w:sz w:val="22"/>
                <w:szCs w:val="22"/>
                <w:u w:val="none"/>
              </w:rPr>
            </w:pPr>
            <w:r>
              <w:rPr>
                <w:rFonts w:cs="宋体"/>
                <w:color w:val="auto"/>
                <w:sz w:val="22"/>
                <w:szCs w:val="22"/>
              </w:rPr>
              <w:t>2101199</w:t>
            </w:r>
          </w:p>
        </w:tc>
        <w:tc>
          <w:tcPr>
            <w:tcW w:w="39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auto"/>
                <w:sz w:val="22"/>
                <w:szCs w:val="22"/>
                <w:u w:val="none"/>
              </w:rPr>
            </w:pPr>
            <w:r>
              <w:rPr>
                <w:rFonts w:cs="宋体"/>
                <w:color w:val="auto"/>
                <w:sz w:val="22"/>
                <w:szCs w:val="22"/>
              </w:rPr>
              <w:t>其他行政事业单位医疗支出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10,500.00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10,500.00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auto"/>
                <w:sz w:val="22"/>
                <w:szCs w:val="22"/>
                <w:u w:val="none"/>
              </w:rPr>
            </w:pPr>
            <w:r>
              <w:rPr>
                <w:rFonts w:cs="宋体"/>
                <w:b/>
                <w:color w:val="auto"/>
                <w:sz w:val="22"/>
                <w:szCs w:val="22"/>
              </w:rPr>
              <w:t>221</w:t>
            </w:r>
          </w:p>
        </w:tc>
        <w:tc>
          <w:tcPr>
            <w:tcW w:w="39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auto"/>
                <w:sz w:val="22"/>
                <w:szCs w:val="22"/>
                <w:u w:val="none"/>
              </w:rPr>
            </w:pPr>
            <w:r>
              <w:rPr>
                <w:rFonts w:cs="宋体"/>
                <w:b/>
                <w:color w:val="auto"/>
                <w:sz w:val="22"/>
                <w:szCs w:val="22"/>
              </w:rPr>
              <w:t>住房保障支出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43,778.88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43,778.88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auto"/>
                <w:sz w:val="22"/>
                <w:szCs w:val="22"/>
                <w:u w:val="none"/>
              </w:rPr>
            </w:pPr>
            <w:r>
              <w:rPr>
                <w:rFonts w:cs="宋体"/>
                <w:b/>
                <w:color w:val="auto"/>
                <w:sz w:val="22"/>
                <w:szCs w:val="22"/>
              </w:rPr>
              <w:t>22102</w:t>
            </w:r>
          </w:p>
        </w:tc>
        <w:tc>
          <w:tcPr>
            <w:tcW w:w="39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auto"/>
                <w:sz w:val="22"/>
                <w:szCs w:val="22"/>
                <w:u w:val="none"/>
              </w:rPr>
            </w:pPr>
            <w:r>
              <w:rPr>
                <w:rFonts w:cs="宋体"/>
                <w:b/>
                <w:color w:val="auto"/>
                <w:sz w:val="22"/>
                <w:szCs w:val="22"/>
              </w:rPr>
              <w:t>住房改革支出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43,778.88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43,778.88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auto"/>
                <w:sz w:val="22"/>
                <w:szCs w:val="22"/>
                <w:u w:val="none"/>
              </w:rPr>
            </w:pPr>
            <w:r>
              <w:rPr>
                <w:rFonts w:cs="宋体"/>
                <w:color w:val="auto"/>
                <w:sz w:val="22"/>
                <w:szCs w:val="22"/>
              </w:rPr>
              <w:t>2210201</w:t>
            </w:r>
          </w:p>
        </w:tc>
        <w:tc>
          <w:tcPr>
            <w:tcW w:w="39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auto"/>
                <w:sz w:val="22"/>
                <w:szCs w:val="22"/>
                <w:u w:val="none"/>
              </w:rPr>
            </w:pPr>
            <w:r>
              <w:rPr>
                <w:rFonts w:cs="宋体"/>
                <w:color w:val="auto"/>
                <w:sz w:val="22"/>
                <w:szCs w:val="22"/>
              </w:rPr>
              <w:t>住房公积金</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43,778.88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43,778.88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r>
    </w:tbl>
    <w:p>
      <w:pPr>
        <w:numPr>
          <w:ilvl w:val="0"/>
          <w:numId w:val="0"/>
        </w:numPr>
        <w:rPr>
          <w:rFonts w:hint="eastAsia" w:ascii="宋体" w:hAnsi="宋体" w:eastAsia="宋体" w:cs="宋体"/>
          <w:color w:val="auto"/>
          <w:sz w:val="21"/>
          <w:szCs w:val="21"/>
        </w:rPr>
      </w:pPr>
      <w:r>
        <w:rPr>
          <w:rFonts w:hint="eastAsia" w:ascii="宋体" w:hAnsi="宋体" w:eastAsia="宋体" w:cs="宋体"/>
          <w:color w:val="auto"/>
          <w:sz w:val="21"/>
          <w:szCs w:val="21"/>
        </w:rPr>
        <w:br w:type="page"/>
      </w:r>
    </w:p>
    <w:tbl>
      <w:tblPr>
        <w:tblStyle w:val="6"/>
        <w:tblW w:w="22443"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551"/>
        <w:gridCol w:w="550"/>
        <w:gridCol w:w="483"/>
        <w:gridCol w:w="4433"/>
        <w:gridCol w:w="2737"/>
        <w:gridCol w:w="2737"/>
        <w:gridCol w:w="2737"/>
        <w:gridCol w:w="2737"/>
        <w:gridCol w:w="2737"/>
        <w:gridCol w:w="274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trPr>
        <w:tc>
          <w:tcPr>
            <w:tcW w:w="22443" w:type="dxa"/>
            <w:gridSpan w:val="10"/>
            <w:tcBorders>
              <w:top w:val="nil"/>
              <w:left w:val="nil"/>
              <w:bottom w:val="nil"/>
              <w:right w:val="nil"/>
            </w:tcBorders>
            <w:shd w:val="clear" w:color="auto" w:fill="auto"/>
            <w:vAlign w:val="bottom"/>
          </w:tcPr>
          <w:p>
            <w:pPr>
              <w:keepNext w:val="0"/>
              <w:keepLines w:val="0"/>
              <w:widowControl/>
              <w:suppressLineNumbers w:val="0"/>
              <w:jc w:val="center"/>
              <w:textAlignment w:val="bottom"/>
              <w:rPr>
                <w:rFonts w:hint="eastAsia" w:ascii="宋体" w:hAnsi="宋体" w:eastAsia="宋体" w:cs="宋体"/>
                <w:i w:val="0"/>
                <w:iCs w:val="0"/>
                <w:color w:val="auto"/>
                <w:sz w:val="30"/>
                <w:szCs w:val="30"/>
                <w:u w:val="none"/>
              </w:rPr>
            </w:pPr>
            <w:r>
              <w:rPr>
                <w:rFonts w:hint="eastAsia" w:ascii="宋体" w:hAnsi="宋体" w:eastAsia="宋体" w:cs="宋体"/>
                <w:b/>
                <w:bCs/>
                <w:i w:val="0"/>
                <w:iCs w:val="0"/>
                <w:color w:val="auto"/>
                <w:kern w:val="0"/>
                <w:sz w:val="30"/>
                <w:szCs w:val="30"/>
                <w:u w:val="none"/>
                <w:lang w:val="en-US" w:eastAsia="zh-CN" w:bidi="ar"/>
              </w:rPr>
              <w:t>支出决算表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9702" w:type="dxa"/>
            <w:gridSpan w:val="9"/>
            <w:vMerge w:val="restart"/>
            <w:tcBorders>
              <w:top w:val="nil"/>
              <w:left w:val="nil"/>
              <w:right w:val="nil"/>
            </w:tcBorders>
            <w:shd w:val="clear" w:color="auto" w:fill="auto"/>
            <w:vAlign w:val="bottom"/>
          </w:tcPr>
          <w:p>
            <w:pPr>
              <w:rPr>
                <w:rFonts w:hint="default" w:ascii="Arial" w:hAnsi="Arial" w:eastAsia="宋体" w:cs="Arial"/>
                <w:i w:val="0"/>
                <w:iCs w:val="0"/>
                <w:color w:val="auto"/>
                <w:sz w:val="20"/>
                <w:szCs w:val="20"/>
                <w:u w:val="none"/>
              </w:rPr>
            </w:pPr>
            <w:r>
              <w:rPr>
                <w:rFonts w:hint="eastAsia" w:cs="宋体"/>
                <w:color w:val="auto"/>
                <w:sz w:val="20"/>
                <w:szCs w:val="20"/>
                <w:lang w:eastAsia="zh-CN"/>
              </w:rPr>
              <w:t>单位</w:t>
            </w:r>
            <w:r>
              <w:rPr>
                <w:rFonts w:cs="宋体"/>
                <w:color w:val="auto"/>
                <w:sz w:val="20"/>
                <w:szCs w:val="20"/>
              </w:rPr>
              <w:t>：</w:t>
            </w:r>
            <w:r>
              <w:rPr>
                <w:color w:val="auto"/>
                <w:sz w:val="20"/>
                <w:u w:color="auto"/>
              </w:rPr>
              <w:t xml:space="preserve">石柱土家族自治县服务业发展指导中心 </w:t>
            </w:r>
          </w:p>
        </w:tc>
        <w:tc>
          <w:tcPr>
            <w:tcW w:w="2741" w:type="dxa"/>
            <w:tcBorders>
              <w:top w:val="nil"/>
              <w:left w:val="nil"/>
              <w:bottom w:val="nil"/>
              <w:right w:val="nil"/>
            </w:tcBorders>
            <w:shd w:val="clear" w:color="auto" w:fill="auto"/>
            <w:vAlign w:val="bottom"/>
          </w:tcPr>
          <w:p>
            <w:pPr>
              <w:keepNext w:val="0"/>
              <w:keepLines w:val="0"/>
              <w:widowControl/>
              <w:suppressLineNumbers w:val="0"/>
              <w:jc w:val="right"/>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03表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9702" w:type="dxa"/>
            <w:gridSpan w:val="9"/>
            <w:vMerge w:val="continue"/>
            <w:tcBorders>
              <w:left w:val="nil"/>
              <w:bottom w:val="nil"/>
              <w:right w:val="nil"/>
            </w:tcBorders>
            <w:shd w:val="clear" w:color="auto" w:fill="auto"/>
            <w:vAlign w:val="bottom"/>
          </w:tcPr>
          <w:p>
            <w:pPr>
              <w:rPr>
                <w:rFonts w:hint="default" w:ascii="Arial" w:hAnsi="Arial" w:eastAsia="宋体" w:cs="Arial"/>
                <w:i w:val="0"/>
                <w:iCs w:val="0"/>
                <w:color w:val="auto"/>
                <w:sz w:val="20"/>
                <w:szCs w:val="20"/>
                <w:u w:val="none"/>
              </w:rPr>
            </w:pPr>
          </w:p>
        </w:tc>
        <w:tc>
          <w:tcPr>
            <w:tcW w:w="2741" w:type="dxa"/>
            <w:tcBorders>
              <w:top w:val="nil"/>
              <w:left w:val="nil"/>
              <w:bottom w:val="nil"/>
              <w:right w:val="nil"/>
            </w:tcBorders>
            <w:shd w:val="clear" w:color="auto" w:fill="auto"/>
            <w:vAlign w:val="bottom"/>
          </w:tcPr>
          <w:p>
            <w:pPr>
              <w:keepNext w:val="0"/>
              <w:keepLines w:val="0"/>
              <w:widowControl/>
              <w:suppressLineNumbers w:val="0"/>
              <w:jc w:val="right"/>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单位：</w:t>
            </w:r>
            <w:r>
              <w:rPr>
                <w:rFonts w:hint="eastAsia" w:cs="宋体"/>
                <w:i w:val="0"/>
                <w:iCs w:val="0"/>
                <w:color w:val="auto"/>
                <w:kern w:val="0"/>
                <w:sz w:val="20"/>
                <w:szCs w:val="20"/>
                <w:u w:val="none"/>
                <w:lang w:val="en-US" w:eastAsia="zh-CN" w:bidi="ar"/>
              </w:rPr>
              <w:t>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584"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科目代码</w:t>
            </w:r>
          </w:p>
        </w:tc>
        <w:tc>
          <w:tcPr>
            <w:tcW w:w="4433" w:type="dxa"/>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科目名称</w:t>
            </w:r>
          </w:p>
        </w:tc>
        <w:tc>
          <w:tcPr>
            <w:tcW w:w="2737" w:type="dxa"/>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本年支出合计</w:t>
            </w:r>
          </w:p>
        </w:tc>
        <w:tc>
          <w:tcPr>
            <w:tcW w:w="2737" w:type="dxa"/>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基本支出</w:t>
            </w:r>
          </w:p>
        </w:tc>
        <w:tc>
          <w:tcPr>
            <w:tcW w:w="2737" w:type="dxa"/>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项目支出</w:t>
            </w:r>
          </w:p>
        </w:tc>
        <w:tc>
          <w:tcPr>
            <w:tcW w:w="2737" w:type="dxa"/>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上缴上级支出</w:t>
            </w:r>
          </w:p>
        </w:tc>
        <w:tc>
          <w:tcPr>
            <w:tcW w:w="2737" w:type="dxa"/>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经营支出</w:t>
            </w:r>
          </w:p>
        </w:tc>
        <w:tc>
          <w:tcPr>
            <w:tcW w:w="2741" w:type="dxa"/>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对附属单位补助支出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584"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2"/>
                <w:szCs w:val="22"/>
                <w:u w:val="none"/>
              </w:rPr>
            </w:pPr>
          </w:p>
        </w:tc>
        <w:tc>
          <w:tcPr>
            <w:tcW w:w="4433"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2"/>
                <w:szCs w:val="22"/>
                <w:u w:val="none"/>
              </w:rPr>
            </w:pPr>
          </w:p>
        </w:tc>
        <w:tc>
          <w:tcPr>
            <w:tcW w:w="2741"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584"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2"/>
                <w:szCs w:val="22"/>
                <w:u w:val="none"/>
              </w:rPr>
            </w:pPr>
          </w:p>
        </w:tc>
        <w:tc>
          <w:tcPr>
            <w:tcW w:w="4433"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2"/>
                <w:szCs w:val="22"/>
                <w:u w:val="none"/>
              </w:rPr>
            </w:pPr>
          </w:p>
        </w:tc>
        <w:tc>
          <w:tcPr>
            <w:tcW w:w="2741"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584"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2"/>
                <w:szCs w:val="22"/>
                <w:u w:val="none"/>
              </w:rPr>
            </w:pPr>
          </w:p>
        </w:tc>
        <w:tc>
          <w:tcPr>
            <w:tcW w:w="4433"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2"/>
                <w:szCs w:val="22"/>
                <w:u w:val="none"/>
              </w:rPr>
            </w:pPr>
          </w:p>
        </w:tc>
        <w:tc>
          <w:tcPr>
            <w:tcW w:w="2741"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51" w:type="dxa"/>
            <w:vMerge w:val="restar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类</w:t>
            </w:r>
          </w:p>
        </w:tc>
        <w:tc>
          <w:tcPr>
            <w:tcW w:w="550"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款</w:t>
            </w:r>
          </w:p>
        </w:tc>
        <w:tc>
          <w:tcPr>
            <w:tcW w:w="483"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项</w:t>
            </w: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栏次</w:t>
            </w:r>
          </w:p>
        </w:tc>
        <w:tc>
          <w:tcPr>
            <w:tcW w:w="273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1</w:t>
            </w:r>
          </w:p>
        </w:tc>
        <w:tc>
          <w:tcPr>
            <w:tcW w:w="273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2</w:t>
            </w:r>
          </w:p>
        </w:tc>
        <w:tc>
          <w:tcPr>
            <w:tcW w:w="273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3</w:t>
            </w:r>
          </w:p>
        </w:tc>
        <w:tc>
          <w:tcPr>
            <w:tcW w:w="273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4</w:t>
            </w:r>
          </w:p>
        </w:tc>
        <w:tc>
          <w:tcPr>
            <w:tcW w:w="273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5</w:t>
            </w:r>
          </w:p>
        </w:tc>
        <w:tc>
          <w:tcPr>
            <w:tcW w:w="2741"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51" w:type="dxa"/>
            <w:vMerge w:val="continue"/>
            <w:tcBorders>
              <w:top w:val="nil"/>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2"/>
                <w:szCs w:val="22"/>
                <w:u w:val="none"/>
              </w:rPr>
            </w:pPr>
          </w:p>
        </w:tc>
        <w:tc>
          <w:tcPr>
            <w:tcW w:w="550"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2"/>
                <w:szCs w:val="22"/>
                <w:u w:val="none"/>
              </w:rPr>
            </w:pPr>
          </w:p>
        </w:tc>
        <w:tc>
          <w:tcPr>
            <w:tcW w:w="483"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2"/>
                <w:szCs w:val="22"/>
                <w:u w:val="none"/>
              </w:rPr>
            </w:pP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合计</w:t>
            </w:r>
          </w:p>
        </w:tc>
        <w:tc>
          <w:tcPr>
            <w:tcW w:w="273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auto"/>
                <w:sz w:val="22"/>
                <w:szCs w:val="22"/>
                <w:u w:val="none"/>
              </w:rPr>
            </w:pPr>
            <w:r>
              <w:rPr>
                <w:rFonts w:hint="default" w:ascii="Times New Roman" w:hAnsi="Times New Roman" w:cs="Times New Roman"/>
                <w:b/>
                <w:bCs/>
                <w:color w:val="auto"/>
                <w:sz w:val="22"/>
                <w:szCs w:val="22"/>
              </w:rPr>
              <w:t xml:space="preserve">996,998.71 </w:t>
            </w:r>
          </w:p>
        </w:tc>
        <w:tc>
          <w:tcPr>
            <w:tcW w:w="273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auto"/>
                <w:sz w:val="22"/>
                <w:szCs w:val="22"/>
                <w:u w:val="none"/>
              </w:rPr>
            </w:pPr>
            <w:r>
              <w:rPr>
                <w:rFonts w:hint="default" w:ascii="Times New Roman" w:hAnsi="Times New Roman" w:cs="Times New Roman"/>
                <w:b/>
                <w:bCs/>
                <w:color w:val="auto"/>
                <w:sz w:val="22"/>
                <w:szCs w:val="22"/>
              </w:rPr>
              <w:t xml:space="preserve">996,998.71 </w:t>
            </w:r>
          </w:p>
        </w:tc>
        <w:tc>
          <w:tcPr>
            <w:tcW w:w="273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auto"/>
                <w:sz w:val="22"/>
                <w:szCs w:val="22"/>
                <w:u w:val="none"/>
              </w:rPr>
            </w:pPr>
            <w:r>
              <w:rPr>
                <w:rFonts w:hint="default" w:ascii="Times New Roman" w:hAnsi="Times New Roman" w:cs="Times New Roman"/>
                <w:b/>
                <w:bCs/>
                <w:color w:val="auto"/>
                <w:sz w:val="22"/>
                <w:szCs w:val="22"/>
              </w:rPr>
              <w:t xml:space="preserve">0.00 </w:t>
            </w:r>
          </w:p>
        </w:tc>
        <w:tc>
          <w:tcPr>
            <w:tcW w:w="273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auto"/>
                <w:sz w:val="22"/>
                <w:szCs w:val="22"/>
                <w:u w:val="none"/>
              </w:rPr>
            </w:pPr>
            <w:r>
              <w:rPr>
                <w:rFonts w:hint="default" w:ascii="Times New Roman" w:hAnsi="Times New Roman" w:cs="Times New Roman"/>
                <w:b/>
                <w:bCs/>
                <w:color w:val="auto"/>
                <w:sz w:val="22"/>
                <w:szCs w:val="22"/>
              </w:rPr>
              <w:t xml:space="preserve">0.00 </w:t>
            </w:r>
          </w:p>
        </w:tc>
        <w:tc>
          <w:tcPr>
            <w:tcW w:w="273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auto"/>
                <w:sz w:val="22"/>
                <w:szCs w:val="22"/>
                <w:u w:val="none"/>
              </w:rPr>
            </w:pPr>
            <w:r>
              <w:rPr>
                <w:rFonts w:hint="default" w:ascii="Times New Roman" w:hAnsi="Times New Roman" w:cs="Times New Roman"/>
                <w:b/>
                <w:bCs/>
                <w:color w:val="auto"/>
                <w:sz w:val="22"/>
                <w:szCs w:val="22"/>
              </w:rPr>
              <w:t xml:space="preserve">0.00 </w:t>
            </w:r>
          </w:p>
        </w:tc>
        <w:tc>
          <w:tcPr>
            <w:tcW w:w="2741"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auto"/>
                <w:sz w:val="22"/>
                <w:szCs w:val="22"/>
                <w:u w:val="none"/>
              </w:rPr>
            </w:pPr>
            <w:r>
              <w:rPr>
                <w:rFonts w:hint="default" w:ascii="Times New Roman" w:hAnsi="Times New Roman" w:cs="Times New Roman"/>
                <w:b/>
                <w:bCs/>
                <w:color w:val="auto"/>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auto"/>
                <w:sz w:val="22"/>
                <w:szCs w:val="22"/>
                <w:u w:val="none"/>
              </w:rPr>
            </w:pPr>
            <w:r>
              <w:rPr>
                <w:rFonts w:cs="宋体"/>
                <w:b/>
                <w:color w:val="auto"/>
                <w:sz w:val="22"/>
                <w:szCs w:val="22"/>
              </w:rPr>
              <w:t>201</w:t>
            </w: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auto"/>
                <w:sz w:val="22"/>
                <w:szCs w:val="22"/>
                <w:u w:val="none"/>
              </w:rPr>
            </w:pPr>
            <w:r>
              <w:rPr>
                <w:rFonts w:cs="宋体"/>
                <w:b/>
                <w:color w:val="auto"/>
                <w:sz w:val="22"/>
                <w:szCs w:val="22"/>
              </w:rPr>
              <w:t>一般公共服务支出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781,650.19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781,650.19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auto"/>
                <w:sz w:val="22"/>
                <w:szCs w:val="22"/>
                <w:u w:val="none"/>
              </w:rPr>
            </w:pPr>
            <w:r>
              <w:rPr>
                <w:rFonts w:cs="宋体"/>
                <w:b/>
                <w:color w:val="auto"/>
                <w:sz w:val="22"/>
                <w:szCs w:val="22"/>
              </w:rPr>
              <w:t>20104</w:t>
            </w: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auto"/>
                <w:sz w:val="22"/>
                <w:szCs w:val="22"/>
                <w:u w:val="none"/>
              </w:rPr>
            </w:pPr>
            <w:r>
              <w:rPr>
                <w:rFonts w:cs="宋体"/>
                <w:b/>
                <w:color w:val="auto"/>
                <w:sz w:val="22"/>
                <w:szCs w:val="22"/>
              </w:rPr>
              <w:t>发展与改革事务</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781,650.19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781,650.19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auto"/>
                <w:sz w:val="22"/>
                <w:szCs w:val="22"/>
                <w:u w:val="none"/>
              </w:rPr>
            </w:pPr>
            <w:r>
              <w:rPr>
                <w:rFonts w:cs="宋体"/>
                <w:color w:val="auto"/>
                <w:sz w:val="22"/>
                <w:szCs w:val="22"/>
              </w:rPr>
              <w:t>2010450</w:t>
            </w: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auto"/>
                <w:sz w:val="22"/>
                <w:szCs w:val="22"/>
                <w:u w:val="none"/>
              </w:rPr>
            </w:pPr>
            <w:r>
              <w:rPr>
                <w:rFonts w:cs="宋体"/>
                <w:color w:val="auto"/>
                <w:sz w:val="22"/>
                <w:szCs w:val="22"/>
              </w:rPr>
              <w:t>事业运行</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781,650.19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781,650.19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auto"/>
                <w:sz w:val="22"/>
                <w:szCs w:val="22"/>
                <w:u w:val="none"/>
              </w:rPr>
            </w:pPr>
            <w:r>
              <w:rPr>
                <w:rFonts w:cs="宋体"/>
                <w:b/>
                <w:color w:val="auto"/>
                <w:sz w:val="22"/>
                <w:szCs w:val="22"/>
              </w:rPr>
              <w:t>208</w:t>
            </w: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auto"/>
                <w:sz w:val="22"/>
                <w:szCs w:val="22"/>
                <w:u w:val="none"/>
              </w:rPr>
            </w:pPr>
            <w:r>
              <w:rPr>
                <w:rFonts w:cs="宋体"/>
                <w:b/>
                <w:color w:val="auto"/>
                <w:sz w:val="22"/>
                <w:szCs w:val="22"/>
              </w:rPr>
              <w:t>社会保障和就业支出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126,411.36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126,411.36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auto"/>
                <w:sz w:val="22"/>
                <w:szCs w:val="22"/>
                <w:u w:val="none"/>
              </w:rPr>
            </w:pPr>
            <w:r>
              <w:rPr>
                <w:rFonts w:cs="宋体"/>
                <w:b/>
                <w:color w:val="auto"/>
                <w:sz w:val="22"/>
                <w:szCs w:val="22"/>
              </w:rPr>
              <w:t>20805</w:t>
            </w: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auto"/>
                <w:sz w:val="22"/>
                <w:szCs w:val="22"/>
                <w:u w:val="none"/>
              </w:rPr>
            </w:pPr>
            <w:r>
              <w:rPr>
                <w:rFonts w:cs="宋体"/>
                <w:b/>
                <w:color w:val="auto"/>
                <w:sz w:val="22"/>
                <w:szCs w:val="22"/>
              </w:rPr>
              <w:t>行政事业单位养老支出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126,411.36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126,411.36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auto"/>
                <w:sz w:val="22"/>
                <w:szCs w:val="22"/>
                <w:u w:val="none"/>
              </w:rPr>
            </w:pPr>
            <w:r>
              <w:rPr>
                <w:rFonts w:cs="宋体"/>
                <w:color w:val="auto"/>
                <w:sz w:val="22"/>
                <w:szCs w:val="22"/>
              </w:rPr>
              <w:t>2080505</w:t>
            </w: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auto"/>
                <w:sz w:val="22"/>
                <w:szCs w:val="22"/>
                <w:u w:val="none"/>
              </w:rPr>
            </w:pPr>
            <w:r>
              <w:rPr>
                <w:rFonts w:cs="宋体"/>
                <w:color w:val="auto"/>
                <w:sz w:val="22"/>
                <w:szCs w:val="22"/>
              </w:rPr>
              <w:t>机关事业单位基本养老保险缴费支出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84,274.24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84,274.24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auto"/>
                <w:sz w:val="22"/>
                <w:szCs w:val="22"/>
                <w:u w:val="none"/>
              </w:rPr>
            </w:pPr>
            <w:r>
              <w:rPr>
                <w:rFonts w:cs="宋体"/>
                <w:color w:val="auto"/>
                <w:sz w:val="22"/>
                <w:szCs w:val="22"/>
              </w:rPr>
              <w:t>2080506</w:t>
            </w: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auto"/>
                <w:sz w:val="22"/>
                <w:szCs w:val="22"/>
                <w:u w:val="none"/>
              </w:rPr>
            </w:pPr>
            <w:r>
              <w:rPr>
                <w:rFonts w:cs="宋体"/>
                <w:color w:val="auto"/>
                <w:sz w:val="22"/>
                <w:szCs w:val="22"/>
              </w:rPr>
              <w:t>机关事业单位职业年金缴费支出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42,137.12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42,137.12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auto"/>
                <w:sz w:val="22"/>
                <w:szCs w:val="22"/>
                <w:u w:val="none"/>
              </w:rPr>
            </w:pPr>
            <w:r>
              <w:rPr>
                <w:rFonts w:cs="宋体"/>
                <w:b/>
                <w:color w:val="auto"/>
                <w:sz w:val="22"/>
                <w:szCs w:val="22"/>
              </w:rPr>
              <w:t>210</w:t>
            </w: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auto"/>
                <w:sz w:val="22"/>
                <w:szCs w:val="22"/>
                <w:u w:val="none"/>
              </w:rPr>
            </w:pPr>
            <w:r>
              <w:rPr>
                <w:rFonts w:cs="宋体"/>
                <w:b/>
                <w:color w:val="auto"/>
                <w:sz w:val="22"/>
                <w:szCs w:val="22"/>
              </w:rPr>
              <w:t>卫生健康支出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45,158.28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45,158.28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auto"/>
                <w:sz w:val="22"/>
                <w:szCs w:val="22"/>
                <w:u w:val="none"/>
              </w:rPr>
            </w:pPr>
            <w:r>
              <w:rPr>
                <w:rFonts w:cs="宋体"/>
                <w:b/>
                <w:color w:val="auto"/>
                <w:sz w:val="22"/>
                <w:szCs w:val="22"/>
              </w:rPr>
              <w:t>21011</w:t>
            </w: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auto"/>
                <w:sz w:val="22"/>
                <w:szCs w:val="22"/>
                <w:u w:val="none"/>
              </w:rPr>
            </w:pPr>
            <w:r>
              <w:rPr>
                <w:rFonts w:cs="宋体"/>
                <w:b/>
                <w:color w:val="auto"/>
                <w:sz w:val="22"/>
                <w:szCs w:val="22"/>
              </w:rPr>
              <w:t>行政事业单位医疗</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45,158.28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45,158.28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auto"/>
                <w:sz w:val="22"/>
                <w:szCs w:val="22"/>
                <w:u w:val="none"/>
              </w:rPr>
            </w:pPr>
            <w:r>
              <w:rPr>
                <w:rFonts w:cs="宋体"/>
                <w:color w:val="auto"/>
                <w:sz w:val="22"/>
                <w:szCs w:val="22"/>
              </w:rPr>
              <w:t>2101102</w:t>
            </w: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auto"/>
                <w:sz w:val="22"/>
                <w:szCs w:val="22"/>
                <w:u w:val="none"/>
              </w:rPr>
            </w:pPr>
            <w:r>
              <w:rPr>
                <w:rFonts w:cs="宋体"/>
                <w:color w:val="auto"/>
                <w:sz w:val="22"/>
                <w:szCs w:val="22"/>
              </w:rPr>
              <w:t>事业单位医疗</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34,658.28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34,658.28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auto"/>
                <w:sz w:val="22"/>
                <w:szCs w:val="22"/>
                <w:u w:val="none"/>
              </w:rPr>
            </w:pPr>
            <w:r>
              <w:rPr>
                <w:rFonts w:cs="宋体"/>
                <w:color w:val="auto"/>
                <w:sz w:val="22"/>
                <w:szCs w:val="22"/>
              </w:rPr>
              <w:t>2101199</w:t>
            </w: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auto"/>
                <w:sz w:val="22"/>
                <w:szCs w:val="22"/>
                <w:u w:val="none"/>
              </w:rPr>
            </w:pPr>
            <w:r>
              <w:rPr>
                <w:rFonts w:cs="宋体"/>
                <w:color w:val="auto"/>
                <w:sz w:val="22"/>
                <w:szCs w:val="22"/>
              </w:rPr>
              <w:t>其他行政事业单位医疗支出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10,500.00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10,500.00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auto"/>
                <w:sz w:val="22"/>
                <w:szCs w:val="22"/>
                <w:u w:val="none"/>
              </w:rPr>
            </w:pPr>
            <w:r>
              <w:rPr>
                <w:rFonts w:cs="宋体"/>
                <w:b/>
                <w:color w:val="auto"/>
                <w:sz w:val="22"/>
                <w:szCs w:val="22"/>
              </w:rPr>
              <w:t>221</w:t>
            </w: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auto"/>
                <w:sz w:val="22"/>
                <w:szCs w:val="22"/>
                <w:u w:val="none"/>
              </w:rPr>
            </w:pPr>
            <w:r>
              <w:rPr>
                <w:rFonts w:cs="宋体"/>
                <w:b/>
                <w:color w:val="auto"/>
                <w:sz w:val="22"/>
                <w:szCs w:val="22"/>
              </w:rPr>
              <w:t>住房保障支出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43,778.88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43,778.88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auto"/>
                <w:sz w:val="22"/>
                <w:szCs w:val="22"/>
                <w:u w:val="none"/>
              </w:rPr>
            </w:pPr>
            <w:r>
              <w:rPr>
                <w:rFonts w:cs="宋体"/>
                <w:b/>
                <w:color w:val="auto"/>
                <w:sz w:val="22"/>
                <w:szCs w:val="22"/>
              </w:rPr>
              <w:t>22102</w:t>
            </w: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auto"/>
                <w:sz w:val="22"/>
                <w:szCs w:val="22"/>
                <w:u w:val="none"/>
              </w:rPr>
            </w:pPr>
            <w:r>
              <w:rPr>
                <w:rFonts w:cs="宋体"/>
                <w:b/>
                <w:color w:val="auto"/>
                <w:sz w:val="22"/>
                <w:szCs w:val="22"/>
              </w:rPr>
              <w:t>住房改革支出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43,778.88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43,778.88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auto"/>
                <w:sz w:val="22"/>
                <w:szCs w:val="22"/>
                <w:u w:val="none"/>
              </w:rPr>
            </w:pPr>
            <w:r>
              <w:rPr>
                <w:rFonts w:cs="宋体"/>
                <w:color w:val="auto"/>
                <w:sz w:val="22"/>
                <w:szCs w:val="22"/>
              </w:rPr>
              <w:t>2210201</w:t>
            </w: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auto"/>
                <w:sz w:val="22"/>
                <w:szCs w:val="22"/>
                <w:u w:val="none"/>
              </w:rPr>
            </w:pPr>
            <w:r>
              <w:rPr>
                <w:rFonts w:cs="宋体"/>
                <w:color w:val="auto"/>
                <w:sz w:val="22"/>
                <w:szCs w:val="22"/>
              </w:rPr>
              <w:t>住房公积金</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43,778.88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43,778.88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r>
    </w:tbl>
    <w:p>
      <w:pPr>
        <w:numPr>
          <w:ilvl w:val="0"/>
          <w:numId w:val="0"/>
        </w:numPr>
        <w:rPr>
          <w:rFonts w:hint="eastAsia" w:ascii="宋体" w:hAnsi="宋体" w:eastAsia="宋体" w:cs="宋体"/>
          <w:color w:val="auto"/>
          <w:sz w:val="21"/>
          <w:szCs w:val="21"/>
        </w:rPr>
      </w:pPr>
      <w:r>
        <w:rPr>
          <w:rFonts w:hint="eastAsia" w:ascii="宋体" w:hAnsi="宋体" w:eastAsia="宋体" w:cs="宋体"/>
          <w:color w:val="auto"/>
          <w:sz w:val="21"/>
          <w:szCs w:val="21"/>
        </w:rPr>
        <w:br w:type="page"/>
      </w:r>
    </w:p>
    <w:tbl>
      <w:tblPr>
        <w:tblStyle w:val="6"/>
        <w:tblW w:w="22398"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3225"/>
        <w:gridCol w:w="683"/>
        <w:gridCol w:w="2700"/>
        <w:gridCol w:w="3583"/>
        <w:gridCol w:w="717"/>
        <w:gridCol w:w="2872"/>
        <w:gridCol w:w="2872"/>
        <w:gridCol w:w="2872"/>
        <w:gridCol w:w="287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jc w:val="center"/>
        </w:trPr>
        <w:tc>
          <w:tcPr>
            <w:tcW w:w="22398" w:type="dxa"/>
            <w:gridSpan w:val="9"/>
            <w:tcBorders>
              <w:top w:val="nil"/>
              <w:left w:val="nil"/>
              <w:bottom w:val="nil"/>
              <w:right w:val="nil"/>
            </w:tcBorders>
            <w:shd w:val="clear" w:color="auto" w:fill="auto"/>
            <w:vAlign w:val="bottom"/>
          </w:tcPr>
          <w:p>
            <w:pPr>
              <w:keepNext w:val="0"/>
              <w:keepLines w:val="0"/>
              <w:widowControl/>
              <w:suppressLineNumbers w:val="0"/>
              <w:jc w:val="center"/>
              <w:textAlignment w:val="bottom"/>
              <w:rPr>
                <w:rFonts w:hint="eastAsia" w:ascii="宋体" w:hAnsi="宋体" w:eastAsia="宋体" w:cs="宋体"/>
                <w:i w:val="0"/>
                <w:iCs w:val="0"/>
                <w:color w:val="auto"/>
                <w:sz w:val="30"/>
                <w:szCs w:val="30"/>
                <w:u w:val="none"/>
              </w:rPr>
            </w:pPr>
            <w:r>
              <w:rPr>
                <w:rFonts w:hint="eastAsia" w:ascii="宋体" w:hAnsi="宋体" w:eastAsia="宋体" w:cs="宋体"/>
                <w:b/>
                <w:bCs/>
                <w:i w:val="0"/>
                <w:iCs w:val="0"/>
                <w:color w:val="auto"/>
                <w:kern w:val="0"/>
                <w:sz w:val="30"/>
                <w:szCs w:val="30"/>
                <w:u w:val="none"/>
                <w:lang w:val="en-US" w:eastAsia="zh-CN" w:bidi="ar"/>
              </w:rPr>
              <w:t>财政拨款收入支出决算表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jc w:val="center"/>
        </w:trPr>
        <w:tc>
          <w:tcPr>
            <w:tcW w:w="19524" w:type="dxa"/>
            <w:gridSpan w:val="8"/>
            <w:vMerge w:val="restart"/>
            <w:tcBorders>
              <w:top w:val="nil"/>
              <w:left w:val="nil"/>
              <w:right w:val="nil"/>
            </w:tcBorders>
            <w:shd w:val="clear" w:color="auto" w:fill="auto"/>
            <w:vAlign w:val="bottom"/>
          </w:tcPr>
          <w:p>
            <w:pPr>
              <w:rPr>
                <w:rFonts w:hint="default" w:ascii="Arial" w:hAnsi="Arial" w:eastAsia="宋体" w:cs="Arial"/>
                <w:i w:val="0"/>
                <w:iCs w:val="0"/>
                <w:color w:val="auto"/>
                <w:sz w:val="20"/>
                <w:szCs w:val="20"/>
                <w:u w:val="none"/>
              </w:rPr>
            </w:pPr>
            <w:r>
              <w:rPr>
                <w:rFonts w:hint="eastAsia" w:cs="宋体"/>
                <w:color w:val="auto"/>
                <w:sz w:val="20"/>
                <w:szCs w:val="20"/>
                <w:lang w:eastAsia="zh-CN"/>
              </w:rPr>
              <w:t>单位</w:t>
            </w:r>
            <w:r>
              <w:rPr>
                <w:rFonts w:cs="宋体"/>
                <w:color w:val="auto"/>
                <w:sz w:val="20"/>
                <w:szCs w:val="20"/>
              </w:rPr>
              <w:t>：</w:t>
            </w:r>
            <w:r>
              <w:rPr>
                <w:color w:val="auto"/>
                <w:sz w:val="20"/>
                <w:u w:color="auto"/>
              </w:rPr>
              <w:t>石柱土家族自治县服务业发展指导中心</w:t>
            </w:r>
          </w:p>
        </w:tc>
        <w:tc>
          <w:tcPr>
            <w:tcW w:w="2874" w:type="dxa"/>
            <w:tcBorders>
              <w:top w:val="nil"/>
              <w:left w:val="nil"/>
              <w:bottom w:val="nil"/>
              <w:right w:val="nil"/>
            </w:tcBorders>
            <w:shd w:val="clear" w:color="auto" w:fill="auto"/>
            <w:vAlign w:val="bottom"/>
          </w:tcPr>
          <w:p>
            <w:pPr>
              <w:keepNext w:val="0"/>
              <w:keepLines w:val="0"/>
              <w:widowControl/>
              <w:suppressLineNumbers w:val="0"/>
              <w:jc w:val="right"/>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04表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jc w:val="center"/>
        </w:trPr>
        <w:tc>
          <w:tcPr>
            <w:tcW w:w="19524" w:type="dxa"/>
            <w:gridSpan w:val="8"/>
            <w:vMerge w:val="continue"/>
            <w:tcBorders>
              <w:left w:val="nil"/>
              <w:bottom w:val="nil"/>
              <w:right w:val="nil"/>
            </w:tcBorders>
            <w:shd w:val="clear" w:color="auto" w:fill="auto"/>
            <w:vAlign w:val="bottom"/>
          </w:tcPr>
          <w:p>
            <w:pPr>
              <w:rPr>
                <w:rFonts w:hint="default" w:ascii="Arial" w:hAnsi="Arial" w:eastAsia="宋体" w:cs="Arial"/>
                <w:i w:val="0"/>
                <w:iCs w:val="0"/>
                <w:color w:val="auto"/>
                <w:sz w:val="20"/>
                <w:szCs w:val="20"/>
                <w:u w:val="none"/>
              </w:rPr>
            </w:pPr>
          </w:p>
        </w:tc>
        <w:tc>
          <w:tcPr>
            <w:tcW w:w="2874" w:type="dxa"/>
            <w:tcBorders>
              <w:top w:val="nil"/>
              <w:left w:val="nil"/>
              <w:bottom w:val="nil"/>
              <w:right w:val="nil"/>
            </w:tcBorders>
            <w:shd w:val="clear" w:color="auto" w:fill="auto"/>
            <w:vAlign w:val="bottom"/>
          </w:tcPr>
          <w:p>
            <w:pPr>
              <w:keepNext w:val="0"/>
              <w:keepLines w:val="0"/>
              <w:widowControl/>
              <w:suppressLineNumbers w:val="0"/>
              <w:jc w:val="right"/>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单位：</w:t>
            </w:r>
            <w:r>
              <w:rPr>
                <w:rFonts w:hint="eastAsia" w:cs="宋体"/>
                <w:i w:val="0"/>
                <w:iCs w:val="0"/>
                <w:color w:val="auto"/>
                <w:kern w:val="0"/>
                <w:sz w:val="20"/>
                <w:szCs w:val="20"/>
                <w:u w:val="none"/>
                <w:lang w:val="en-US" w:eastAsia="zh-CN" w:bidi="ar"/>
              </w:rPr>
              <w:t>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660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收     入</w:t>
            </w:r>
          </w:p>
        </w:tc>
        <w:tc>
          <w:tcPr>
            <w:tcW w:w="15790"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支     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3" w:hRule="atLeast"/>
          <w:jc w:val="center"/>
        </w:trPr>
        <w:tc>
          <w:tcPr>
            <w:tcW w:w="322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项目</w:t>
            </w:r>
          </w:p>
        </w:tc>
        <w:tc>
          <w:tcPr>
            <w:tcW w:w="68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行次</w:t>
            </w:r>
          </w:p>
        </w:tc>
        <w:tc>
          <w:tcPr>
            <w:tcW w:w="270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金额</w:t>
            </w:r>
          </w:p>
        </w:tc>
        <w:tc>
          <w:tcPr>
            <w:tcW w:w="358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项目</w:t>
            </w:r>
          </w:p>
        </w:tc>
        <w:tc>
          <w:tcPr>
            <w:tcW w:w="71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行次</w:t>
            </w:r>
          </w:p>
        </w:tc>
        <w:tc>
          <w:tcPr>
            <w:tcW w:w="287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合计</w:t>
            </w:r>
          </w:p>
        </w:tc>
        <w:tc>
          <w:tcPr>
            <w:tcW w:w="287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一般公共预算财政拨款</w:t>
            </w:r>
          </w:p>
        </w:tc>
        <w:tc>
          <w:tcPr>
            <w:tcW w:w="287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政府性基金预算财政拨款</w:t>
            </w:r>
          </w:p>
        </w:tc>
        <w:tc>
          <w:tcPr>
            <w:tcW w:w="287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国有资本经营预算财政拨款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5" w:hRule="atLeast"/>
          <w:jc w:val="center"/>
        </w:trPr>
        <w:tc>
          <w:tcPr>
            <w:tcW w:w="32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2"/>
                <w:szCs w:val="22"/>
                <w:u w:val="none"/>
              </w:rPr>
            </w:pPr>
          </w:p>
        </w:tc>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2"/>
                <w:szCs w:val="22"/>
                <w:u w:val="none"/>
              </w:rPr>
            </w:pPr>
          </w:p>
        </w:tc>
        <w:tc>
          <w:tcPr>
            <w:tcW w:w="27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2"/>
                <w:szCs w:val="22"/>
                <w:u w:val="none"/>
              </w:rPr>
            </w:pPr>
          </w:p>
        </w:tc>
        <w:tc>
          <w:tcPr>
            <w:tcW w:w="35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2"/>
                <w:szCs w:val="22"/>
                <w:u w:val="none"/>
              </w:rPr>
            </w:pPr>
          </w:p>
        </w:tc>
        <w:tc>
          <w:tcPr>
            <w:tcW w:w="7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2"/>
                <w:szCs w:val="22"/>
                <w:u w:val="none"/>
              </w:rPr>
            </w:pPr>
          </w:p>
        </w:tc>
        <w:tc>
          <w:tcPr>
            <w:tcW w:w="28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2"/>
                <w:szCs w:val="22"/>
                <w:u w:val="none"/>
              </w:rPr>
            </w:pPr>
          </w:p>
        </w:tc>
        <w:tc>
          <w:tcPr>
            <w:tcW w:w="28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2"/>
                <w:szCs w:val="22"/>
                <w:u w:val="none"/>
              </w:rPr>
            </w:pPr>
          </w:p>
        </w:tc>
        <w:tc>
          <w:tcPr>
            <w:tcW w:w="28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2"/>
                <w:szCs w:val="22"/>
                <w:u w:val="none"/>
              </w:rPr>
            </w:pPr>
          </w:p>
        </w:tc>
        <w:tc>
          <w:tcPr>
            <w:tcW w:w="287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栏次</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center"/>
              <w:rPr>
                <w:rFonts w:hint="eastAsia" w:ascii="宋体" w:hAnsi="宋体" w:eastAsia="宋体" w:cs="宋体"/>
                <w:i w:val="0"/>
                <w:iCs w:val="0"/>
                <w:color w:val="auto"/>
                <w:sz w:val="22"/>
                <w:szCs w:val="22"/>
                <w:u w:val="none"/>
              </w:rPr>
            </w:pP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1</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栏次</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center"/>
              <w:rPr>
                <w:rFonts w:hint="eastAsia" w:ascii="宋体" w:hAnsi="宋体" w:eastAsia="宋体" w:cs="宋体"/>
                <w:b/>
                <w:bCs/>
                <w:i w:val="0"/>
                <w:iCs w:val="0"/>
                <w:color w:val="auto"/>
                <w:sz w:val="22"/>
                <w:szCs w:val="22"/>
                <w:u w:val="none"/>
              </w:rPr>
            </w:pP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2</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3</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4</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一、一般公共预算财政拨款</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1</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996,998.71 </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一、一般公共服务支出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33</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781,650.19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781,650.19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二、政府性基金预算财政拨款</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2</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二、外交支出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34</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三、国有资本经营预算财政拨款</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3</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三、国防支出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35</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auto"/>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4</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360" w:lineRule="exact"/>
              <w:rPr>
                <w:rFonts w:hint="default" w:ascii="Times New Roman" w:hAnsi="Times New Roman" w:cs="Times New Roman" w:eastAsiaTheme="minorEastAsia"/>
                <w:i w:val="0"/>
                <w:iCs w:val="0"/>
                <w:color w:val="auto"/>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四、公共安全支出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36</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auto"/>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5</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360" w:lineRule="exact"/>
              <w:rPr>
                <w:rFonts w:hint="default" w:ascii="Times New Roman" w:hAnsi="Times New Roman" w:cs="Times New Roman" w:eastAsiaTheme="minorEastAsia"/>
                <w:i w:val="0"/>
                <w:iCs w:val="0"/>
                <w:color w:val="auto"/>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五、教育支出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37</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auto"/>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6</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360" w:lineRule="exact"/>
              <w:rPr>
                <w:rFonts w:hint="default" w:ascii="Times New Roman" w:hAnsi="Times New Roman" w:cs="Times New Roman" w:eastAsiaTheme="minorEastAsia"/>
                <w:i w:val="0"/>
                <w:iCs w:val="0"/>
                <w:color w:val="auto"/>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六、科学技术支出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38</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auto"/>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7</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360" w:lineRule="exact"/>
              <w:rPr>
                <w:rFonts w:hint="default" w:ascii="Times New Roman" w:hAnsi="Times New Roman" w:cs="Times New Roman" w:eastAsiaTheme="minorEastAsia"/>
                <w:i w:val="0"/>
                <w:iCs w:val="0"/>
                <w:color w:val="auto"/>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七、文化旅游体育与传媒支出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39</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auto"/>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8</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360" w:lineRule="exact"/>
              <w:rPr>
                <w:rFonts w:hint="default" w:ascii="Times New Roman" w:hAnsi="Times New Roman" w:cs="Times New Roman" w:eastAsiaTheme="minorEastAsia"/>
                <w:i w:val="0"/>
                <w:iCs w:val="0"/>
                <w:color w:val="auto"/>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八、社会保障和就业支出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40</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126,411.36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126,411.36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auto"/>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9</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360" w:lineRule="exact"/>
              <w:rPr>
                <w:rFonts w:hint="default" w:ascii="Times New Roman" w:hAnsi="Times New Roman" w:cs="Times New Roman" w:eastAsiaTheme="minorEastAsia"/>
                <w:i w:val="0"/>
                <w:iCs w:val="0"/>
                <w:color w:val="auto"/>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九、卫生健康支出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41</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45,158.28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45,158.28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auto"/>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10</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auto"/>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十、节能环保支出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42</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auto"/>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11</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auto"/>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十一、城乡社区支出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43</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auto"/>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12</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auto"/>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十二、农林水支出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44</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auto"/>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13</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auto"/>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十三、交通运输支出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45</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auto"/>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14</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auto"/>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十四、资源勘探工业信息等支出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46</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auto"/>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15</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auto"/>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十五、商业服务业等支出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47</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auto"/>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16</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auto"/>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十六、金融支出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48</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auto"/>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17</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auto"/>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十七、援助其他地区支出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49</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auto"/>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18</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auto"/>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十八、自然资源海洋气象等支出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50</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auto"/>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19</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auto"/>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十九、住房保障支出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51</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43,778.88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43,778.88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auto"/>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20</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auto"/>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二十、粮油物资储备支出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52</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auto"/>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21</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auto"/>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二十一、国有资本经营预算支出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53</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auto"/>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22</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auto"/>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二十二、灾害防治及应急管理支出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54</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auto"/>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23</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auto"/>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二十三、其他支出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55</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center"/>
              <w:rPr>
                <w:rFonts w:hint="eastAsia" w:ascii="宋体" w:hAnsi="宋体" w:eastAsia="宋体" w:cs="宋体"/>
                <w:b/>
                <w:bCs/>
                <w:i w:val="0"/>
                <w:iCs w:val="0"/>
                <w:color w:val="auto"/>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24</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auto"/>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二十四、债务还本支出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56</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auto"/>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25</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auto"/>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二十五、债务付息支出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57</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auto"/>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26</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auto"/>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二十六、抗疫特别国债安排的支出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58</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本年收入合计</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27</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996,998.71 </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本年支出合计</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59</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996,998.71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996,998.71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年初结转和结余</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28</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年末结转和结余</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60</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 xml:space="preserve">  一般公共预算财政拨款</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29</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auto"/>
                <w:sz w:val="20"/>
                <w:szCs w:val="20"/>
                <w:u w:val="none"/>
              </w:rPr>
            </w:pP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61</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360" w:lineRule="exact"/>
              <w:rPr>
                <w:rFonts w:hint="default" w:ascii="Times New Roman" w:hAnsi="Times New Roman" w:cs="Times New Roman" w:eastAsiaTheme="minorEastAsia"/>
                <w:i w:val="0"/>
                <w:iCs w:val="0"/>
                <w:color w:val="auto"/>
                <w:sz w:val="22"/>
                <w:szCs w:val="22"/>
                <w:u w:val="none"/>
              </w:rPr>
            </w:pP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360" w:lineRule="exact"/>
              <w:rPr>
                <w:rFonts w:hint="default" w:ascii="Times New Roman" w:hAnsi="Times New Roman" w:cs="Times New Roman" w:eastAsiaTheme="minorEastAsia"/>
                <w:i w:val="0"/>
                <w:iCs w:val="0"/>
                <w:color w:val="auto"/>
                <w:sz w:val="22"/>
                <w:szCs w:val="22"/>
                <w:u w:val="none"/>
              </w:rPr>
            </w:pP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360" w:lineRule="exact"/>
              <w:rPr>
                <w:rFonts w:hint="default" w:ascii="Times New Roman" w:hAnsi="Times New Roman" w:cs="Times New Roman" w:eastAsiaTheme="minorEastAsia"/>
                <w:i w:val="0"/>
                <w:iCs w:val="0"/>
                <w:color w:val="auto"/>
                <w:sz w:val="22"/>
                <w:szCs w:val="22"/>
                <w:u w:val="none"/>
              </w:rPr>
            </w:pP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360" w:lineRule="exact"/>
              <w:rPr>
                <w:rFonts w:hint="default" w:ascii="Times New Roman" w:hAnsi="Times New Roman" w:cs="Times New Roman" w:eastAsiaTheme="minorEastAsia"/>
                <w:i w:val="0"/>
                <w:iCs w:val="0"/>
                <w:color w:val="auto"/>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 xml:space="preserve">  政府性基金预算财政拨款</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30</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auto"/>
                <w:sz w:val="20"/>
                <w:szCs w:val="20"/>
                <w:u w:val="none"/>
              </w:rPr>
            </w:pP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62</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auto"/>
                <w:sz w:val="22"/>
                <w:szCs w:val="22"/>
                <w:u w:val="none"/>
              </w:rPr>
            </w:pP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auto"/>
                <w:sz w:val="22"/>
                <w:szCs w:val="22"/>
                <w:u w:val="none"/>
              </w:rPr>
            </w:pP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auto"/>
                <w:sz w:val="22"/>
                <w:szCs w:val="22"/>
                <w:u w:val="none"/>
              </w:rPr>
            </w:pP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auto"/>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 xml:space="preserve">  国有资本经营预算财政拨款</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31</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auto"/>
                <w:sz w:val="22"/>
                <w:szCs w:val="22"/>
                <w:u w:val="none"/>
              </w:rPr>
            </w:pP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63</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auto"/>
                <w:sz w:val="22"/>
                <w:szCs w:val="22"/>
                <w:u w:val="none"/>
              </w:rPr>
            </w:pP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auto"/>
                <w:sz w:val="22"/>
                <w:szCs w:val="22"/>
                <w:u w:val="none"/>
              </w:rPr>
            </w:pP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auto"/>
                <w:sz w:val="22"/>
                <w:szCs w:val="22"/>
                <w:u w:val="none"/>
              </w:rPr>
            </w:pP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auto"/>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总计</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32</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996,998.71 </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总计</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64</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996,998.71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996,998.71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r>
    </w:tbl>
    <w:p>
      <w:pPr>
        <w:rPr>
          <w:rFonts w:hint="eastAsia" w:ascii="宋体" w:hAnsi="宋体" w:eastAsia="宋体" w:cs="宋体"/>
          <w:color w:val="auto"/>
          <w:sz w:val="21"/>
          <w:szCs w:val="21"/>
        </w:rPr>
      </w:pPr>
      <w:r>
        <w:rPr>
          <w:rFonts w:hint="eastAsia" w:ascii="宋体" w:hAnsi="宋体" w:eastAsia="宋体" w:cs="宋体"/>
          <w:color w:val="auto"/>
          <w:sz w:val="21"/>
          <w:szCs w:val="21"/>
        </w:rPr>
        <w:br w:type="page"/>
      </w:r>
    </w:p>
    <w:tbl>
      <w:tblPr>
        <w:tblStyle w:val="6"/>
        <w:tblW w:w="23039" w:type="dxa"/>
        <w:tblInd w:w="-22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317"/>
        <w:gridCol w:w="316"/>
        <w:gridCol w:w="334"/>
        <w:gridCol w:w="1816"/>
        <w:gridCol w:w="1528"/>
        <w:gridCol w:w="1378"/>
        <w:gridCol w:w="1494"/>
        <w:gridCol w:w="1784"/>
        <w:gridCol w:w="1666"/>
        <w:gridCol w:w="1684"/>
        <w:gridCol w:w="1750"/>
        <w:gridCol w:w="1700"/>
        <w:gridCol w:w="1733"/>
        <w:gridCol w:w="1583"/>
        <w:gridCol w:w="1334"/>
        <w:gridCol w:w="1466"/>
        <w:gridCol w:w="115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3" w:hRule="atLeast"/>
        </w:trPr>
        <w:tc>
          <w:tcPr>
            <w:tcW w:w="23039" w:type="dxa"/>
            <w:gridSpan w:val="17"/>
            <w:tcBorders>
              <w:top w:val="nil"/>
              <w:left w:val="nil"/>
              <w:bottom w:val="nil"/>
              <w:right w:val="nil"/>
            </w:tcBorders>
            <w:shd w:val="clear" w:color="auto" w:fill="auto"/>
            <w:vAlign w:val="bottom"/>
          </w:tcPr>
          <w:p>
            <w:pPr>
              <w:keepNext w:val="0"/>
              <w:keepLines w:val="0"/>
              <w:widowControl/>
              <w:suppressLineNumbers w:val="0"/>
              <w:jc w:val="center"/>
              <w:textAlignment w:val="bottom"/>
              <w:rPr>
                <w:rFonts w:hint="eastAsia" w:ascii="宋体" w:hAnsi="宋体" w:eastAsia="宋体" w:cs="宋体"/>
                <w:i w:val="0"/>
                <w:iCs w:val="0"/>
                <w:color w:val="auto"/>
                <w:sz w:val="30"/>
                <w:szCs w:val="30"/>
                <w:u w:val="none"/>
              </w:rPr>
            </w:pPr>
            <w:r>
              <w:rPr>
                <w:rFonts w:hint="eastAsia" w:ascii="宋体" w:hAnsi="宋体" w:eastAsia="宋体" w:cs="宋体"/>
                <w:b/>
                <w:bCs/>
                <w:i w:val="0"/>
                <w:iCs w:val="0"/>
                <w:color w:val="auto"/>
                <w:kern w:val="0"/>
                <w:sz w:val="30"/>
                <w:szCs w:val="30"/>
                <w:u w:val="none"/>
                <w:lang w:val="en-US" w:eastAsia="zh-CN" w:bidi="ar"/>
              </w:rPr>
              <w:t>一般公共预算财政拨款收入支出决算表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2" w:hRule="atLeast"/>
        </w:trPr>
        <w:tc>
          <w:tcPr>
            <w:tcW w:w="21883" w:type="dxa"/>
            <w:gridSpan w:val="16"/>
            <w:vMerge w:val="restart"/>
            <w:tcBorders>
              <w:top w:val="nil"/>
              <w:left w:val="nil"/>
              <w:right w:val="nil"/>
            </w:tcBorders>
            <w:shd w:val="clear" w:color="auto" w:fill="auto"/>
            <w:vAlign w:val="bottom"/>
          </w:tcPr>
          <w:p>
            <w:pPr>
              <w:rPr>
                <w:rFonts w:hint="default" w:ascii="Arial" w:hAnsi="Arial" w:eastAsia="宋体" w:cs="Arial"/>
                <w:i w:val="0"/>
                <w:iCs w:val="0"/>
                <w:color w:val="auto"/>
                <w:sz w:val="20"/>
                <w:szCs w:val="20"/>
                <w:u w:val="none"/>
              </w:rPr>
            </w:pPr>
            <w:r>
              <w:rPr>
                <w:rFonts w:hint="eastAsia" w:cs="宋体"/>
                <w:color w:val="auto"/>
                <w:sz w:val="20"/>
                <w:szCs w:val="20"/>
                <w:lang w:eastAsia="zh-CN"/>
              </w:rPr>
              <w:t>单位</w:t>
            </w:r>
            <w:r>
              <w:rPr>
                <w:rFonts w:cs="宋体"/>
                <w:color w:val="auto"/>
                <w:sz w:val="20"/>
                <w:szCs w:val="20"/>
              </w:rPr>
              <w:t>：</w:t>
            </w:r>
            <w:r>
              <w:rPr>
                <w:color w:val="auto"/>
                <w:sz w:val="20"/>
                <w:u w:color="auto"/>
              </w:rPr>
              <w:t>石柱土家族自治县服务业发展指导中心</w:t>
            </w:r>
          </w:p>
        </w:tc>
        <w:tc>
          <w:tcPr>
            <w:tcW w:w="1156" w:type="dxa"/>
            <w:tcBorders>
              <w:top w:val="nil"/>
              <w:left w:val="nil"/>
              <w:bottom w:val="nil"/>
              <w:right w:val="nil"/>
            </w:tcBorders>
            <w:shd w:val="clear" w:color="auto" w:fill="auto"/>
            <w:vAlign w:val="bottom"/>
          </w:tcPr>
          <w:p>
            <w:pPr>
              <w:keepNext w:val="0"/>
              <w:keepLines w:val="0"/>
              <w:widowControl/>
              <w:suppressLineNumbers w:val="0"/>
              <w:jc w:val="right"/>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05表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2" w:hRule="atLeast"/>
        </w:trPr>
        <w:tc>
          <w:tcPr>
            <w:tcW w:w="21883" w:type="dxa"/>
            <w:gridSpan w:val="16"/>
            <w:vMerge w:val="continue"/>
            <w:tcBorders>
              <w:left w:val="nil"/>
              <w:bottom w:val="nil"/>
              <w:right w:val="nil"/>
            </w:tcBorders>
            <w:shd w:val="clear" w:color="auto" w:fill="auto"/>
            <w:vAlign w:val="bottom"/>
          </w:tcPr>
          <w:p>
            <w:pPr>
              <w:rPr>
                <w:rFonts w:hint="default" w:ascii="Arial" w:hAnsi="Arial" w:eastAsia="宋体" w:cs="Arial"/>
                <w:i w:val="0"/>
                <w:iCs w:val="0"/>
                <w:color w:val="auto"/>
                <w:sz w:val="20"/>
                <w:szCs w:val="20"/>
                <w:u w:val="none"/>
              </w:rPr>
            </w:pPr>
          </w:p>
        </w:tc>
        <w:tc>
          <w:tcPr>
            <w:tcW w:w="1156" w:type="dxa"/>
            <w:tcBorders>
              <w:top w:val="nil"/>
              <w:left w:val="nil"/>
              <w:bottom w:val="nil"/>
              <w:right w:val="nil"/>
            </w:tcBorders>
            <w:shd w:val="clear" w:color="auto" w:fill="auto"/>
            <w:vAlign w:val="bottom"/>
          </w:tcPr>
          <w:p>
            <w:pPr>
              <w:keepNext w:val="0"/>
              <w:keepLines w:val="0"/>
              <w:widowControl/>
              <w:suppressLineNumbers w:val="0"/>
              <w:jc w:val="right"/>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单位：</w:t>
            </w:r>
            <w:r>
              <w:rPr>
                <w:rFonts w:hint="eastAsia" w:cs="宋体"/>
                <w:i w:val="0"/>
                <w:iCs w:val="0"/>
                <w:color w:val="auto"/>
                <w:kern w:val="0"/>
                <w:sz w:val="20"/>
                <w:szCs w:val="20"/>
                <w:u w:val="none"/>
                <w:lang w:val="en-US" w:eastAsia="zh-CN" w:bidi="ar"/>
              </w:rPr>
              <w:t>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4" w:hRule="atLeast"/>
        </w:trPr>
        <w:tc>
          <w:tcPr>
            <w:tcW w:w="967"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科目代码</w:t>
            </w:r>
          </w:p>
        </w:tc>
        <w:tc>
          <w:tcPr>
            <w:tcW w:w="1816" w:type="dxa"/>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科目名称</w:t>
            </w:r>
          </w:p>
        </w:tc>
        <w:tc>
          <w:tcPr>
            <w:tcW w:w="4400" w:type="dxa"/>
            <w:gridSpan w:val="3"/>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年初结转和结余</w:t>
            </w:r>
          </w:p>
        </w:tc>
        <w:tc>
          <w:tcPr>
            <w:tcW w:w="5134" w:type="dxa"/>
            <w:gridSpan w:val="3"/>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本年收入</w:t>
            </w:r>
          </w:p>
        </w:tc>
        <w:tc>
          <w:tcPr>
            <w:tcW w:w="5183" w:type="dxa"/>
            <w:gridSpan w:val="3"/>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本年支出</w:t>
            </w:r>
          </w:p>
        </w:tc>
        <w:tc>
          <w:tcPr>
            <w:tcW w:w="5539" w:type="dxa"/>
            <w:gridSpan w:val="4"/>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年末结转和结余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4" w:hRule="atLeast"/>
        </w:trPr>
        <w:tc>
          <w:tcPr>
            <w:tcW w:w="967"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auto"/>
                <w:sz w:val="22"/>
                <w:szCs w:val="22"/>
                <w:u w:val="none"/>
              </w:rPr>
            </w:pPr>
          </w:p>
        </w:tc>
        <w:tc>
          <w:tcPr>
            <w:tcW w:w="1816" w:type="dxa"/>
            <w:vMerge w:val="continue"/>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auto"/>
                <w:sz w:val="22"/>
                <w:szCs w:val="22"/>
                <w:u w:val="none"/>
              </w:rPr>
            </w:pPr>
          </w:p>
        </w:tc>
        <w:tc>
          <w:tcPr>
            <w:tcW w:w="1528"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合计</w:t>
            </w:r>
          </w:p>
        </w:tc>
        <w:tc>
          <w:tcPr>
            <w:tcW w:w="1378"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基本支出结转</w:t>
            </w:r>
          </w:p>
        </w:tc>
        <w:tc>
          <w:tcPr>
            <w:tcW w:w="1494"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项目支出结转和结余</w:t>
            </w:r>
          </w:p>
        </w:tc>
        <w:tc>
          <w:tcPr>
            <w:tcW w:w="1784"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合计</w:t>
            </w:r>
          </w:p>
        </w:tc>
        <w:tc>
          <w:tcPr>
            <w:tcW w:w="1666"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基本支出</w:t>
            </w:r>
          </w:p>
        </w:tc>
        <w:tc>
          <w:tcPr>
            <w:tcW w:w="1684"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项目支出</w:t>
            </w:r>
          </w:p>
        </w:tc>
        <w:tc>
          <w:tcPr>
            <w:tcW w:w="1750"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合计</w:t>
            </w:r>
          </w:p>
        </w:tc>
        <w:tc>
          <w:tcPr>
            <w:tcW w:w="1700"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基本支出</w:t>
            </w:r>
          </w:p>
        </w:tc>
        <w:tc>
          <w:tcPr>
            <w:tcW w:w="1733"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项目支出</w:t>
            </w:r>
          </w:p>
        </w:tc>
        <w:tc>
          <w:tcPr>
            <w:tcW w:w="1583"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合计</w:t>
            </w:r>
          </w:p>
        </w:tc>
        <w:tc>
          <w:tcPr>
            <w:tcW w:w="1334"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基本支出结转</w:t>
            </w:r>
          </w:p>
        </w:tc>
        <w:tc>
          <w:tcPr>
            <w:tcW w:w="2622" w:type="dxa"/>
            <w:gridSpan w:val="2"/>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项目支出结转和结余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967"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auto"/>
                <w:sz w:val="22"/>
                <w:szCs w:val="22"/>
                <w:u w:val="none"/>
              </w:rPr>
            </w:pPr>
          </w:p>
        </w:tc>
        <w:tc>
          <w:tcPr>
            <w:tcW w:w="1816" w:type="dxa"/>
            <w:vMerge w:val="continue"/>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auto"/>
                <w:sz w:val="22"/>
                <w:szCs w:val="22"/>
                <w:u w:val="none"/>
              </w:rPr>
            </w:pPr>
          </w:p>
        </w:tc>
        <w:tc>
          <w:tcPr>
            <w:tcW w:w="1528"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auto"/>
                <w:sz w:val="22"/>
                <w:szCs w:val="22"/>
                <w:u w:val="none"/>
              </w:rPr>
            </w:pPr>
          </w:p>
        </w:tc>
        <w:tc>
          <w:tcPr>
            <w:tcW w:w="1378"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auto"/>
                <w:sz w:val="22"/>
                <w:szCs w:val="22"/>
                <w:u w:val="none"/>
              </w:rPr>
            </w:pPr>
          </w:p>
        </w:tc>
        <w:tc>
          <w:tcPr>
            <w:tcW w:w="1494"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auto"/>
                <w:sz w:val="22"/>
                <w:szCs w:val="22"/>
                <w:u w:val="none"/>
              </w:rPr>
            </w:pPr>
          </w:p>
        </w:tc>
        <w:tc>
          <w:tcPr>
            <w:tcW w:w="1784"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auto"/>
                <w:sz w:val="22"/>
                <w:szCs w:val="22"/>
                <w:u w:val="none"/>
              </w:rPr>
            </w:pPr>
          </w:p>
        </w:tc>
        <w:tc>
          <w:tcPr>
            <w:tcW w:w="1666"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auto"/>
                <w:sz w:val="22"/>
                <w:szCs w:val="22"/>
                <w:u w:val="none"/>
              </w:rPr>
            </w:pPr>
          </w:p>
        </w:tc>
        <w:tc>
          <w:tcPr>
            <w:tcW w:w="1684"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auto"/>
                <w:sz w:val="22"/>
                <w:szCs w:val="22"/>
                <w:u w:val="none"/>
              </w:rPr>
            </w:pPr>
          </w:p>
        </w:tc>
        <w:tc>
          <w:tcPr>
            <w:tcW w:w="1750"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auto"/>
                <w:sz w:val="22"/>
                <w:szCs w:val="22"/>
                <w:u w:val="none"/>
              </w:rPr>
            </w:pPr>
          </w:p>
        </w:tc>
        <w:tc>
          <w:tcPr>
            <w:tcW w:w="1700"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auto"/>
                <w:sz w:val="22"/>
                <w:szCs w:val="22"/>
                <w:u w:val="none"/>
              </w:rPr>
            </w:pPr>
          </w:p>
        </w:tc>
        <w:tc>
          <w:tcPr>
            <w:tcW w:w="1733"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auto"/>
                <w:sz w:val="22"/>
                <w:szCs w:val="22"/>
                <w:u w:val="none"/>
              </w:rPr>
            </w:pPr>
          </w:p>
        </w:tc>
        <w:tc>
          <w:tcPr>
            <w:tcW w:w="1583"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auto"/>
                <w:sz w:val="22"/>
                <w:szCs w:val="22"/>
                <w:u w:val="none"/>
              </w:rPr>
            </w:pPr>
          </w:p>
        </w:tc>
        <w:tc>
          <w:tcPr>
            <w:tcW w:w="1334"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auto"/>
                <w:sz w:val="22"/>
                <w:szCs w:val="22"/>
                <w:u w:val="none"/>
              </w:rPr>
            </w:pPr>
          </w:p>
        </w:tc>
        <w:tc>
          <w:tcPr>
            <w:tcW w:w="1466"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项目支出结转</w:t>
            </w:r>
          </w:p>
        </w:tc>
        <w:tc>
          <w:tcPr>
            <w:tcW w:w="1156"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项目支出结余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9" w:hRule="atLeast"/>
        </w:trPr>
        <w:tc>
          <w:tcPr>
            <w:tcW w:w="967"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auto"/>
                <w:sz w:val="22"/>
                <w:szCs w:val="22"/>
                <w:u w:val="none"/>
              </w:rPr>
            </w:pPr>
          </w:p>
        </w:tc>
        <w:tc>
          <w:tcPr>
            <w:tcW w:w="1816" w:type="dxa"/>
            <w:vMerge w:val="continue"/>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auto"/>
                <w:sz w:val="22"/>
                <w:szCs w:val="22"/>
                <w:u w:val="none"/>
              </w:rPr>
            </w:pPr>
          </w:p>
        </w:tc>
        <w:tc>
          <w:tcPr>
            <w:tcW w:w="1528"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auto"/>
                <w:sz w:val="22"/>
                <w:szCs w:val="22"/>
                <w:u w:val="none"/>
              </w:rPr>
            </w:pPr>
          </w:p>
        </w:tc>
        <w:tc>
          <w:tcPr>
            <w:tcW w:w="1378"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auto"/>
                <w:sz w:val="22"/>
                <w:szCs w:val="22"/>
                <w:u w:val="none"/>
              </w:rPr>
            </w:pPr>
          </w:p>
        </w:tc>
        <w:tc>
          <w:tcPr>
            <w:tcW w:w="1494"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auto"/>
                <w:sz w:val="22"/>
                <w:szCs w:val="22"/>
                <w:u w:val="none"/>
              </w:rPr>
            </w:pPr>
          </w:p>
        </w:tc>
        <w:tc>
          <w:tcPr>
            <w:tcW w:w="1784"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auto"/>
                <w:sz w:val="22"/>
                <w:szCs w:val="22"/>
                <w:u w:val="none"/>
              </w:rPr>
            </w:pPr>
          </w:p>
        </w:tc>
        <w:tc>
          <w:tcPr>
            <w:tcW w:w="1666"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auto"/>
                <w:sz w:val="22"/>
                <w:szCs w:val="22"/>
                <w:u w:val="none"/>
              </w:rPr>
            </w:pPr>
          </w:p>
        </w:tc>
        <w:tc>
          <w:tcPr>
            <w:tcW w:w="1684"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auto"/>
                <w:sz w:val="22"/>
                <w:szCs w:val="22"/>
                <w:u w:val="none"/>
              </w:rPr>
            </w:pPr>
          </w:p>
        </w:tc>
        <w:tc>
          <w:tcPr>
            <w:tcW w:w="1750"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auto"/>
                <w:sz w:val="22"/>
                <w:szCs w:val="22"/>
                <w:u w:val="none"/>
              </w:rPr>
            </w:pPr>
          </w:p>
        </w:tc>
        <w:tc>
          <w:tcPr>
            <w:tcW w:w="1700"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auto"/>
                <w:sz w:val="22"/>
                <w:szCs w:val="22"/>
                <w:u w:val="none"/>
              </w:rPr>
            </w:pPr>
          </w:p>
        </w:tc>
        <w:tc>
          <w:tcPr>
            <w:tcW w:w="1733"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auto"/>
                <w:sz w:val="22"/>
                <w:szCs w:val="22"/>
                <w:u w:val="none"/>
              </w:rPr>
            </w:pPr>
          </w:p>
        </w:tc>
        <w:tc>
          <w:tcPr>
            <w:tcW w:w="1583"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auto"/>
                <w:sz w:val="22"/>
                <w:szCs w:val="22"/>
                <w:u w:val="none"/>
              </w:rPr>
            </w:pPr>
          </w:p>
        </w:tc>
        <w:tc>
          <w:tcPr>
            <w:tcW w:w="1334"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auto"/>
                <w:sz w:val="22"/>
                <w:szCs w:val="22"/>
                <w:u w:val="none"/>
              </w:rPr>
            </w:pPr>
          </w:p>
        </w:tc>
        <w:tc>
          <w:tcPr>
            <w:tcW w:w="1466"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auto"/>
                <w:sz w:val="22"/>
                <w:szCs w:val="22"/>
                <w:u w:val="none"/>
              </w:rPr>
            </w:pPr>
          </w:p>
        </w:tc>
        <w:tc>
          <w:tcPr>
            <w:tcW w:w="1156"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auto"/>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1" w:hRule="atLeast"/>
        </w:trPr>
        <w:tc>
          <w:tcPr>
            <w:tcW w:w="317" w:type="dxa"/>
            <w:vMerge w:val="restart"/>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类</w:t>
            </w:r>
          </w:p>
        </w:tc>
        <w:tc>
          <w:tcPr>
            <w:tcW w:w="316"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款</w:t>
            </w:r>
          </w:p>
        </w:tc>
        <w:tc>
          <w:tcPr>
            <w:tcW w:w="334"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项</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栏次</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1</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2</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3</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4</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5</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6</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7</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8</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9</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10</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11</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12</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13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8" w:hRule="atLeast"/>
        </w:trPr>
        <w:tc>
          <w:tcPr>
            <w:tcW w:w="317" w:type="dxa"/>
            <w:vMerge w:val="continue"/>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b/>
                <w:bCs/>
                <w:i w:val="0"/>
                <w:iCs w:val="0"/>
                <w:color w:val="auto"/>
                <w:sz w:val="22"/>
                <w:szCs w:val="22"/>
                <w:u w:val="none"/>
              </w:rPr>
            </w:pPr>
          </w:p>
        </w:tc>
        <w:tc>
          <w:tcPr>
            <w:tcW w:w="316"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b/>
                <w:bCs/>
                <w:i w:val="0"/>
                <w:iCs w:val="0"/>
                <w:color w:val="auto"/>
                <w:sz w:val="22"/>
                <w:szCs w:val="22"/>
                <w:u w:val="none"/>
              </w:rPr>
            </w:pPr>
          </w:p>
        </w:tc>
        <w:tc>
          <w:tcPr>
            <w:tcW w:w="334"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b/>
                <w:bCs/>
                <w:i w:val="0"/>
                <w:iCs w:val="0"/>
                <w:color w:val="auto"/>
                <w:sz w:val="22"/>
                <w:szCs w:val="22"/>
                <w:u w:val="none"/>
              </w:rPr>
            </w:pP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auto"/>
                <w:sz w:val="20"/>
                <w:szCs w:val="20"/>
                <w:u w:val="none"/>
              </w:rPr>
            </w:pPr>
            <w:r>
              <w:rPr>
                <w:rFonts w:hint="eastAsia" w:ascii="宋体" w:hAnsi="宋体" w:eastAsia="宋体" w:cs="宋体"/>
                <w:b/>
                <w:bCs/>
                <w:i w:val="0"/>
                <w:iCs w:val="0"/>
                <w:color w:val="auto"/>
                <w:kern w:val="0"/>
                <w:sz w:val="22"/>
                <w:szCs w:val="22"/>
                <w:u w:val="none"/>
                <w:lang w:val="en-US" w:eastAsia="zh-CN" w:bidi="ar"/>
              </w:rPr>
              <w:t>合计</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auto"/>
                <w:sz w:val="20"/>
                <w:szCs w:val="20"/>
                <w:u w:val="none"/>
              </w:rPr>
            </w:pPr>
            <w:r>
              <w:rPr>
                <w:rFonts w:hint="default" w:ascii="Times New Roman" w:hAnsi="Times New Roman" w:cs="Times New Roman"/>
                <w:b/>
                <w:bCs/>
                <w:color w:val="auto"/>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auto"/>
                <w:sz w:val="20"/>
                <w:szCs w:val="20"/>
                <w:u w:val="none"/>
              </w:rPr>
            </w:pPr>
            <w:r>
              <w:rPr>
                <w:rFonts w:hint="default" w:ascii="Times New Roman" w:hAnsi="Times New Roman" w:cs="Times New Roman"/>
                <w:b/>
                <w:bCs/>
                <w:color w:val="auto"/>
                <w:sz w:val="20"/>
                <w:szCs w:val="20"/>
              </w:rPr>
              <w:t>0.00</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auto"/>
                <w:sz w:val="20"/>
                <w:szCs w:val="20"/>
                <w:u w:val="none"/>
              </w:rPr>
            </w:pPr>
            <w:r>
              <w:rPr>
                <w:rFonts w:hint="default" w:ascii="Times New Roman" w:hAnsi="Times New Roman" w:cs="Times New Roman"/>
                <w:b/>
                <w:bCs/>
                <w:color w:val="auto"/>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auto"/>
                <w:sz w:val="20"/>
                <w:szCs w:val="20"/>
                <w:u w:val="none"/>
              </w:rPr>
            </w:pPr>
            <w:r>
              <w:rPr>
                <w:rFonts w:hint="default" w:ascii="Times New Roman" w:hAnsi="Times New Roman" w:cs="Times New Roman"/>
                <w:b/>
                <w:bCs/>
                <w:color w:val="auto"/>
                <w:sz w:val="20"/>
                <w:szCs w:val="20"/>
              </w:rPr>
              <w:t xml:space="preserve">996,998.71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auto"/>
                <w:sz w:val="20"/>
                <w:szCs w:val="20"/>
                <w:u w:val="none"/>
              </w:rPr>
            </w:pPr>
            <w:r>
              <w:rPr>
                <w:rFonts w:hint="default" w:ascii="Times New Roman" w:hAnsi="Times New Roman" w:cs="Times New Roman"/>
                <w:b/>
                <w:bCs/>
                <w:color w:val="auto"/>
                <w:sz w:val="20"/>
                <w:szCs w:val="20"/>
              </w:rPr>
              <w:t xml:space="preserve">996,998.71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auto"/>
                <w:sz w:val="20"/>
                <w:szCs w:val="20"/>
                <w:u w:val="none"/>
              </w:rPr>
            </w:pPr>
            <w:r>
              <w:rPr>
                <w:rFonts w:hint="default" w:ascii="Times New Roman" w:hAnsi="Times New Roman" w:cs="Times New Roman"/>
                <w:b/>
                <w:bCs/>
                <w:color w:val="auto"/>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auto"/>
                <w:sz w:val="20"/>
                <w:szCs w:val="20"/>
                <w:u w:val="none"/>
              </w:rPr>
            </w:pPr>
            <w:r>
              <w:rPr>
                <w:rFonts w:hint="default" w:ascii="Times New Roman" w:hAnsi="Times New Roman" w:cs="Times New Roman"/>
                <w:b/>
                <w:bCs/>
                <w:color w:val="auto"/>
                <w:sz w:val="20"/>
                <w:szCs w:val="20"/>
              </w:rPr>
              <w:t xml:space="preserve">996,998.71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auto"/>
                <w:sz w:val="20"/>
                <w:szCs w:val="20"/>
                <w:u w:val="none"/>
              </w:rPr>
            </w:pPr>
            <w:r>
              <w:rPr>
                <w:rFonts w:hint="default" w:ascii="Times New Roman" w:hAnsi="Times New Roman" w:cs="Times New Roman"/>
                <w:b/>
                <w:bCs/>
                <w:color w:val="auto"/>
                <w:sz w:val="20"/>
                <w:szCs w:val="20"/>
              </w:rPr>
              <w:t xml:space="preserve">996,998.71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auto"/>
                <w:sz w:val="20"/>
                <w:szCs w:val="20"/>
                <w:u w:val="none"/>
              </w:rPr>
            </w:pPr>
            <w:r>
              <w:rPr>
                <w:rFonts w:hint="default" w:ascii="Times New Roman" w:hAnsi="Times New Roman" w:cs="Times New Roman"/>
                <w:b/>
                <w:bCs/>
                <w:color w:val="auto"/>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auto"/>
                <w:sz w:val="20"/>
                <w:szCs w:val="20"/>
                <w:u w:val="none"/>
              </w:rPr>
            </w:pPr>
            <w:r>
              <w:rPr>
                <w:rFonts w:hint="default" w:ascii="Times New Roman" w:hAnsi="Times New Roman" w:cs="Times New Roman"/>
                <w:b/>
                <w:bCs/>
                <w:color w:val="auto"/>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auto"/>
                <w:sz w:val="20"/>
                <w:szCs w:val="20"/>
                <w:u w:val="none"/>
              </w:rPr>
            </w:pPr>
            <w:r>
              <w:rPr>
                <w:rFonts w:hint="default" w:ascii="Times New Roman" w:hAnsi="Times New Roman" w:cs="Times New Roman"/>
                <w:b/>
                <w:bCs/>
                <w:color w:val="auto"/>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auto"/>
                <w:sz w:val="20"/>
                <w:szCs w:val="20"/>
                <w:u w:val="none"/>
              </w:rPr>
            </w:pPr>
            <w:r>
              <w:rPr>
                <w:rFonts w:hint="default" w:ascii="Times New Roman" w:hAnsi="Times New Roman" w:cs="Times New Roman"/>
                <w:b/>
                <w:bCs/>
                <w:color w:val="auto"/>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auto"/>
                <w:sz w:val="20"/>
                <w:szCs w:val="20"/>
                <w:u w:val="none"/>
              </w:rPr>
            </w:pPr>
            <w:r>
              <w:rPr>
                <w:rFonts w:hint="default" w:ascii="Times New Roman" w:hAnsi="Times New Roman" w:cs="Times New Roman"/>
                <w:b/>
                <w:bCs/>
                <w:color w:val="auto"/>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auto"/>
                <w:sz w:val="20"/>
                <w:szCs w:val="20"/>
                <w:u w:val="none"/>
              </w:rPr>
            </w:pPr>
            <w:r>
              <w:rPr>
                <w:rFonts w:cs="宋体"/>
                <w:b/>
                <w:color w:val="auto"/>
                <w:sz w:val="20"/>
                <w:szCs w:val="20"/>
              </w:rPr>
              <w:t>201</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auto"/>
                <w:sz w:val="20"/>
                <w:szCs w:val="20"/>
                <w:u w:val="none"/>
              </w:rPr>
            </w:pPr>
            <w:r>
              <w:rPr>
                <w:rFonts w:cs="宋体"/>
                <w:b/>
                <w:color w:val="auto"/>
                <w:sz w:val="20"/>
                <w:szCs w:val="20"/>
              </w:rPr>
              <w:t>一般公共服务支出</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781,650.19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781,650.19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781,650.19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781,650.19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auto"/>
                <w:sz w:val="20"/>
                <w:szCs w:val="20"/>
                <w:u w:val="none"/>
              </w:rPr>
            </w:pPr>
            <w:r>
              <w:rPr>
                <w:rFonts w:cs="宋体"/>
                <w:b/>
                <w:color w:val="auto"/>
                <w:sz w:val="20"/>
                <w:szCs w:val="20"/>
              </w:rPr>
              <w:t>20104</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auto"/>
                <w:sz w:val="20"/>
                <w:szCs w:val="20"/>
                <w:u w:val="none"/>
              </w:rPr>
            </w:pPr>
            <w:r>
              <w:rPr>
                <w:rFonts w:cs="宋体"/>
                <w:b/>
                <w:color w:val="auto"/>
                <w:sz w:val="20"/>
                <w:szCs w:val="20"/>
              </w:rPr>
              <w:t>发展与改革事务</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781,650.19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781,650.19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781,650.19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781,650.19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auto"/>
                <w:sz w:val="20"/>
                <w:szCs w:val="20"/>
                <w:u w:val="none"/>
              </w:rPr>
            </w:pPr>
            <w:r>
              <w:rPr>
                <w:rFonts w:cs="宋体"/>
                <w:color w:val="auto"/>
                <w:sz w:val="20"/>
                <w:szCs w:val="20"/>
              </w:rPr>
              <w:t>2010450</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auto"/>
                <w:sz w:val="20"/>
                <w:szCs w:val="20"/>
                <w:u w:val="none"/>
              </w:rPr>
            </w:pPr>
            <w:r>
              <w:rPr>
                <w:rFonts w:cs="宋体"/>
                <w:color w:val="auto"/>
                <w:sz w:val="20"/>
                <w:szCs w:val="20"/>
              </w:rPr>
              <w:t>事业运行</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781,650.19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781,650.19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781,650.19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781,650.19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auto"/>
                <w:sz w:val="20"/>
                <w:szCs w:val="20"/>
                <w:u w:val="none"/>
              </w:rPr>
            </w:pPr>
            <w:r>
              <w:rPr>
                <w:rFonts w:cs="宋体"/>
                <w:b/>
                <w:color w:val="auto"/>
                <w:sz w:val="20"/>
                <w:szCs w:val="20"/>
              </w:rPr>
              <w:t>208</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auto"/>
                <w:sz w:val="20"/>
                <w:szCs w:val="20"/>
                <w:u w:val="none"/>
              </w:rPr>
            </w:pPr>
            <w:r>
              <w:rPr>
                <w:rFonts w:cs="宋体"/>
                <w:b/>
                <w:color w:val="auto"/>
                <w:sz w:val="20"/>
                <w:szCs w:val="20"/>
              </w:rPr>
              <w:t>社会保障和就业支出</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126,411.36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126,411.36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126,411.36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126,411.36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auto"/>
                <w:sz w:val="20"/>
                <w:szCs w:val="20"/>
                <w:u w:val="none"/>
              </w:rPr>
            </w:pPr>
            <w:r>
              <w:rPr>
                <w:rFonts w:cs="宋体"/>
                <w:b/>
                <w:color w:val="auto"/>
                <w:sz w:val="20"/>
                <w:szCs w:val="20"/>
              </w:rPr>
              <w:t>20805</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auto"/>
                <w:sz w:val="20"/>
                <w:szCs w:val="20"/>
                <w:u w:val="none"/>
              </w:rPr>
            </w:pPr>
            <w:r>
              <w:rPr>
                <w:rFonts w:cs="宋体"/>
                <w:b/>
                <w:color w:val="auto"/>
                <w:sz w:val="20"/>
                <w:szCs w:val="20"/>
              </w:rPr>
              <w:t>行政事业单位养老支出</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126,411.36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126,411.36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126,411.36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126,411.36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auto"/>
                <w:sz w:val="20"/>
                <w:szCs w:val="20"/>
                <w:u w:val="none"/>
              </w:rPr>
            </w:pPr>
            <w:r>
              <w:rPr>
                <w:rFonts w:cs="宋体"/>
                <w:color w:val="auto"/>
                <w:sz w:val="20"/>
                <w:szCs w:val="20"/>
              </w:rPr>
              <w:t>2080505</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auto"/>
                <w:sz w:val="20"/>
                <w:szCs w:val="20"/>
                <w:u w:val="none"/>
              </w:rPr>
            </w:pPr>
            <w:r>
              <w:rPr>
                <w:rFonts w:cs="宋体"/>
                <w:color w:val="auto"/>
                <w:sz w:val="20"/>
                <w:szCs w:val="20"/>
              </w:rPr>
              <w:t>机关事业单位基本养老保险缴费支出</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84,274.24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84,274.24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84,274.24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84,274.24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auto"/>
                <w:sz w:val="20"/>
                <w:szCs w:val="20"/>
                <w:u w:val="none"/>
              </w:rPr>
            </w:pPr>
            <w:r>
              <w:rPr>
                <w:rFonts w:cs="宋体"/>
                <w:color w:val="auto"/>
                <w:sz w:val="20"/>
                <w:szCs w:val="20"/>
              </w:rPr>
              <w:t>2080506</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auto"/>
                <w:sz w:val="20"/>
                <w:szCs w:val="20"/>
                <w:u w:val="none"/>
              </w:rPr>
            </w:pPr>
            <w:r>
              <w:rPr>
                <w:rFonts w:cs="宋体"/>
                <w:color w:val="auto"/>
                <w:sz w:val="20"/>
                <w:szCs w:val="20"/>
              </w:rPr>
              <w:t>机关事业单位职业年金缴费支出</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42,137.12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42,137.12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42,137.12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42,137.12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auto"/>
                <w:sz w:val="20"/>
                <w:szCs w:val="20"/>
                <w:u w:val="none"/>
              </w:rPr>
            </w:pPr>
            <w:r>
              <w:rPr>
                <w:rFonts w:cs="宋体"/>
                <w:b/>
                <w:color w:val="auto"/>
                <w:sz w:val="20"/>
                <w:szCs w:val="20"/>
              </w:rPr>
              <w:t>210</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auto"/>
                <w:sz w:val="20"/>
                <w:szCs w:val="20"/>
                <w:u w:val="none"/>
              </w:rPr>
            </w:pPr>
            <w:r>
              <w:rPr>
                <w:rFonts w:cs="宋体"/>
                <w:b/>
                <w:color w:val="auto"/>
                <w:sz w:val="20"/>
                <w:szCs w:val="20"/>
              </w:rPr>
              <w:t>卫生健康支出</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45,158.28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45,158.28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45,158.28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45,158.28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auto"/>
                <w:sz w:val="20"/>
                <w:szCs w:val="20"/>
                <w:u w:val="none"/>
              </w:rPr>
            </w:pPr>
            <w:r>
              <w:rPr>
                <w:rFonts w:cs="宋体"/>
                <w:b/>
                <w:color w:val="auto"/>
                <w:sz w:val="20"/>
                <w:szCs w:val="20"/>
              </w:rPr>
              <w:t>21011</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auto"/>
                <w:sz w:val="20"/>
                <w:szCs w:val="20"/>
                <w:u w:val="none"/>
              </w:rPr>
            </w:pPr>
            <w:r>
              <w:rPr>
                <w:rFonts w:cs="宋体"/>
                <w:b/>
                <w:color w:val="auto"/>
                <w:sz w:val="20"/>
                <w:szCs w:val="20"/>
              </w:rPr>
              <w:t>行政事业单位医疗</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45,158.28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45,158.28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45,158.28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45,158.28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auto"/>
                <w:sz w:val="20"/>
                <w:szCs w:val="20"/>
                <w:u w:val="none"/>
              </w:rPr>
            </w:pPr>
            <w:r>
              <w:rPr>
                <w:rFonts w:cs="宋体"/>
                <w:color w:val="auto"/>
                <w:sz w:val="20"/>
                <w:szCs w:val="20"/>
              </w:rPr>
              <w:t>2101102</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auto"/>
                <w:sz w:val="20"/>
                <w:szCs w:val="20"/>
                <w:u w:val="none"/>
              </w:rPr>
            </w:pPr>
            <w:r>
              <w:rPr>
                <w:rFonts w:cs="宋体"/>
                <w:color w:val="auto"/>
                <w:sz w:val="20"/>
                <w:szCs w:val="20"/>
              </w:rPr>
              <w:t>事业单位医疗</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34,658.28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34,658.28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34,658.28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34,658.28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auto"/>
                <w:sz w:val="20"/>
                <w:szCs w:val="20"/>
                <w:u w:val="none"/>
              </w:rPr>
            </w:pPr>
            <w:r>
              <w:rPr>
                <w:rFonts w:cs="宋体"/>
                <w:color w:val="auto"/>
                <w:sz w:val="20"/>
                <w:szCs w:val="20"/>
              </w:rPr>
              <w:t>2101199</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auto"/>
                <w:sz w:val="20"/>
                <w:szCs w:val="20"/>
                <w:u w:val="none"/>
              </w:rPr>
            </w:pPr>
            <w:r>
              <w:rPr>
                <w:rFonts w:cs="宋体"/>
                <w:color w:val="auto"/>
                <w:sz w:val="20"/>
                <w:szCs w:val="20"/>
              </w:rPr>
              <w:t>其他行政事业单位医疗支出</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10,500.00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10,500.00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10,500.00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10,500.00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auto"/>
                <w:sz w:val="20"/>
                <w:szCs w:val="20"/>
                <w:u w:val="none"/>
              </w:rPr>
            </w:pPr>
            <w:r>
              <w:rPr>
                <w:rFonts w:cs="宋体"/>
                <w:b/>
                <w:color w:val="auto"/>
                <w:sz w:val="20"/>
                <w:szCs w:val="20"/>
              </w:rPr>
              <w:t>221</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auto"/>
                <w:sz w:val="20"/>
                <w:szCs w:val="20"/>
                <w:u w:val="none"/>
              </w:rPr>
            </w:pPr>
            <w:r>
              <w:rPr>
                <w:rFonts w:cs="宋体"/>
                <w:b/>
                <w:color w:val="auto"/>
                <w:sz w:val="20"/>
                <w:szCs w:val="20"/>
              </w:rPr>
              <w:t>住房保障支出</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43,778.88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43,778.88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43,778.88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43,778.88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auto"/>
                <w:sz w:val="20"/>
                <w:szCs w:val="20"/>
                <w:u w:val="none"/>
              </w:rPr>
            </w:pPr>
            <w:r>
              <w:rPr>
                <w:rFonts w:cs="宋体"/>
                <w:b/>
                <w:color w:val="auto"/>
                <w:sz w:val="20"/>
                <w:szCs w:val="20"/>
              </w:rPr>
              <w:t>22102</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auto"/>
                <w:sz w:val="20"/>
                <w:szCs w:val="20"/>
                <w:u w:val="none"/>
              </w:rPr>
            </w:pPr>
            <w:r>
              <w:rPr>
                <w:rFonts w:cs="宋体"/>
                <w:b/>
                <w:color w:val="auto"/>
                <w:sz w:val="20"/>
                <w:szCs w:val="20"/>
              </w:rPr>
              <w:t>住房改革支出</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43,778.88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43,778.88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43,778.88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43,778.88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auto"/>
                <w:sz w:val="20"/>
                <w:szCs w:val="20"/>
                <w:u w:val="none"/>
              </w:rPr>
            </w:pPr>
            <w:r>
              <w:rPr>
                <w:rFonts w:cs="宋体"/>
                <w:color w:val="auto"/>
                <w:sz w:val="20"/>
                <w:szCs w:val="20"/>
              </w:rPr>
              <w:t>2210201</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auto"/>
                <w:sz w:val="20"/>
                <w:szCs w:val="20"/>
                <w:u w:val="none"/>
              </w:rPr>
            </w:pPr>
            <w:r>
              <w:rPr>
                <w:rFonts w:cs="宋体"/>
                <w:color w:val="auto"/>
                <w:sz w:val="20"/>
                <w:szCs w:val="20"/>
              </w:rPr>
              <w:t>住房公积金</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43,778.88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43,778.88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43,778.88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43,778.88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r>
    </w:tbl>
    <w:p>
      <w:pPr>
        <w:numPr>
          <w:ilvl w:val="0"/>
          <w:numId w:val="0"/>
        </w:numPr>
        <w:rPr>
          <w:rFonts w:hint="eastAsia" w:ascii="宋体" w:hAnsi="宋体" w:eastAsia="宋体" w:cs="宋体"/>
          <w:color w:val="auto"/>
          <w:sz w:val="21"/>
          <w:szCs w:val="21"/>
        </w:rPr>
      </w:pPr>
      <w:r>
        <w:rPr>
          <w:rFonts w:hint="eastAsia" w:ascii="宋体" w:hAnsi="宋体" w:eastAsia="宋体" w:cs="宋体"/>
          <w:color w:val="auto"/>
          <w:sz w:val="21"/>
          <w:szCs w:val="21"/>
        </w:rPr>
        <w:br w:type="page"/>
      </w:r>
    </w:p>
    <w:tbl>
      <w:tblPr>
        <w:tblStyle w:val="6"/>
        <w:tblW w:w="22366"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351"/>
        <w:gridCol w:w="3616"/>
        <w:gridCol w:w="2650"/>
        <w:gridCol w:w="1234"/>
        <w:gridCol w:w="2866"/>
        <w:gridCol w:w="2367"/>
        <w:gridCol w:w="1133"/>
        <w:gridCol w:w="4467"/>
        <w:gridCol w:w="268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trPr>
        <w:tc>
          <w:tcPr>
            <w:tcW w:w="22366" w:type="dxa"/>
            <w:gridSpan w:val="9"/>
            <w:tcBorders>
              <w:top w:val="nil"/>
              <w:left w:val="nil"/>
              <w:bottom w:val="nil"/>
              <w:right w:val="nil"/>
            </w:tcBorders>
            <w:shd w:val="clear" w:color="auto" w:fill="auto"/>
            <w:vAlign w:val="bottom"/>
          </w:tcPr>
          <w:p>
            <w:pPr>
              <w:keepNext w:val="0"/>
              <w:keepLines w:val="0"/>
              <w:widowControl/>
              <w:suppressLineNumbers w:val="0"/>
              <w:jc w:val="center"/>
              <w:textAlignment w:val="bottom"/>
              <w:rPr>
                <w:rFonts w:hint="eastAsia" w:ascii="宋体" w:hAnsi="宋体" w:eastAsia="宋体" w:cs="宋体"/>
                <w:i w:val="0"/>
                <w:iCs w:val="0"/>
                <w:color w:val="auto"/>
                <w:sz w:val="30"/>
                <w:szCs w:val="30"/>
                <w:u w:val="none"/>
              </w:rPr>
            </w:pPr>
            <w:r>
              <w:rPr>
                <w:rFonts w:hint="eastAsia" w:ascii="宋体" w:hAnsi="宋体" w:eastAsia="宋体" w:cs="宋体"/>
                <w:b/>
                <w:bCs/>
                <w:i w:val="0"/>
                <w:iCs w:val="0"/>
                <w:color w:val="auto"/>
                <w:kern w:val="0"/>
                <w:sz w:val="30"/>
                <w:szCs w:val="30"/>
                <w:u w:val="none"/>
                <w:lang w:val="en-US" w:eastAsia="zh-CN" w:bidi="ar"/>
              </w:rPr>
              <w:t>一般公共预算财政拨款基本支出决算明细表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19684" w:type="dxa"/>
            <w:gridSpan w:val="8"/>
            <w:vMerge w:val="restart"/>
            <w:tcBorders>
              <w:top w:val="nil"/>
              <w:left w:val="nil"/>
              <w:right w:val="nil"/>
            </w:tcBorders>
            <w:shd w:val="clear" w:color="auto" w:fill="auto"/>
            <w:vAlign w:val="bottom"/>
          </w:tcPr>
          <w:p>
            <w:pPr>
              <w:rPr>
                <w:rFonts w:hint="default" w:ascii="Arial" w:hAnsi="Arial" w:eastAsia="宋体" w:cs="Arial"/>
                <w:i w:val="0"/>
                <w:iCs w:val="0"/>
                <w:color w:val="auto"/>
                <w:sz w:val="20"/>
                <w:szCs w:val="20"/>
                <w:u w:val="none"/>
              </w:rPr>
            </w:pPr>
            <w:r>
              <w:rPr>
                <w:rFonts w:hint="eastAsia" w:cs="宋体"/>
                <w:color w:val="auto"/>
                <w:sz w:val="20"/>
                <w:szCs w:val="20"/>
                <w:lang w:eastAsia="zh-CN"/>
              </w:rPr>
              <w:t>单位</w:t>
            </w:r>
            <w:r>
              <w:rPr>
                <w:rFonts w:cs="宋体"/>
                <w:color w:val="auto"/>
                <w:sz w:val="20"/>
                <w:szCs w:val="20"/>
              </w:rPr>
              <w:t>：</w:t>
            </w:r>
            <w:r>
              <w:rPr>
                <w:color w:val="auto"/>
                <w:sz w:val="20"/>
                <w:u w:color="auto"/>
              </w:rPr>
              <w:t>石柱土家族自治县服务业发展指导中心</w:t>
            </w:r>
          </w:p>
        </w:tc>
        <w:tc>
          <w:tcPr>
            <w:tcW w:w="2682" w:type="dxa"/>
            <w:tcBorders>
              <w:top w:val="nil"/>
              <w:left w:val="nil"/>
              <w:bottom w:val="nil"/>
              <w:right w:val="nil"/>
            </w:tcBorders>
            <w:shd w:val="clear" w:color="auto" w:fill="auto"/>
            <w:vAlign w:val="bottom"/>
          </w:tcPr>
          <w:p>
            <w:pPr>
              <w:keepNext w:val="0"/>
              <w:keepLines w:val="0"/>
              <w:widowControl/>
              <w:suppressLineNumbers w:val="0"/>
              <w:jc w:val="right"/>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06表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19684" w:type="dxa"/>
            <w:gridSpan w:val="8"/>
            <w:vMerge w:val="continue"/>
            <w:tcBorders>
              <w:left w:val="nil"/>
              <w:bottom w:val="nil"/>
              <w:right w:val="nil"/>
            </w:tcBorders>
            <w:shd w:val="clear" w:color="auto" w:fill="auto"/>
            <w:vAlign w:val="bottom"/>
          </w:tcPr>
          <w:p>
            <w:pPr>
              <w:rPr>
                <w:rFonts w:hint="default" w:ascii="Arial" w:hAnsi="Arial" w:eastAsia="宋体" w:cs="Arial"/>
                <w:i w:val="0"/>
                <w:iCs w:val="0"/>
                <w:color w:val="auto"/>
                <w:sz w:val="20"/>
                <w:szCs w:val="20"/>
                <w:u w:val="none"/>
              </w:rPr>
            </w:pPr>
          </w:p>
        </w:tc>
        <w:tc>
          <w:tcPr>
            <w:tcW w:w="2682" w:type="dxa"/>
            <w:tcBorders>
              <w:top w:val="nil"/>
              <w:left w:val="nil"/>
              <w:bottom w:val="nil"/>
              <w:right w:val="nil"/>
            </w:tcBorders>
            <w:shd w:val="clear" w:color="auto" w:fill="auto"/>
            <w:vAlign w:val="bottom"/>
          </w:tcPr>
          <w:p>
            <w:pPr>
              <w:keepNext w:val="0"/>
              <w:keepLines w:val="0"/>
              <w:widowControl/>
              <w:suppressLineNumbers w:val="0"/>
              <w:jc w:val="right"/>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单位：</w:t>
            </w:r>
            <w:r>
              <w:rPr>
                <w:rFonts w:hint="eastAsia" w:cs="宋体"/>
                <w:i w:val="0"/>
                <w:iCs w:val="0"/>
                <w:color w:val="auto"/>
                <w:kern w:val="0"/>
                <w:sz w:val="20"/>
                <w:szCs w:val="20"/>
                <w:u w:val="none"/>
                <w:lang w:val="en-US" w:eastAsia="zh-CN" w:bidi="ar"/>
              </w:rPr>
              <w:t>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761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人员经费</w:t>
            </w:r>
          </w:p>
        </w:tc>
        <w:tc>
          <w:tcPr>
            <w:tcW w:w="14749" w:type="dxa"/>
            <w:gridSpan w:val="6"/>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公用经费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vMerge w:val="restar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科目代码</w:t>
            </w:r>
          </w:p>
        </w:tc>
        <w:tc>
          <w:tcPr>
            <w:tcW w:w="3616"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科目名称</w:t>
            </w:r>
          </w:p>
        </w:tc>
        <w:tc>
          <w:tcPr>
            <w:tcW w:w="2650"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决算数</w:t>
            </w:r>
          </w:p>
        </w:tc>
        <w:tc>
          <w:tcPr>
            <w:tcW w:w="1234"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科目代码</w:t>
            </w:r>
          </w:p>
        </w:tc>
        <w:tc>
          <w:tcPr>
            <w:tcW w:w="2866"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科目名称</w:t>
            </w:r>
          </w:p>
        </w:tc>
        <w:tc>
          <w:tcPr>
            <w:tcW w:w="2367"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决算数</w:t>
            </w:r>
          </w:p>
        </w:tc>
        <w:tc>
          <w:tcPr>
            <w:tcW w:w="1133"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科目代码</w:t>
            </w:r>
          </w:p>
        </w:tc>
        <w:tc>
          <w:tcPr>
            <w:tcW w:w="4467"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科目名称</w:t>
            </w:r>
          </w:p>
        </w:tc>
        <w:tc>
          <w:tcPr>
            <w:tcW w:w="2682"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决算数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vMerge w:val="continue"/>
            <w:tcBorders>
              <w:top w:val="nil"/>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2"/>
                <w:szCs w:val="22"/>
                <w:u w:val="none"/>
              </w:rPr>
            </w:pPr>
          </w:p>
        </w:tc>
        <w:tc>
          <w:tcPr>
            <w:tcW w:w="3616"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2"/>
                <w:szCs w:val="22"/>
                <w:u w:val="none"/>
              </w:rPr>
            </w:pPr>
          </w:p>
        </w:tc>
        <w:tc>
          <w:tcPr>
            <w:tcW w:w="2650"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2"/>
                <w:szCs w:val="22"/>
                <w:u w:val="none"/>
              </w:rPr>
            </w:pPr>
          </w:p>
        </w:tc>
        <w:tc>
          <w:tcPr>
            <w:tcW w:w="1234"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2"/>
                <w:szCs w:val="22"/>
                <w:u w:val="none"/>
              </w:rPr>
            </w:pPr>
          </w:p>
        </w:tc>
        <w:tc>
          <w:tcPr>
            <w:tcW w:w="2866"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2"/>
                <w:szCs w:val="22"/>
                <w:u w:val="none"/>
              </w:rPr>
            </w:pPr>
          </w:p>
        </w:tc>
        <w:tc>
          <w:tcPr>
            <w:tcW w:w="2367"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2"/>
                <w:szCs w:val="22"/>
                <w:u w:val="none"/>
              </w:rPr>
            </w:pPr>
          </w:p>
        </w:tc>
        <w:tc>
          <w:tcPr>
            <w:tcW w:w="1133"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2"/>
                <w:szCs w:val="22"/>
                <w:u w:val="none"/>
              </w:rPr>
            </w:pPr>
          </w:p>
        </w:tc>
        <w:tc>
          <w:tcPr>
            <w:tcW w:w="4467"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2"/>
                <w:szCs w:val="22"/>
                <w:u w:val="none"/>
              </w:rPr>
            </w:pPr>
          </w:p>
        </w:tc>
        <w:tc>
          <w:tcPr>
            <w:tcW w:w="2682"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301</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工资福利支出</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839,702.23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302</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商品和服务支出</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cs="Times New Roman"/>
                <w:color w:val="auto"/>
                <w:sz w:val="22"/>
                <w:szCs w:val="22"/>
              </w:rPr>
              <w:t xml:space="preserve">157,296.48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bCs/>
                <w:i w:val="0"/>
                <w:iCs w:val="0"/>
                <w:color w:val="auto"/>
                <w:kern w:val="0"/>
                <w:sz w:val="22"/>
                <w:szCs w:val="22"/>
                <w:u w:val="none"/>
                <w:lang w:val="en-US" w:eastAsia="zh-CN" w:bidi="ar"/>
              </w:rPr>
            </w:pPr>
            <w:r>
              <w:rPr>
                <w:rFonts w:hint="eastAsia" w:ascii="宋体" w:hAnsi="宋体" w:eastAsia="宋体" w:cs="宋体"/>
                <w:b/>
                <w:bCs/>
                <w:i w:val="0"/>
                <w:iCs w:val="0"/>
                <w:color w:val="auto"/>
                <w:kern w:val="0"/>
                <w:sz w:val="22"/>
                <w:szCs w:val="22"/>
                <w:u w:val="none"/>
                <w:lang w:val="en-US" w:eastAsia="zh-CN" w:bidi="ar"/>
              </w:rPr>
              <w:t>310</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bCs/>
                <w:i w:val="0"/>
                <w:iCs w:val="0"/>
                <w:color w:val="auto"/>
                <w:kern w:val="0"/>
                <w:sz w:val="22"/>
                <w:szCs w:val="22"/>
                <w:u w:val="none"/>
                <w:lang w:val="en-US" w:eastAsia="zh-CN" w:bidi="ar"/>
              </w:rPr>
            </w:pPr>
            <w:r>
              <w:rPr>
                <w:rFonts w:hint="eastAsia" w:ascii="宋体" w:hAnsi="宋体" w:eastAsia="宋体" w:cs="宋体"/>
                <w:b/>
                <w:bCs/>
                <w:i w:val="0"/>
                <w:iCs w:val="0"/>
                <w:color w:val="auto"/>
                <w:kern w:val="0"/>
                <w:sz w:val="22"/>
                <w:szCs w:val="22"/>
                <w:u w:val="none"/>
                <w:lang w:val="en-US" w:eastAsia="zh-CN" w:bidi="ar"/>
              </w:rPr>
              <w:t>资本性支出</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auto"/>
                <w:kern w:val="0"/>
                <w:sz w:val="22"/>
                <w:szCs w:val="22"/>
                <w:u w:val="none"/>
                <w:lang w:val="en-US" w:eastAsia="zh-CN" w:bidi="ar"/>
              </w:rPr>
            </w:pPr>
            <w:r>
              <w:rPr>
                <w:rFonts w:hint="default" w:ascii="Times New Roman" w:hAnsi="Times New Roman" w:cs="Times New Roman"/>
                <w:color w:val="auto"/>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30101</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 xml:space="preserve">  基本工资</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196,974.00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30201</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 xml:space="preserve">  办公费</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cs="Times New Roman"/>
                <w:color w:val="auto"/>
                <w:sz w:val="22"/>
                <w:szCs w:val="22"/>
              </w:rPr>
              <w:t xml:space="preserve">12,000.00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31001</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 xml:space="preserve">  房屋建筑物购建</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auto"/>
                <w:kern w:val="0"/>
                <w:sz w:val="22"/>
                <w:szCs w:val="22"/>
                <w:u w:val="none"/>
                <w:lang w:val="en-US" w:eastAsia="zh-CN" w:bidi="ar"/>
              </w:rPr>
            </w:pPr>
            <w:r>
              <w:rPr>
                <w:rFonts w:hint="default" w:ascii="Times New Roman" w:hAnsi="Times New Roman" w:cs="Times New Roman"/>
                <w:color w:val="auto"/>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30102</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 xml:space="preserve">  津贴补贴</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31,800.00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30202</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 xml:space="preserve">  印刷费</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cs="Times New Roman"/>
                <w:color w:val="auto"/>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31002</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 xml:space="preserve">  办公设备购置</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auto"/>
                <w:kern w:val="0"/>
                <w:sz w:val="22"/>
                <w:szCs w:val="22"/>
                <w:u w:val="none"/>
                <w:lang w:val="en-US" w:eastAsia="zh-CN" w:bidi="ar"/>
              </w:rPr>
            </w:pPr>
            <w:r>
              <w:rPr>
                <w:rFonts w:hint="default" w:ascii="Times New Roman" w:hAnsi="Times New Roman" w:cs="Times New Roman"/>
                <w:color w:val="auto"/>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30103</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 xml:space="preserve">  奖金</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30203</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 xml:space="preserve">  咨询费</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cs="Times New Roman"/>
                <w:color w:val="auto"/>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31003</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 xml:space="preserve">  专用设备购置</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auto"/>
                <w:kern w:val="0"/>
                <w:sz w:val="22"/>
                <w:szCs w:val="22"/>
                <w:u w:val="none"/>
                <w:lang w:val="en-US" w:eastAsia="zh-CN" w:bidi="ar"/>
              </w:rPr>
            </w:pPr>
            <w:r>
              <w:rPr>
                <w:rFonts w:hint="default" w:ascii="Times New Roman" w:hAnsi="Times New Roman" w:cs="Times New Roman"/>
                <w:color w:val="auto"/>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30106</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 xml:space="preserve">  伙食补助费</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30204</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 xml:space="preserve">  手续费</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cs="Times New Roman"/>
                <w:color w:val="auto"/>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31005</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 xml:space="preserve">  基础设施建设</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auto"/>
                <w:kern w:val="0"/>
                <w:sz w:val="22"/>
                <w:szCs w:val="22"/>
                <w:u w:val="none"/>
                <w:lang w:val="en-US" w:eastAsia="zh-CN" w:bidi="ar"/>
              </w:rPr>
            </w:pPr>
            <w:r>
              <w:rPr>
                <w:rFonts w:hint="default" w:ascii="Times New Roman" w:hAnsi="Times New Roman" w:cs="Times New Roman"/>
                <w:color w:val="auto"/>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30107</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 xml:space="preserve">  绩效工资</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390,837.00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30205</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 xml:space="preserve">  水费</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cs="Times New Roman"/>
                <w:color w:val="auto"/>
                <w:sz w:val="22"/>
                <w:szCs w:val="22"/>
              </w:rPr>
              <w:t xml:space="preserve">3,095.50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31006</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 xml:space="preserve">  大型修缮</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auto"/>
                <w:kern w:val="0"/>
                <w:sz w:val="22"/>
                <w:szCs w:val="22"/>
                <w:u w:val="none"/>
                <w:lang w:val="en-US" w:eastAsia="zh-CN" w:bidi="ar"/>
              </w:rPr>
            </w:pPr>
            <w:r>
              <w:rPr>
                <w:rFonts w:hint="default" w:ascii="Times New Roman" w:hAnsi="Times New Roman" w:cs="Times New Roman"/>
                <w:color w:val="auto"/>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30108</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 xml:space="preserve">  机关事业单位基本养老保险缴费</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84,274.24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30206</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 xml:space="preserve">  电费</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cs="Times New Roman"/>
                <w:color w:val="auto"/>
                <w:sz w:val="22"/>
                <w:szCs w:val="22"/>
              </w:rPr>
              <w:t xml:space="preserve">26,904.50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31007</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 xml:space="preserve">  信息网络及软件购置更新</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auto"/>
                <w:kern w:val="0"/>
                <w:sz w:val="22"/>
                <w:szCs w:val="22"/>
                <w:u w:val="none"/>
                <w:lang w:val="en-US" w:eastAsia="zh-CN" w:bidi="ar"/>
              </w:rPr>
            </w:pPr>
            <w:r>
              <w:rPr>
                <w:rFonts w:hint="default" w:ascii="Times New Roman" w:hAnsi="Times New Roman" w:cs="Times New Roman"/>
                <w:color w:val="auto"/>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30109</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 xml:space="preserve">  职业年金缴费</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42,137.12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30207</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 xml:space="preserve">  邮电费</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cs="Times New Roman"/>
                <w:color w:val="auto"/>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31008</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 xml:space="preserve">  物资储备</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auto"/>
                <w:kern w:val="0"/>
                <w:sz w:val="22"/>
                <w:szCs w:val="22"/>
                <w:u w:val="none"/>
                <w:lang w:val="en-US" w:eastAsia="zh-CN" w:bidi="ar"/>
              </w:rPr>
            </w:pPr>
            <w:r>
              <w:rPr>
                <w:rFonts w:hint="default" w:ascii="Times New Roman" w:hAnsi="Times New Roman" w:cs="Times New Roman"/>
                <w:color w:val="auto"/>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30110</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 xml:space="preserve">  职工基本医疗保险缴费</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36,482.40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30208</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 xml:space="preserve">  取暖费</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cs="Times New Roman"/>
                <w:color w:val="auto"/>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31009</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 xml:space="preserve">  土地补偿</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auto"/>
                <w:kern w:val="0"/>
                <w:sz w:val="22"/>
                <w:szCs w:val="22"/>
                <w:u w:val="none"/>
                <w:lang w:val="en-US" w:eastAsia="zh-CN" w:bidi="ar"/>
              </w:rPr>
            </w:pPr>
            <w:r>
              <w:rPr>
                <w:rFonts w:hint="default" w:ascii="Times New Roman" w:hAnsi="Times New Roman" w:cs="Times New Roman"/>
                <w:color w:val="auto"/>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30111</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 xml:space="preserve">  公务员医疗补助缴费</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30209</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 xml:space="preserve">  物业管理费</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cs="Times New Roman"/>
                <w:color w:val="auto"/>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31010</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 xml:space="preserve">  安置补助</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auto"/>
                <w:kern w:val="0"/>
                <w:sz w:val="22"/>
                <w:szCs w:val="22"/>
                <w:u w:val="none"/>
                <w:lang w:val="en-US" w:eastAsia="zh-CN" w:bidi="ar"/>
              </w:rPr>
            </w:pPr>
            <w:r>
              <w:rPr>
                <w:rFonts w:hint="default" w:ascii="Times New Roman" w:hAnsi="Times New Roman" w:cs="Times New Roman"/>
                <w:color w:val="auto"/>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30112</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 xml:space="preserve">  其他社会保障缴费</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2,918.59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30211</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 xml:space="preserve">  差旅费</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cs="Times New Roman"/>
                <w:color w:val="auto"/>
                <w:sz w:val="22"/>
                <w:szCs w:val="22"/>
              </w:rPr>
              <w:t xml:space="preserve">72,000.00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31011</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 xml:space="preserve">  地上附着物和青苗补偿</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auto"/>
                <w:kern w:val="0"/>
                <w:sz w:val="22"/>
                <w:szCs w:val="22"/>
                <w:u w:val="none"/>
                <w:lang w:val="en-US" w:eastAsia="zh-CN" w:bidi="ar"/>
              </w:rPr>
            </w:pPr>
            <w:r>
              <w:rPr>
                <w:rFonts w:hint="default" w:ascii="Times New Roman" w:hAnsi="Times New Roman" w:cs="Times New Roman"/>
                <w:color w:val="auto"/>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30113</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 xml:space="preserve">  住房公积金</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43,778.88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30212</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 xml:space="preserve">  因公出国（境）费用</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cs="Times New Roman"/>
                <w:color w:val="auto"/>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31012</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 xml:space="preserve">  拆迁补偿</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auto"/>
                <w:kern w:val="0"/>
                <w:sz w:val="22"/>
                <w:szCs w:val="22"/>
                <w:u w:val="none"/>
                <w:lang w:val="en-US" w:eastAsia="zh-CN" w:bidi="ar"/>
              </w:rPr>
            </w:pPr>
            <w:r>
              <w:rPr>
                <w:rFonts w:hint="default" w:ascii="Times New Roman" w:hAnsi="Times New Roman" w:cs="Times New Roman"/>
                <w:color w:val="auto"/>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30114</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 xml:space="preserve">  医疗费</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10,500.00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30213</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 xml:space="preserve">  维修（护）费</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cs="Times New Roman"/>
                <w:color w:val="auto"/>
                <w:sz w:val="22"/>
                <w:szCs w:val="22"/>
              </w:rPr>
              <w:t xml:space="preserve">16,000.00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31013</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 xml:space="preserve">  公务用车购置</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auto"/>
                <w:kern w:val="0"/>
                <w:sz w:val="22"/>
                <w:szCs w:val="22"/>
                <w:u w:val="none"/>
                <w:lang w:val="en-US" w:eastAsia="zh-CN" w:bidi="ar"/>
              </w:rPr>
            </w:pPr>
            <w:r>
              <w:rPr>
                <w:rFonts w:hint="default" w:ascii="Times New Roman" w:hAnsi="Times New Roman" w:cs="Times New Roman"/>
                <w:color w:val="auto"/>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30199</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 xml:space="preserve">  其他工资福利支出</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30214</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 xml:space="preserve">  租赁费</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cs="Times New Roman"/>
                <w:color w:val="auto"/>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31019</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 xml:space="preserve">  其他交通工具购置</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auto"/>
                <w:kern w:val="0"/>
                <w:sz w:val="22"/>
                <w:szCs w:val="22"/>
                <w:u w:val="none"/>
                <w:lang w:val="en-US" w:eastAsia="zh-CN" w:bidi="ar"/>
              </w:rPr>
            </w:pPr>
            <w:r>
              <w:rPr>
                <w:rFonts w:hint="default" w:ascii="Times New Roman" w:hAnsi="Times New Roman" w:cs="Times New Roman"/>
                <w:color w:val="auto"/>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303</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对个人和家庭的补助</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30215</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 xml:space="preserve">  会议费</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cs="Times New Roman"/>
                <w:color w:val="auto"/>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31021</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 xml:space="preserve">  文物和陈列品购置</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auto"/>
                <w:kern w:val="0"/>
                <w:sz w:val="22"/>
                <w:szCs w:val="22"/>
                <w:u w:val="none"/>
                <w:lang w:val="en-US" w:eastAsia="zh-CN" w:bidi="ar"/>
              </w:rPr>
            </w:pPr>
            <w:r>
              <w:rPr>
                <w:rFonts w:hint="default" w:ascii="Times New Roman" w:hAnsi="Times New Roman" w:cs="Times New Roman"/>
                <w:color w:val="auto"/>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30301</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 xml:space="preserve">  离休费</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30216</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 xml:space="preserve">  培训费</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cs="Times New Roman"/>
                <w:color w:val="auto"/>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31022</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 xml:space="preserve">  无形资产购置</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auto"/>
                <w:kern w:val="0"/>
                <w:sz w:val="22"/>
                <w:szCs w:val="22"/>
                <w:u w:val="none"/>
                <w:lang w:val="en-US" w:eastAsia="zh-CN" w:bidi="ar"/>
              </w:rPr>
            </w:pPr>
            <w:r>
              <w:rPr>
                <w:rFonts w:hint="default" w:ascii="Times New Roman" w:hAnsi="Times New Roman" w:cs="Times New Roman"/>
                <w:color w:val="auto"/>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30302</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 xml:space="preserve">  退休费</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30217</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 xml:space="preserve">  公务接待费</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cs="Times New Roman"/>
                <w:color w:val="auto"/>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31099</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 xml:space="preserve">  其他资本性支出</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auto"/>
                <w:kern w:val="0"/>
                <w:sz w:val="22"/>
                <w:szCs w:val="22"/>
                <w:u w:val="none"/>
                <w:lang w:val="en-US" w:eastAsia="zh-CN" w:bidi="ar"/>
              </w:rPr>
            </w:pPr>
            <w:r>
              <w:rPr>
                <w:rFonts w:hint="default" w:ascii="Times New Roman" w:hAnsi="Times New Roman" w:cs="Times New Roman"/>
                <w:color w:val="auto"/>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30303</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 xml:space="preserve">  退职（役）费</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30218</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 xml:space="preserve">  专用材料费</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cs="Times New Roman"/>
                <w:color w:val="auto"/>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bCs/>
                <w:i w:val="0"/>
                <w:iCs w:val="0"/>
                <w:color w:val="auto"/>
                <w:kern w:val="0"/>
                <w:sz w:val="22"/>
                <w:szCs w:val="22"/>
                <w:u w:val="none"/>
                <w:lang w:val="en-US" w:eastAsia="zh-CN" w:bidi="ar"/>
              </w:rPr>
            </w:pPr>
            <w:r>
              <w:rPr>
                <w:rFonts w:hint="eastAsia" w:ascii="宋体" w:hAnsi="宋体" w:eastAsia="宋体" w:cs="宋体"/>
                <w:b/>
                <w:bCs/>
                <w:i w:val="0"/>
                <w:iCs w:val="0"/>
                <w:color w:val="auto"/>
                <w:kern w:val="0"/>
                <w:sz w:val="22"/>
                <w:szCs w:val="22"/>
                <w:u w:val="none"/>
                <w:lang w:val="en-US" w:eastAsia="zh-CN" w:bidi="ar"/>
              </w:rPr>
              <w:t>312</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bCs/>
                <w:i w:val="0"/>
                <w:iCs w:val="0"/>
                <w:color w:val="auto"/>
                <w:kern w:val="0"/>
                <w:sz w:val="22"/>
                <w:szCs w:val="22"/>
                <w:u w:val="none"/>
                <w:lang w:val="en-US" w:eastAsia="zh-CN" w:bidi="ar"/>
              </w:rPr>
            </w:pPr>
            <w:r>
              <w:rPr>
                <w:rFonts w:hint="eastAsia" w:ascii="宋体" w:hAnsi="宋体" w:eastAsia="宋体" w:cs="宋体"/>
                <w:b/>
                <w:bCs/>
                <w:i w:val="0"/>
                <w:iCs w:val="0"/>
                <w:color w:val="auto"/>
                <w:kern w:val="0"/>
                <w:sz w:val="22"/>
                <w:szCs w:val="22"/>
                <w:u w:val="none"/>
                <w:lang w:val="en-US" w:eastAsia="zh-CN" w:bidi="ar"/>
              </w:rPr>
              <w:t>对企业补助</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auto"/>
                <w:kern w:val="0"/>
                <w:sz w:val="22"/>
                <w:szCs w:val="22"/>
                <w:u w:val="none"/>
                <w:lang w:val="en-US" w:eastAsia="zh-CN" w:bidi="ar"/>
              </w:rPr>
            </w:pPr>
            <w:r>
              <w:rPr>
                <w:rFonts w:hint="default" w:ascii="Times New Roman" w:hAnsi="Times New Roman" w:cs="Times New Roman"/>
                <w:color w:val="auto"/>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30304</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 xml:space="preserve">  抚恤金</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30224</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 xml:space="preserve">  被装购置费</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cs="Times New Roman"/>
                <w:color w:val="auto"/>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31201</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 xml:space="preserve">  资本金注入</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auto"/>
                <w:kern w:val="0"/>
                <w:sz w:val="22"/>
                <w:szCs w:val="22"/>
                <w:u w:val="none"/>
                <w:lang w:val="en-US" w:eastAsia="zh-CN" w:bidi="ar"/>
              </w:rPr>
            </w:pPr>
            <w:r>
              <w:rPr>
                <w:rFonts w:hint="default" w:ascii="Times New Roman" w:hAnsi="Times New Roman" w:cs="Times New Roman"/>
                <w:color w:val="auto"/>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30305</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 xml:space="preserve">  生活补助</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30225</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 xml:space="preserve">  专用燃料费</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cs="Times New Roman"/>
                <w:color w:val="auto"/>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31203</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 xml:space="preserve">  政府投资基金股权投资</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auto"/>
                <w:kern w:val="0"/>
                <w:sz w:val="22"/>
                <w:szCs w:val="22"/>
                <w:u w:val="none"/>
                <w:lang w:val="en-US" w:eastAsia="zh-CN" w:bidi="ar"/>
              </w:rPr>
            </w:pPr>
            <w:r>
              <w:rPr>
                <w:rFonts w:hint="default" w:ascii="Times New Roman" w:hAnsi="Times New Roman" w:cs="Times New Roman"/>
                <w:color w:val="auto"/>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30306</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 xml:space="preserve">  救济费</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30226</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 xml:space="preserve">  劳务费</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cs="Times New Roman"/>
                <w:color w:val="auto"/>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31204</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 xml:space="preserve">  费用补贴</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auto"/>
                <w:kern w:val="0"/>
                <w:sz w:val="22"/>
                <w:szCs w:val="22"/>
                <w:u w:val="none"/>
                <w:lang w:val="en-US" w:eastAsia="zh-CN" w:bidi="ar"/>
              </w:rPr>
            </w:pPr>
            <w:r>
              <w:rPr>
                <w:rFonts w:hint="default" w:ascii="Times New Roman" w:hAnsi="Times New Roman" w:cs="Times New Roman"/>
                <w:color w:val="auto"/>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30307</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 xml:space="preserve">  医疗费补助</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30227</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 xml:space="preserve">  委托业务费</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cs="Times New Roman"/>
                <w:color w:val="auto"/>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31205</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 xml:space="preserve">  利息补贴</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auto"/>
                <w:kern w:val="0"/>
                <w:sz w:val="22"/>
                <w:szCs w:val="22"/>
                <w:u w:val="none"/>
                <w:lang w:val="en-US" w:eastAsia="zh-CN" w:bidi="ar"/>
              </w:rPr>
            </w:pPr>
            <w:r>
              <w:rPr>
                <w:rFonts w:hint="default" w:ascii="Times New Roman" w:hAnsi="Times New Roman" w:cs="Times New Roman"/>
                <w:color w:val="auto"/>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30308</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 xml:space="preserve">  助学金</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30228</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 xml:space="preserve">  工会经费</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cs="Times New Roman"/>
                <w:color w:val="auto"/>
                <w:sz w:val="22"/>
                <w:szCs w:val="22"/>
              </w:rPr>
              <w:t xml:space="preserve">7,296.48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宋体" w:hAnsi="宋体" w:eastAsia="宋体" w:cs="宋体"/>
                <w:i w:val="0"/>
                <w:iCs w:val="0"/>
                <w:color w:val="auto"/>
                <w:kern w:val="0"/>
                <w:sz w:val="22"/>
                <w:szCs w:val="22"/>
                <w:u w:val="none"/>
                <w:lang w:val="en-US" w:eastAsia="zh-CN" w:bidi="ar"/>
              </w:rPr>
            </w:pPr>
            <w:r>
              <w:rPr>
                <w:rFonts w:hint="eastAsia" w:cs="宋体"/>
                <w:i w:val="0"/>
                <w:iCs w:val="0"/>
                <w:color w:val="auto"/>
                <w:kern w:val="0"/>
                <w:sz w:val="22"/>
                <w:szCs w:val="22"/>
                <w:u w:val="none"/>
                <w:lang w:val="en-US" w:eastAsia="zh-CN" w:bidi="ar"/>
              </w:rPr>
              <w:t>31206</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kern w:val="0"/>
                <w:sz w:val="22"/>
                <w:szCs w:val="22"/>
                <w:u w:val="none"/>
                <w:lang w:val="en-US" w:eastAsia="zh-CN" w:bidi="ar"/>
              </w:rPr>
            </w:pPr>
            <w:r>
              <w:rPr>
                <w:rFonts w:hint="eastAsia" w:cs="宋体"/>
                <w:i w:val="0"/>
                <w:iCs w:val="0"/>
                <w:color w:val="auto"/>
                <w:kern w:val="0"/>
                <w:sz w:val="22"/>
                <w:szCs w:val="22"/>
                <w:u w:val="none"/>
                <w:lang w:val="en-US" w:eastAsia="zh-CN" w:bidi="ar"/>
              </w:rPr>
              <w:t xml:space="preserve">  其他资本性补助</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auto"/>
                <w:kern w:val="0"/>
                <w:sz w:val="22"/>
                <w:szCs w:val="22"/>
                <w:u w:val="none"/>
                <w:lang w:val="en-US" w:eastAsia="zh-CN" w:bidi="ar"/>
              </w:rPr>
            </w:pPr>
            <w:r>
              <w:rPr>
                <w:rFonts w:hint="default" w:ascii="Times New Roman" w:hAnsi="Times New Roman" w:cs="Times New Roman"/>
                <w:color w:val="auto"/>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30309</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 xml:space="preserve">  奖励金</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30229</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 xml:space="preserve">  福利费</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cs="Times New Roman"/>
                <w:color w:val="auto"/>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31299</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 xml:space="preserve">  其他对企业补助</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auto"/>
                <w:kern w:val="0"/>
                <w:sz w:val="22"/>
                <w:szCs w:val="22"/>
                <w:u w:val="none"/>
                <w:lang w:val="en-US" w:eastAsia="zh-CN" w:bidi="ar"/>
              </w:rPr>
            </w:pPr>
            <w:r>
              <w:rPr>
                <w:rFonts w:hint="default" w:ascii="Times New Roman" w:hAnsi="Times New Roman" w:cs="Times New Roman"/>
                <w:color w:val="auto"/>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30310</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 xml:space="preserve">  个人农业生产补贴</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30231</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 xml:space="preserve">  公务用车运行维护费</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cs="Times New Roman"/>
                <w:color w:val="auto"/>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bCs/>
                <w:i w:val="0"/>
                <w:iCs w:val="0"/>
                <w:color w:val="auto"/>
                <w:kern w:val="0"/>
                <w:sz w:val="22"/>
                <w:szCs w:val="22"/>
                <w:u w:val="none"/>
                <w:lang w:val="en-US" w:eastAsia="zh-CN" w:bidi="ar"/>
              </w:rPr>
            </w:pPr>
            <w:r>
              <w:rPr>
                <w:rFonts w:hint="eastAsia" w:ascii="宋体" w:hAnsi="宋体" w:eastAsia="宋体" w:cs="宋体"/>
                <w:b/>
                <w:bCs/>
                <w:i w:val="0"/>
                <w:iCs w:val="0"/>
                <w:color w:val="auto"/>
                <w:kern w:val="0"/>
                <w:sz w:val="22"/>
                <w:szCs w:val="22"/>
                <w:u w:val="none"/>
                <w:lang w:val="en-US" w:eastAsia="zh-CN" w:bidi="ar"/>
              </w:rPr>
              <w:t>399</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bCs/>
                <w:i w:val="0"/>
                <w:iCs w:val="0"/>
                <w:color w:val="auto"/>
                <w:kern w:val="0"/>
                <w:sz w:val="22"/>
                <w:szCs w:val="22"/>
                <w:u w:val="none"/>
                <w:lang w:val="en-US" w:eastAsia="zh-CN" w:bidi="ar"/>
              </w:rPr>
            </w:pPr>
            <w:r>
              <w:rPr>
                <w:rFonts w:hint="eastAsia" w:ascii="宋体" w:hAnsi="宋体" w:eastAsia="宋体" w:cs="宋体"/>
                <w:b/>
                <w:bCs/>
                <w:i w:val="0"/>
                <w:iCs w:val="0"/>
                <w:color w:val="auto"/>
                <w:kern w:val="0"/>
                <w:sz w:val="22"/>
                <w:szCs w:val="22"/>
                <w:u w:val="none"/>
                <w:lang w:val="en-US" w:eastAsia="zh-CN" w:bidi="ar"/>
              </w:rPr>
              <w:t>其他支出</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auto"/>
                <w:kern w:val="0"/>
                <w:sz w:val="22"/>
                <w:szCs w:val="22"/>
                <w:u w:val="none"/>
                <w:lang w:val="en-US" w:eastAsia="zh-CN" w:bidi="ar"/>
              </w:rPr>
            </w:pPr>
            <w:r>
              <w:rPr>
                <w:rFonts w:hint="default" w:ascii="Times New Roman" w:hAnsi="Times New Roman" w:cs="Times New Roman"/>
                <w:color w:val="auto"/>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30311</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 xml:space="preserve">  代缴社会保险费</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30239</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 xml:space="preserve">  其他交通费用</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cs="Times New Roman"/>
                <w:color w:val="auto"/>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39907</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 xml:space="preserve">  国家赔偿费用支出</w:t>
            </w:r>
          </w:p>
        </w:tc>
        <w:tc>
          <w:tcPr>
            <w:tcW w:w="2682" w:type="dxa"/>
            <w:tcBorders>
              <w:top w:val="nil"/>
              <w:left w:val="nil"/>
              <w:bottom w:val="nil"/>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auto"/>
                <w:kern w:val="0"/>
                <w:sz w:val="22"/>
                <w:szCs w:val="22"/>
                <w:u w:val="none"/>
                <w:lang w:val="en-US" w:eastAsia="zh-CN" w:bidi="ar"/>
              </w:rPr>
            </w:pPr>
            <w:r>
              <w:rPr>
                <w:rFonts w:hint="default" w:ascii="Times New Roman" w:hAnsi="Times New Roman" w:cs="Times New Roman"/>
                <w:color w:val="auto"/>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30399</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 xml:space="preserve">  其他对个人和家庭的补助</w:t>
            </w:r>
          </w:p>
        </w:tc>
        <w:tc>
          <w:tcPr>
            <w:tcW w:w="2650" w:type="dxa"/>
            <w:tcBorders>
              <w:top w:val="nil"/>
              <w:left w:val="nil"/>
              <w:bottom w:val="nil"/>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30240</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 xml:space="preserve">  税金及附加费用</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cs="Times New Roman"/>
                <w:color w:val="auto"/>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39908</w:t>
            </w:r>
          </w:p>
        </w:tc>
        <w:tc>
          <w:tcPr>
            <w:tcW w:w="4467"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 xml:space="preserve">  对民间非营利组织和群众性自治组织补贴</w:t>
            </w:r>
          </w:p>
        </w:tc>
        <w:tc>
          <w:tcPr>
            <w:tcW w:w="26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auto"/>
                <w:kern w:val="0"/>
                <w:sz w:val="22"/>
                <w:szCs w:val="22"/>
                <w:u w:val="none"/>
                <w:lang w:val="en-US" w:eastAsia="zh-CN" w:bidi="ar"/>
              </w:rPr>
            </w:pPr>
            <w:r>
              <w:rPr>
                <w:rFonts w:hint="default" w:ascii="Times New Roman" w:hAnsi="Times New Roman" w:cs="Times New Roman"/>
                <w:color w:val="auto"/>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auto"/>
                <w:sz w:val="22"/>
                <w:szCs w:val="22"/>
                <w:u w:val="none"/>
              </w:rPr>
            </w:pPr>
          </w:p>
        </w:tc>
        <w:tc>
          <w:tcPr>
            <w:tcW w:w="3616" w:type="dxa"/>
            <w:tcBorders>
              <w:top w:val="nil"/>
              <w:left w:val="nil"/>
              <w:bottom w:val="single" w:color="000000" w:sz="4" w:space="0"/>
              <w:right w:val="nil"/>
            </w:tcBorders>
            <w:shd w:val="clear" w:color="auto" w:fill="auto"/>
            <w:vAlign w:val="center"/>
          </w:tcPr>
          <w:p>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auto"/>
                <w:sz w:val="22"/>
                <w:szCs w:val="22"/>
                <w:u w:val="none"/>
              </w:rPr>
            </w:pPr>
          </w:p>
        </w:tc>
        <w:tc>
          <w:tcPr>
            <w:tcW w:w="265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overflowPunct/>
              <w:topLinePunct w:val="0"/>
              <w:autoSpaceDE/>
              <w:autoSpaceDN/>
              <w:bidi w:val="0"/>
              <w:adjustRightInd/>
              <w:snapToGrid/>
              <w:spacing w:line="340" w:lineRule="exact"/>
              <w:rPr>
                <w:rFonts w:hint="default" w:ascii="Times New Roman" w:hAnsi="Times New Roman" w:cs="Times New Roman" w:eastAsiaTheme="minorEastAsia"/>
                <w:i w:val="0"/>
                <w:iCs w:val="0"/>
                <w:color w:val="auto"/>
                <w:sz w:val="22"/>
                <w:szCs w:val="22"/>
                <w:u w:val="none"/>
              </w:rPr>
            </w:pP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30299</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 xml:space="preserve">  其他商品和服务支出</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cs="Times New Roman"/>
                <w:color w:val="auto"/>
                <w:sz w:val="22"/>
                <w:szCs w:val="22"/>
              </w:rPr>
              <w:t xml:space="preserve">20,000.00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39909</w:t>
            </w:r>
          </w:p>
        </w:tc>
        <w:tc>
          <w:tcPr>
            <w:tcW w:w="4467"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 xml:space="preserve">  经常性赠与</w:t>
            </w:r>
          </w:p>
        </w:tc>
        <w:tc>
          <w:tcPr>
            <w:tcW w:w="26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auto"/>
                <w:kern w:val="0"/>
                <w:sz w:val="22"/>
                <w:szCs w:val="22"/>
                <w:u w:val="none"/>
                <w:lang w:val="en-US" w:eastAsia="zh-CN" w:bidi="ar"/>
              </w:rPr>
            </w:pPr>
            <w:r>
              <w:rPr>
                <w:rFonts w:hint="default" w:ascii="Times New Roman" w:hAnsi="Times New Roman" w:cs="Times New Roman"/>
                <w:color w:val="auto"/>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auto"/>
                <w:sz w:val="22"/>
                <w:szCs w:val="22"/>
                <w:u w:val="none"/>
              </w:rPr>
            </w:pPr>
          </w:p>
        </w:tc>
        <w:tc>
          <w:tcPr>
            <w:tcW w:w="3616" w:type="dxa"/>
            <w:tcBorders>
              <w:top w:val="nil"/>
              <w:left w:val="nil"/>
              <w:bottom w:val="single" w:color="000000" w:sz="4" w:space="0"/>
              <w:right w:val="nil"/>
            </w:tcBorders>
            <w:shd w:val="clear" w:color="auto" w:fill="auto"/>
            <w:vAlign w:val="center"/>
          </w:tcPr>
          <w:p>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auto"/>
                <w:sz w:val="22"/>
                <w:szCs w:val="22"/>
                <w:u w:val="none"/>
              </w:rPr>
            </w:pPr>
          </w:p>
        </w:tc>
        <w:tc>
          <w:tcPr>
            <w:tcW w:w="265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overflowPunct/>
              <w:topLinePunct w:val="0"/>
              <w:autoSpaceDE/>
              <w:autoSpaceDN/>
              <w:bidi w:val="0"/>
              <w:adjustRightInd/>
              <w:snapToGrid/>
              <w:spacing w:line="340" w:lineRule="exact"/>
              <w:rPr>
                <w:rFonts w:hint="default" w:ascii="Times New Roman" w:hAnsi="Times New Roman" w:cs="Times New Roman" w:eastAsiaTheme="minorEastAsia"/>
                <w:i w:val="0"/>
                <w:iCs w:val="0"/>
                <w:color w:val="auto"/>
                <w:sz w:val="22"/>
                <w:szCs w:val="22"/>
                <w:u w:val="none"/>
              </w:rPr>
            </w:pP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bCs/>
                <w:i w:val="0"/>
                <w:iCs w:val="0"/>
                <w:color w:val="auto"/>
                <w:kern w:val="0"/>
                <w:sz w:val="22"/>
                <w:szCs w:val="22"/>
                <w:u w:val="none"/>
                <w:lang w:val="en-US" w:eastAsia="zh-CN" w:bidi="ar"/>
              </w:rPr>
            </w:pPr>
            <w:r>
              <w:rPr>
                <w:rFonts w:hint="eastAsia" w:ascii="宋体" w:hAnsi="宋体" w:eastAsia="宋体" w:cs="宋体"/>
                <w:b/>
                <w:bCs/>
                <w:i w:val="0"/>
                <w:iCs w:val="0"/>
                <w:color w:val="auto"/>
                <w:kern w:val="0"/>
                <w:sz w:val="22"/>
                <w:szCs w:val="22"/>
                <w:u w:val="none"/>
                <w:lang w:val="en-US" w:eastAsia="zh-CN" w:bidi="ar"/>
              </w:rPr>
              <w:t>307</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bCs/>
                <w:i w:val="0"/>
                <w:iCs w:val="0"/>
                <w:color w:val="auto"/>
                <w:kern w:val="0"/>
                <w:sz w:val="22"/>
                <w:szCs w:val="22"/>
                <w:u w:val="none"/>
                <w:lang w:val="en-US" w:eastAsia="zh-CN" w:bidi="ar"/>
              </w:rPr>
            </w:pPr>
            <w:r>
              <w:rPr>
                <w:rFonts w:hint="eastAsia" w:ascii="宋体" w:hAnsi="宋体" w:eastAsia="宋体" w:cs="宋体"/>
                <w:b/>
                <w:bCs/>
                <w:i w:val="0"/>
                <w:iCs w:val="0"/>
                <w:color w:val="auto"/>
                <w:kern w:val="0"/>
                <w:sz w:val="22"/>
                <w:szCs w:val="22"/>
                <w:u w:val="none"/>
                <w:lang w:val="en-US" w:eastAsia="zh-CN" w:bidi="ar"/>
              </w:rPr>
              <w:t>债务利息及费用支出</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auto"/>
                <w:kern w:val="0"/>
                <w:sz w:val="22"/>
                <w:szCs w:val="22"/>
                <w:u w:val="none"/>
                <w:lang w:val="en-US" w:eastAsia="zh-CN" w:bidi="ar"/>
              </w:rPr>
            </w:pPr>
            <w:r>
              <w:rPr>
                <w:rFonts w:hint="default" w:ascii="Times New Roman" w:hAnsi="Times New Roman" w:cs="Times New Roman"/>
                <w:color w:val="auto"/>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39910</w:t>
            </w:r>
          </w:p>
        </w:tc>
        <w:tc>
          <w:tcPr>
            <w:tcW w:w="4467"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 xml:space="preserve">  资本性赠与</w:t>
            </w:r>
          </w:p>
        </w:tc>
        <w:tc>
          <w:tcPr>
            <w:tcW w:w="26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auto"/>
                <w:kern w:val="0"/>
                <w:sz w:val="22"/>
                <w:szCs w:val="22"/>
                <w:u w:val="none"/>
                <w:lang w:val="en-US" w:eastAsia="zh-CN" w:bidi="ar"/>
              </w:rPr>
            </w:pPr>
            <w:r>
              <w:rPr>
                <w:rFonts w:hint="default" w:ascii="Times New Roman" w:hAnsi="Times New Roman" w:cs="Times New Roman"/>
                <w:color w:val="auto"/>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auto"/>
                <w:sz w:val="22"/>
                <w:szCs w:val="22"/>
                <w:u w:val="none"/>
              </w:rPr>
            </w:pPr>
          </w:p>
        </w:tc>
        <w:tc>
          <w:tcPr>
            <w:tcW w:w="3616" w:type="dxa"/>
            <w:tcBorders>
              <w:top w:val="nil"/>
              <w:left w:val="nil"/>
              <w:bottom w:val="single" w:color="000000" w:sz="4" w:space="0"/>
              <w:right w:val="nil"/>
            </w:tcBorders>
            <w:shd w:val="clear" w:color="auto" w:fill="auto"/>
            <w:vAlign w:val="center"/>
          </w:tcPr>
          <w:p>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auto"/>
                <w:sz w:val="22"/>
                <w:szCs w:val="22"/>
                <w:u w:val="none"/>
              </w:rPr>
            </w:pPr>
          </w:p>
        </w:tc>
        <w:tc>
          <w:tcPr>
            <w:tcW w:w="265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overflowPunct/>
              <w:topLinePunct w:val="0"/>
              <w:autoSpaceDE/>
              <w:autoSpaceDN/>
              <w:bidi w:val="0"/>
              <w:adjustRightInd/>
              <w:snapToGrid/>
              <w:spacing w:line="340" w:lineRule="exact"/>
              <w:rPr>
                <w:rFonts w:hint="default" w:ascii="Times New Roman" w:hAnsi="Times New Roman" w:cs="Times New Roman" w:eastAsiaTheme="minorEastAsia"/>
                <w:i w:val="0"/>
                <w:iCs w:val="0"/>
                <w:color w:val="auto"/>
                <w:sz w:val="22"/>
                <w:szCs w:val="22"/>
                <w:u w:val="none"/>
              </w:rPr>
            </w:pP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30701</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 xml:space="preserve">  国内债务付息</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auto"/>
                <w:kern w:val="0"/>
                <w:sz w:val="22"/>
                <w:szCs w:val="22"/>
                <w:u w:val="none"/>
                <w:lang w:val="en-US" w:eastAsia="zh-CN" w:bidi="ar"/>
              </w:rPr>
            </w:pPr>
            <w:r>
              <w:rPr>
                <w:rFonts w:hint="default" w:ascii="Times New Roman" w:hAnsi="Times New Roman" w:cs="Times New Roman"/>
                <w:color w:val="auto"/>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39999</w:t>
            </w:r>
          </w:p>
        </w:tc>
        <w:tc>
          <w:tcPr>
            <w:tcW w:w="4467"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 xml:space="preserve">  其他支出</w:t>
            </w:r>
          </w:p>
        </w:tc>
        <w:tc>
          <w:tcPr>
            <w:tcW w:w="26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auto"/>
                <w:kern w:val="0"/>
                <w:sz w:val="22"/>
                <w:szCs w:val="22"/>
                <w:u w:val="none"/>
                <w:lang w:val="en-US" w:eastAsia="zh-CN" w:bidi="ar"/>
              </w:rPr>
            </w:pPr>
            <w:r>
              <w:rPr>
                <w:rFonts w:hint="default" w:ascii="Times New Roman" w:hAnsi="Times New Roman" w:cs="Times New Roman"/>
                <w:color w:val="auto"/>
                <w:sz w:val="22"/>
                <w:szCs w:val="22"/>
                <w:lang w:val="en-US" w:eastAsia="zh-CN"/>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auto"/>
                <w:sz w:val="22"/>
                <w:szCs w:val="22"/>
                <w:u w:val="none"/>
              </w:rPr>
            </w:pPr>
          </w:p>
        </w:tc>
        <w:tc>
          <w:tcPr>
            <w:tcW w:w="3616" w:type="dxa"/>
            <w:tcBorders>
              <w:top w:val="nil"/>
              <w:left w:val="nil"/>
              <w:bottom w:val="single" w:color="000000" w:sz="4" w:space="0"/>
              <w:right w:val="nil"/>
            </w:tcBorders>
            <w:shd w:val="clear" w:color="auto" w:fill="auto"/>
            <w:vAlign w:val="center"/>
          </w:tcPr>
          <w:p>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auto"/>
                <w:sz w:val="22"/>
                <w:szCs w:val="22"/>
                <w:u w:val="none"/>
              </w:rPr>
            </w:pPr>
          </w:p>
        </w:tc>
        <w:tc>
          <w:tcPr>
            <w:tcW w:w="265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overflowPunct/>
              <w:topLinePunct w:val="0"/>
              <w:autoSpaceDE/>
              <w:autoSpaceDN/>
              <w:bidi w:val="0"/>
              <w:adjustRightInd/>
              <w:snapToGrid/>
              <w:spacing w:line="340" w:lineRule="exact"/>
              <w:rPr>
                <w:rFonts w:hint="default" w:ascii="Times New Roman" w:hAnsi="Times New Roman" w:cs="Times New Roman" w:eastAsiaTheme="minorEastAsia"/>
                <w:i w:val="0"/>
                <w:iCs w:val="0"/>
                <w:color w:val="auto"/>
                <w:sz w:val="22"/>
                <w:szCs w:val="22"/>
                <w:u w:val="none"/>
              </w:rPr>
            </w:pP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30702</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 xml:space="preserve">  国外债务付息</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auto"/>
                <w:kern w:val="0"/>
                <w:sz w:val="22"/>
                <w:szCs w:val="22"/>
                <w:u w:val="none"/>
                <w:lang w:val="en-US" w:eastAsia="zh-CN" w:bidi="ar"/>
              </w:rPr>
            </w:pPr>
            <w:r>
              <w:rPr>
                <w:rFonts w:hint="default" w:ascii="Times New Roman" w:hAnsi="Times New Roman" w:cs="Times New Roman"/>
                <w:color w:val="auto"/>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auto"/>
                <w:sz w:val="22"/>
                <w:szCs w:val="22"/>
                <w:u w:val="none"/>
              </w:rPr>
            </w:pPr>
          </w:p>
        </w:tc>
        <w:tc>
          <w:tcPr>
            <w:tcW w:w="4467" w:type="dxa"/>
            <w:tcBorders>
              <w:top w:val="nil"/>
              <w:left w:val="nil"/>
              <w:bottom w:val="single" w:color="000000" w:sz="4" w:space="0"/>
              <w:right w:val="nil"/>
            </w:tcBorders>
            <w:shd w:val="clear" w:color="auto" w:fill="auto"/>
            <w:vAlign w:val="center"/>
          </w:tcPr>
          <w:p>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auto"/>
                <w:sz w:val="22"/>
                <w:szCs w:val="22"/>
                <w:u w:val="none"/>
              </w:rPr>
            </w:pPr>
          </w:p>
        </w:tc>
        <w:tc>
          <w:tcPr>
            <w:tcW w:w="26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overflowPunct/>
              <w:topLinePunct w:val="0"/>
              <w:autoSpaceDE/>
              <w:autoSpaceDN/>
              <w:bidi w:val="0"/>
              <w:adjustRightInd/>
              <w:snapToGrid/>
              <w:spacing w:line="340" w:lineRule="exact"/>
              <w:jc w:val="right"/>
              <w:rPr>
                <w:rFonts w:hint="default" w:ascii="Times New Roman" w:hAnsi="Times New Roman" w:eastAsia="宋体" w:cs="Times New Roman"/>
                <w:i w:val="0"/>
                <w:iCs w:val="0"/>
                <w:color w:val="auto"/>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auto"/>
                <w:sz w:val="22"/>
                <w:szCs w:val="22"/>
                <w:u w:val="none"/>
              </w:rPr>
            </w:pPr>
          </w:p>
        </w:tc>
        <w:tc>
          <w:tcPr>
            <w:tcW w:w="3616" w:type="dxa"/>
            <w:tcBorders>
              <w:top w:val="nil"/>
              <w:left w:val="nil"/>
              <w:bottom w:val="single" w:color="000000" w:sz="4" w:space="0"/>
              <w:right w:val="nil"/>
            </w:tcBorders>
            <w:shd w:val="clear" w:color="auto" w:fill="auto"/>
            <w:vAlign w:val="center"/>
          </w:tcPr>
          <w:p>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auto"/>
                <w:sz w:val="22"/>
                <w:szCs w:val="22"/>
                <w:u w:val="none"/>
              </w:rPr>
            </w:pPr>
          </w:p>
        </w:tc>
        <w:tc>
          <w:tcPr>
            <w:tcW w:w="265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overflowPunct/>
              <w:topLinePunct w:val="0"/>
              <w:autoSpaceDE/>
              <w:autoSpaceDN/>
              <w:bidi w:val="0"/>
              <w:adjustRightInd/>
              <w:snapToGrid/>
              <w:spacing w:line="340" w:lineRule="exact"/>
              <w:rPr>
                <w:rFonts w:hint="default" w:ascii="Times New Roman" w:hAnsi="Times New Roman" w:cs="Times New Roman" w:eastAsiaTheme="minorEastAsia"/>
                <w:i w:val="0"/>
                <w:iCs w:val="0"/>
                <w:color w:val="auto"/>
                <w:sz w:val="22"/>
                <w:szCs w:val="22"/>
                <w:u w:val="none"/>
              </w:rPr>
            </w:pP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30703</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 xml:space="preserve">  国内债务发行费用</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auto"/>
                <w:kern w:val="0"/>
                <w:sz w:val="22"/>
                <w:szCs w:val="22"/>
                <w:u w:val="none"/>
                <w:lang w:val="en-US" w:eastAsia="zh-CN" w:bidi="ar"/>
              </w:rPr>
            </w:pPr>
            <w:r>
              <w:rPr>
                <w:rFonts w:hint="default" w:ascii="Times New Roman" w:hAnsi="Times New Roman" w:cs="Times New Roman"/>
                <w:color w:val="auto"/>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auto"/>
                <w:sz w:val="22"/>
                <w:szCs w:val="22"/>
                <w:u w:val="none"/>
              </w:rPr>
            </w:pPr>
          </w:p>
        </w:tc>
        <w:tc>
          <w:tcPr>
            <w:tcW w:w="4467" w:type="dxa"/>
            <w:tcBorders>
              <w:top w:val="nil"/>
              <w:left w:val="nil"/>
              <w:bottom w:val="single" w:color="000000" w:sz="4" w:space="0"/>
              <w:right w:val="nil"/>
            </w:tcBorders>
            <w:shd w:val="clear" w:color="auto" w:fill="auto"/>
            <w:vAlign w:val="center"/>
          </w:tcPr>
          <w:p>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auto"/>
                <w:sz w:val="22"/>
                <w:szCs w:val="22"/>
                <w:u w:val="none"/>
              </w:rPr>
            </w:pPr>
          </w:p>
        </w:tc>
        <w:tc>
          <w:tcPr>
            <w:tcW w:w="26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overflowPunct/>
              <w:topLinePunct w:val="0"/>
              <w:autoSpaceDE/>
              <w:autoSpaceDN/>
              <w:bidi w:val="0"/>
              <w:adjustRightInd/>
              <w:snapToGrid/>
              <w:spacing w:line="340" w:lineRule="exact"/>
              <w:jc w:val="right"/>
              <w:rPr>
                <w:rFonts w:hint="default" w:ascii="Times New Roman" w:hAnsi="Times New Roman" w:eastAsia="宋体" w:cs="Times New Roman"/>
                <w:i w:val="0"/>
                <w:iCs w:val="0"/>
                <w:color w:val="auto"/>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auto"/>
                <w:sz w:val="22"/>
                <w:szCs w:val="22"/>
                <w:u w:val="none"/>
              </w:rPr>
            </w:pPr>
          </w:p>
        </w:tc>
        <w:tc>
          <w:tcPr>
            <w:tcW w:w="3616" w:type="dxa"/>
            <w:tcBorders>
              <w:top w:val="nil"/>
              <w:left w:val="nil"/>
              <w:bottom w:val="single" w:color="000000" w:sz="4" w:space="0"/>
              <w:right w:val="nil"/>
            </w:tcBorders>
            <w:shd w:val="clear" w:color="auto" w:fill="auto"/>
            <w:vAlign w:val="center"/>
          </w:tcPr>
          <w:p>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auto"/>
                <w:sz w:val="22"/>
                <w:szCs w:val="22"/>
                <w:u w:val="none"/>
              </w:rPr>
            </w:pPr>
          </w:p>
        </w:tc>
        <w:tc>
          <w:tcPr>
            <w:tcW w:w="265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overflowPunct/>
              <w:topLinePunct w:val="0"/>
              <w:autoSpaceDE/>
              <w:autoSpaceDN/>
              <w:bidi w:val="0"/>
              <w:adjustRightInd/>
              <w:snapToGrid/>
              <w:spacing w:line="340" w:lineRule="exact"/>
              <w:rPr>
                <w:rFonts w:hint="default" w:ascii="Times New Roman" w:hAnsi="Times New Roman" w:cs="Times New Roman" w:eastAsiaTheme="minorEastAsia"/>
                <w:i w:val="0"/>
                <w:iCs w:val="0"/>
                <w:color w:val="auto"/>
                <w:sz w:val="22"/>
                <w:szCs w:val="22"/>
                <w:u w:val="none"/>
              </w:rPr>
            </w:pP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30704</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 xml:space="preserve">  国外债务发行费用</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auto"/>
                <w:kern w:val="0"/>
                <w:sz w:val="22"/>
                <w:szCs w:val="22"/>
                <w:u w:val="none"/>
                <w:lang w:val="en-US" w:eastAsia="zh-CN" w:bidi="ar"/>
              </w:rPr>
            </w:pPr>
            <w:r>
              <w:rPr>
                <w:rFonts w:hint="default" w:ascii="Times New Roman" w:hAnsi="Times New Roman" w:cs="Times New Roman"/>
                <w:color w:val="auto"/>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auto"/>
                <w:sz w:val="22"/>
                <w:szCs w:val="22"/>
                <w:u w:val="none"/>
              </w:rPr>
            </w:pPr>
          </w:p>
        </w:tc>
        <w:tc>
          <w:tcPr>
            <w:tcW w:w="4467" w:type="dxa"/>
            <w:tcBorders>
              <w:top w:val="nil"/>
              <w:left w:val="nil"/>
              <w:bottom w:val="single" w:color="000000" w:sz="4" w:space="0"/>
              <w:right w:val="nil"/>
            </w:tcBorders>
            <w:shd w:val="clear" w:color="auto" w:fill="auto"/>
            <w:vAlign w:val="center"/>
          </w:tcPr>
          <w:p>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auto"/>
                <w:sz w:val="22"/>
                <w:szCs w:val="22"/>
                <w:u w:val="none"/>
              </w:rPr>
            </w:pPr>
          </w:p>
        </w:tc>
        <w:tc>
          <w:tcPr>
            <w:tcW w:w="26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overflowPunct/>
              <w:topLinePunct w:val="0"/>
              <w:autoSpaceDE/>
              <w:autoSpaceDN/>
              <w:bidi w:val="0"/>
              <w:adjustRightInd/>
              <w:snapToGrid/>
              <w:spacing w:line="340" w:lineRule="exact"/>
              <w:jc w:val="right"/>
              <w:rPr>
                <w:rFonts w:hint="default" w:ascii="Times New Roman" w:hAnsi="Times New Roman" w:eastAsia="宋体" w:cs="Times New Roman"/>
                <w:i w:val="0"/>
                <w:iCs w:val="0"/>
                <w:color w:val="auto"/>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967" w:type="dxa"/>
            <w:gridSpan w:val="2"/>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人员经费合计</w:t>
            </w:r>
          </w:p>
        </w:tc>
        <w:tc>
          <w:tcPr>
            <w:tcW w:w="265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val="0"/>
              <w:overflowPunct/>
              <w:topLinePunct w:val="0"/>
              <w:autoSpaceDE/>
              <w:autoSpaceDN/>
              <w:bidi w:val="0"/>
              <w:adjustRightInd/>
              <w:snapToGrid/>
              <w:spacing w:line="340" w:lineRule="exact"/>
              <w:jc w:val="right"/>
              <w:textAlignment w:val="bottom"/>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839,702.23 </w:t>
            </w:r>
          </w:p>
        </w:tc>
        <w:tc>
          <w:tcPr>
            <w:tcW w:w="12067" w:type="dxa"/>
            <w:gridSpan w:val="5"/>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公用经费合计</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cs="Times New Roman"/>
                <w:color w:val="auto"/>
                <w:sz w:val="22"/>
                <w:szCs w:val="22"/>
              </w:rPr>
              <w:t xml:space="preserve">157,296.48 </w:t>
            </w:r>
          </w:p>
        </w:tc>
      </w:tr>
    </w:tbl>
    <w:p>
      <w:pPr>
        <w:rPr>
          <w:rFonts w:hint="eastAsia" w:ascii="宋体" w:hAnsi="宋体" w:eastAsia="宋体" w:cs="宋体"/>
          <w:color w:val="auto"/>
          <w:sz w:val="21"/>
          <w:szCs w:val="21"/>
        </w:rPr>
      </w:pPr>
      <w:r>
        <w:rPr>
          <w:rFonts w:hint="eastAsia" w:ascii="宋体" w:hAnsi="宋体" w:eastAsia="宋体" w:cs="宋体"/>
          <w:color w:val="auto"/>
          <w:sz w:val="21"/>
          <w:szCs w:val="21"/>
        </w:rPr>
        <w:br w:type="page"/>
      </w:r>
    </w:p>
    <w:tbl>
      <w:tblPr>
        <w:tblStyle w:val="6"/>
        <w:tblW w:w="23039" w:type="dxa"/>
        <w:tblInd w:w="-22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317"/>
        <w:gridCol w:w="316"/>
        <w:gridCol w:w="334"/>
        <w:gridCol w:w="1816"/>
        <w:gridCol w:w="1528"/>
        <w:gridCol w:w="1378"/>
        <w:gridCol w:w="1494"/>
        <w:gridCol w:w="1784"/>
        <w:gridCol w:w="1666"/>
        <w:gridCol w:w="1684"/>
        <w:gridCol w:w="1750"/>
        <w:gridCol w:w="1700"/>
        <w:gridCol w:w="1733"/>
        <w:gridCol w:w="1583"/>
        <w:gridCol w:w="1334"/>
        <w:gridCol w:w="1466"/>
        <w:gridCol w:w="115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3" w:hRule="atLeast"/>
        </w:trPr>
        <w:tc>
          <w:tcPr>
            <w:tcW w:w="23039" w:type="dxa"/>
            <w:gridSpan w:val="17"/>
            <w:tcBorders>
              <w:top w:val="nil"/>
              <w:left w:val="nil"/>
              <w:bottom w:val="nil"/>
              <w:right w:val="nil"/>
            </w:tcBorders>
            <w:shd w:val="clear" w:color="auto" w:fill="auto"/>
            <w:vAlign w:val="bottom"/>
          </w:tcPr>
          <w:p>
            <w:pPr>
              <w:keepNext w:val="0"/>
              <w:keepLines w:val="0"/>
              <w:widowControl/>
              <w:suppressLineNumbers w:val="0"/>
              <w:jc w:val="center"/>
              <w:textAlignment w:val="bottom"/>
              <w:rPr>
                <w:rFonts w:hint="eastAsia" w:ascii="宋体" w:hAnsi="宋体" w:eastAsia="宋体" w:cs="宋体"/>
                <w:i w:val="0"/>
                <w:iCs w:val="0"/>
                <w:color w:val="auto"/>
                <w:sz w:val="30"/>
                <w:szCs w:val="30"/>
                <w:u w:val="none"/>
              </w:rPr>
            </w:pPr>
            <w:r>
              <w:rPr>
                <w:rFonts w:hint="eastAsia" w:ascii="宋体" w:hAnsi="宋体" w:eastAsia="宋体" w:cs="宋体"/>
                <w:b/>
                <w:bCs/>
                <w:i w:val="0"/>
                <w:iCs w:val="0"/>
                <w:color w:val="auto"/>
                <w:kern w:val="0"/>
                <w:sz w:val="30"/>
                <w:szCs w:val="30"/>
                <w:u w:val="none"/>
                <w:lang w:val="en-US" w:eastAsia="zh-CN" w:bidi="ar"/>
              </w:rPr>
              <w:t>政府性基金预算财政拨款收入支出决算表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2" w:hRule="atLeast"/>
        </w:trPr>
        <w:tc>
          <w:tcPr>
            <w:tcW w:w="21883" w:type="dxa"/>
            <w:gridSpan w:val="16"/>
            <w:vMerge w:val="restart"/>
            <w:tcBorders>
              <w:top w:val="nil"/>
              <w:left w:val="nil"/>
              <w:right w:val="nil"/>
            </w:tcBorders>
            <w:shd w:val="clear" w:color="auto" w:fill="auto"/>
            <w:vAlign w:val="bottom"/>
          </w:tcPr>
          <w:p>
            <w:pPr>
              <w:rPr>
                <w:rFonts w:hint="default" w:ascii="Arial" w:hAnsi="Arial" w:eastAsia="宋体" w:cs="Arial"/>
                <w:i w:val="0"/>
                <w:iCs w:val="0"/>
                <w:color w:val="auto"/>
                <w:sz w:val="20"/>
                <w:szCs w:val="20"/>
                <w:u w:val="none"/>
              </w:rPr>
            </w:pPr>
            <w:r>
              <w:rPr>
                <w:rFonts w:hint="eastAsia" w:cs="宋体"/>
                <w:color w:val="auto"/>
                <w:sz w:val="20"/>
                <w:szCs w:val="20"/>
                <w:lang w:eastAsia="zh-CN"/>
              </w:rPr>
              <w:t>单位</w:t>
            </w:r>
            <w:r>
              <w:rPr>
                <w:rFonts w:cs="宋体"/>
                <w:color w:val="auto"/>
                <w:sz w:val="20"/>
                <w:szCs w:val="20"/>
              </w:rPr>
              <w:t>：</w:t>
            </w:r>
            <w:r>
              <w:rPr>
                <w:color w:val="auto"/>
                <w:sz w:val="20"/>
                <w:u w:color="auto"/>
              </w:rPr>
              <w:t>石柱土家族自治县服务业发展指导中心</w:t>
            </w:r>
          </w:p>
        </w:tc>
        <w:tc>
          <w:tcPr>
            <w:tcW w:w="1156" w:type="dxa"/>
            <w:tcBorders>
              <w:top w:val="nil"/>
              <w:left w:val="nil"/>
              <w:bottom w:val="nil"/>
              <w:right w:val="nil"/>
            </w:tcBorders>
            <w:shd w:val="clear" w:color="auto" w:fill="auto"/>
            <w:vAlign w:val="bottom"/>
          </w:tcPr>
          <w:p>
            <w:pPr>
              <w:keepNext w:val="0"/>
              <w:keepLines w:val="0"/>
              <w:widowControl/>
              <w:suppressLineNumbers w:val="0"/>
              <w:jc w:val="right"/>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0</w:t>
            </w:r>
            <w:r>
              <w:rPr>
                <w:rFonts w:hint="eastAsia" w:cs="宋体"/>
                <w:i w:val="0"/>
                <w:iCs w:val="0"/>
                <w:color w:val="auto"/>
                <w:kern w:val="0"/>
                <w:sz w:val="20"/>
                <w:szCs w:val="20"/>
                <w:u w:val="none"/>
                <w:lang w:val="en-US" w:eastAsia="zh-CN" w:bidi="ar"/>
              </w:rPr>
              <w:t>7</w:t>
            </w:r>
            <w:r>
              <w:rPr>
                <w:rFonts w:hint="eastAsia" w:ascii="宋体" w:hAnsi="宋体" w:eastAsia="宋体" w:cs="宋体"/>
                <w:i w:val="0"/>
                <w:iCs w:val="0"/>
                <w:color w:val="auto"/>
                <w:kern w:val="0"/>
                <w:sz w:val="20"/>
                <w:szCs w:val="20"/>
                <w:u w:val="none"/>
                <w:lang w:val="en-US" w:eastAsia="zh-CN" w:bidi="ar"/>
              </w:rPr>
              <w:t>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2" w:hRule="atLeast"/>
        </w:trPr>
        <w:tc>
          <w:tcPr>
            <w:tcW w:w="21883" w:type="dxa"/>
            <w:gridSpan w:val="16"/>
            <w:vMerge w:val="continue"/>
            <w:tcBorders>
              <w:left w:val="nil"/>
              <w:bottom w:val="nil"/>
              <w:right w:val="nil"/>
            </w:tcBorders>
            <w:shd w:val="clear" w:color="auto" w:fill="auto"/>
            <w:vAlign w:val="bottom"/>
          </w:tcPr>
          <w:p>
            <w:pPr>
              <w:rPr>
                <w:rFonts w:hint="default" w:ascii="Arial" w:hAnsi="Arial" w:eastAsia="宋体" w:cs="Arial"/>
                <w:i w:val="0"/>
                <w:iCs w:val="0"/>
                <w:color w:val="auto"/>
                <w:sz w:val="20"/>
                <w:szCs w:val="20"/>
                <w:u w:val="none"/>
              </w:rPr>
            </w:pPr>
          </w:p>
        </w:tc>
        <w:tc>
          <w:tcPr>
            <w:tcW w:w="1156" w:type="dxa"/>
            <w:tcBorders>
              <w:top w:val="nil"/>
              <w:left w:val="nil"/>
              <w:bottom w:val="nil"/>
              <w:right w:val="nil"/>
            </w:tcBorders>
            <w:shd w:val="clear" w:color="auto" w:fill="auto"/>
            <w:vAlign w:val="bottom"/>
          </w:tcPr>
          <w:p>
            <w:pPr>
              <w:keepNext w:val="0"/>
              <w:keepLines w:val="0"/>
              <w:widowControl/>
              <w:suppressLineNumbers w:val="0"/>
              <w:jc w:val="right"/>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单位：</w:t>
            </w:r>
            <w:r>
              <w:rPr>
                <w:rFonts w:hint="eastAsia" w:cs="宋体"/>
                <w:i w:val="0"/>
                <w:iCs w:val="0"/>
                <w:color w:val="auto"/>
                <w:kern w:val="0"/>
                <w:sz w:val="20"/>
                <w:szCs w:val="20"/>
                <w:u w:val="none"/>
                <w:lang w:val="en-US" w:eastAsia="zh-CN" w:bidi="ar"/>
              </w:rPr>
              <w:t>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4" w:hRule="atLeast"/>
        </w:trPr>
        <w:tc>
          <w:tcPr>
            <w:tcW w:w="967"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科目代码</w:t>
            </w:r>
          </w:p>
        </w:tc>
        <w:tc>
          <w:tcPr>
            <w:tcW w:w="1816" w:type="dxa"/>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科目名称</w:t>
            </w:r>
          </w:p>
        </w:tc>
        <w:tc>
          <w:tcPr>
            <w:tcW w:w="4400" w:type="dxa"/>
            <w:gridSpan w:val="3"/>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年初结转和结余</w:t>
            </w:r>
          </w:p>
        </w:tc>
        <w:tc>
          <w:tcPr>
            <w:tcW w:w="5134" w:type="dxa"/>
            <w:gridSpan w:val="3"/>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本年收入</w:t>
            </w:r>
          </w:p>
        </w:tc>
        <w:tc>
          <w:tcPr>
            <w:tcW w:w="5183" w:type="dxa"/>
            <w:gridSpan w:val="3"/>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本年支出</w:t>
            </w:r>
          </w:p>
        </w:tc>
        <w:tc>
          <w:tcPr>
            <w:tcW w:w="5539" w:type="dxa"/>
            <w:gridSpan w:val="4"/>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年末结转和结余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4" w:hRule="atLeast"/>
        </w:trPr>
        <w:tc>
          <w:tcPr>
            <w:tcW w:w="967"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auto"/>
                <w:sz w:val="22"/>
                <w:szCs w:val="22"/>
                <w:u w:val="none"/>
              </w:rPr>
            </w:pPr>
          </w:p>
        </w:tc>
        <w:tc>
          <w:tcPr>
            <w:tcW w:w="1816" w:type="dxa"/>
            <w:vMerge w:val="continue"/>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auto"/>
                <w:sz w:val="22"/>
                <w:szCs w:val="22"/>
                <w:u w:val="none"/>
              </w:rPr>
            </w:pPr>
          </w:p>
        </w:tc>
        <w:tc>
          <w:tcPr>
            <w:tcW w:w="1528"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合计</w:t>
            </w:r>
          </w:p>
        </w:tc>
        <w:tc>
          <w:tcPr>
            <w:tcW w:w="1378"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基本支出结转</w:t>
            </w:r>
          </w:p>
        </w:tc>
        <w:tc>
          <w:tcPr>
            <w:tcW w:w="1494"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项目支出结转和结余</w:t>
            </w:r>
          </w:p>
        </w:tc>
        <w:tc>
          <w:tcPr>
            <w:tcW w:w="1784"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合计</w:t>
            </w:r>
          </w:p>
        </w:tc>
        <w:tc>
          <w:tcPr>
            <w:tcW w:w="1666"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基本支出</w:t>
            </w:r>
          </w:p>
        </w:tc>
        <w:tc>
          <w:tcPr>
            <w:tcW w:w="1684"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项目支出</w:t>
            </w:r>
          </w:p>
        </w:tc>
        <w:tc>
          <w:tcPr>
            <w:tcW w:w="1750"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合计</w:t>
            </w:r>
          </w:p>
        </w:tc>
        <w:tc>
          <w:tcPr>
            <w:tcW w:w="1700"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基本支出</w:t>
            </w:r>
          </w:p>
        </w:tc>
        <w:tc>
          <w:tcPr>
            <w:tcW w:w="1733"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项目支出</w:t>
            </w:r>
          </w:p>
        </w:tc>
        <w:tc>
          <w:tcPr>
            <w:tcW w:w="1583"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合计</w:t>
            </w:r>
          </w:p>
        </w:tc>
        <w:tc>
          <w:tcPr>
            <w:tcW w:w="1334"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基本支出结转</w:t>
            </w:r>
          </w:p>
        </w:tc>
        <w:tc>
          <w:tcPr>
            <w:tcW w:w="2622" w:type="dxa"/>
            <w:gridSpan w:val="2"/>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项目支出结转和结余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967"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auto"/>
                <w:sz w:val="22"/>
                <w:szCs w:val="22"/>
                <w:u w:val="none"/>
              </w:rPr>
            </w:pPr>
          </w:p>
        </w:tc>
        <w:tc>
          <w:tcPr>
            <w:tcW w:w="1816" w:type="dxa"/>
            <w:vMerge w:val="continue"/>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auto"/>
                <w:sz w:val="22"/>
                <w:szCs w:val="22"/>
                <w:u w:val="none"/>
              </w:rPr>
            </w:pPr>
          </w:p>
        </w:tc>
        <w:tc>
          <w:tcPr>
            <w:tcW w:w="1528"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auto"/>
                <w:sz w:val="22"/>
                <w:szCs w:val="22"/>
                <w:u w:val="none"/>
              </w:rPr>
            </w:pPr>
          </w:p>
        </w:tc>
        <w:tc>
          <w:tcPr>
            <w:tcW w:w="1378"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auto"/>
                <w:sz w:val="22"/>
                <w:szCs w:val="22"/>
                <w:u w:val="none"/>
              </w:rPr>
            </w:pPr>
          </w:p>
        </w:tc>
        <w:tc>
          <w:tcPr>
            <w:tcW w:w="1494"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auto"/>
                <w:sz w:val="22"/>
                <w:szCs w:val="22"/>
                <w:u w:val="none"/>
              </w:rPr>
            </w:pPr>
          </w:p>
        </w:tc>
        <w:tc>
          <w:tcPr>
            <w:tcW w:w="1784"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auto"/>
                <w:sz w:val="22"/>
                <w:szCs w:val="22"/>
                <w:u w:val="none"/>
              </w:rPr>
            </w:pPr>
          </w:p>
        </w:tc>
        <w:tc>
          <w:tcPr>
            <w:tcW w:w="1666"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auto"/>
                <w:sz w:val="22"/>
                <w:szCs w:val="22"/>
                <w:u w:val="none"/>
              </w:rPr>
            </w:pPr>
          </w:p>
        </w:tc>
        <w:tc>
          <w:tcPr>
            <w:tcW w:w="1684"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auto"/>
                <w:sz w:val="22"/>
                <w:szCs w:val="22"/>
                <w:u w:val="none"/>
              </w:rPr>
            </w:pPr>
          </w:p>
        </w:tc>
        <w:tc>
          <w:tcPr>
            <w:tcW w:w="1750"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auto"/>
                <w:sz w:val="22"/>
                <w:szCs w:val="22"/>
                <w:u w:val="none"/>
              </w:rPr>
            </w:pPr>
          </w:p>
        </w:tc>
        <w:tc>
          <w:tcPr>
            <w:tcW w:w="1700"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auto"/>
                <w:sz w:val="22"/>
                <w:szCs w:val="22"/>
                <w:u w:val="none"/>
              </w:rPr>
            </w:pPr>
          </w:p>
        </w:tc>
        <w:tc>
          <w:tcPr>
            <w:tcW w:w="1733"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auto"/>
                <w:sz w:val="22"/>
                <w:szCs w:val="22"/>
                <w:u w:val="none"/>
              </w:rPr>
            </w:pPr>
          </w:p>
        </w:tc>
        <w:tc>
          <w:tcPr>
            <w:tcW w:w="1583"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auto"/>
                <w:sz w:val="22"/>
                <w:szCs w:val="22"/>
                <w:u w:val="none"/>
              </w:rPr>
            </w:pPr>
          </w:p>
        </w:tc>
        <w:tc>
          <w:tcPr>
            <w:tcW w:w="1334"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auto"/>
                <w:sz w:val="22"/>
                <w:szCs w:val="22"/>
                <w:u w:val="none"/>
              </w:rPr>
            </w:pPr>
          </w:p>
        </w:tc>
        <w:tc>
          <w:tcPr>
            <w:tcW w:w="1466"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项目支出结转</w:t>
            </w:r>
          </w:p>
        </w:tc>
        <w:tc>
          <w:tcPr>
            <w:tcW w:w="1156"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项目支出结余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9" w:hRule="atLeast"/>
        </w:trPr>
        <w:tc>
          <w:tcPr>
            <w:tcW w:w="967"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auto"/>
                <w:sz w:val="22"/>
                <w:szCs w:val="22"/>
                <w:u w:val="none"/>
              </w:rPr>
            </w:pPr>
          </w:p>
        </w:tc>
        <w:tc>
          <w:tcPr>
            <w:tcW w:w="1816" w:type="dxa"/>
            <w:vMerge w:val="continue"/>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auto"/>
                <w:sz w:val="22"/>
                <w:szCs w:val="22"/>
                <w:u w:val="none"/>
              </w:rPr>
            </w:pPr>
          </w:p>
        </w:tc>
        <w:tc>
          <w:tcPr>
            <w:tcW w:w="1528"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auto"/>
                <w:sz w:val="22"/>
                <w:szCs w:val="22"/>
                <w:u w:val="none"/>
              </w:rPr>
            </w:pPr>
          </w:p>
        </w:tc>
        <w:tc>
          <w:tcPr>
            <w:tcW w:w="1378"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auto"/>
                <w:sz w:val="22"/>
                <w:szCs w:val="22"/>
                <w:u w:val="none"/>
              </w:rPr>
            </w:pPr>
          </w:p>
        </w:tc>
        <w:tc>
          <w:tcPr>
            <w:tcW w:w="1494"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auto"/>
                <w:sz w:val="22"/>
                <w:szCs w:val="22"/>
                <w:u w:val="none"/>
              </w:rPr>
            </w:pPr>
          </w:p>
        </w:tc>
        <w:tc>
          <w:tcPr>
            <w:tcW w:w="1784"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auto"/>
                <w:sz w:val="22"/>
                <w:szCs w:val="22"/>
                <w:u w:val="none"/>
              </w:rPr>
            </w:pPr>
          </w:p>
        </w:tc>
        <w:tc>
          <w:tcPr>
            <w:tcW w:w="1666"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auto"/>
                <w:sz w:val="22"/>
                <w:szCs w:val="22"/>
                <w:u w:val="none"/>
              </w:rPr>
            </w:pPr>
          </w:p>
        </w:tc>
        <w:tc>
          <w:tcPr>
            <w:tcW w:w="1684"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auto"/>
                <w:sz w:val="22"/>
                <w:szCs w:val="22"/>
                <w:u w:val="none"/>
              </w:rPr>
            </w:pPr>
          </w:p>
        </w:tc>
        <w:tc>
          <w:tcPr>
            <w:tcW w:w="1750"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auto"/>
                <w:sz w:val="22"/>
                <w:szCs w:val="22"/>
                <w:u w:val="none"/>
              </w:rPr>
            </w:pPr>
          </w:p>
        </w:tc>
        <w:tc>
          <w:tcPr>
            <w:tcW w:w="1700"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auto"/>
                <w:sz w:val="22"/>
                <w:szCs w:val="22"/>
                <w:u w:val="none"/>
              </w:rPr>
            </w:pPr>
          </w:p>
        </w:tc>
        <w:tc>
          <w:tcPr>
            <w:tcW w:w="1733"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auto"/>
                <w:sz w:val="22"/>
                <w:szCs w:val="22"/>
                <w:u w:val="none"/>
              </w:rPr>
            </w:pPr>
          </w:p>
        </w:tc>
        <w:tc>
          <w:tcPr>
            <w:tcW w:w="1583"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auto"/>
                <w:sz w:val="22"/>
                <w:szCs w:val="22"/>
                <w:u w:val="none"/>
              </w:rPr>
            </w:pPr>
          </w:p>
        </w:tc>
        <w:tc>
          <w:tcPr>
            <w:tcW w:w="1334"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auto"/>
                <w:sz w:val="22"/>
                <w:szCs w:val="22"/>
                <w:u w:val="none"/>
              </w:rPr>
            </w:pPr>
          </w:p>
        </w:tc>
        <w:tc>
          <w:tcPr>
            <w:tcW w:w="1466"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auto"/>
                <w:sz w:val="22"/>
                <w:szCs w:val="22"/>
                <w:u w:val="none"/>
              </w:rPr>
            </w:pPr>
          </w:p>
        </w:tc>
        <w:tc>
          <w:tcPr>
            <w:tcW w:w="1156"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auto"/>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1" w:hRule="atLeast"/>
        </w:trPr>
        <w:tc>
          <w:tcPr>
            <w:tcW w:w="317" w:type="dxa"/>
            <w:vMerge w:val="restart"/>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类</w:t>
            </w:r>
          </w:p>
        </w:tc>
        <w:tc>
          <w:tcPr>
            <w:tcW w:w="316"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款</w:t>
            </w:r>
          </w:p>
        </w:tc>
        <w:tc>
          <w:tcPr>
            <w:tcW w:w="334"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项</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栏次</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1</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2</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3</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4</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5</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6</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7</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8</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9</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10</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11</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12</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13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8" w:hRule="atLeast"/>
        </w:trPr>
        <w:tc>
          <w:tcPr>
            <w:tcW w:w="317" w:type="dxa"/>
            <w:vMerge w:val="continue"/>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b/>
                <w:bCs/>
                <w:i w:val="0"/>
                <w:iCs w:val="0"/>
                <w:color w:val="auto"/>
                <w:sz w:val="22"/>
                <w:szCs w:val="22"/>
                <w:u w:val="none"/>
              </w:rPr>
            </w:pPr>
          </w:p>
        </w:tc>
        <w:tc>
          <w:tcPr>
            <w:tcW w:w="316"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b/>
                <w:bCs/>
                <w:i w:val="0"/>
                <w:iCs w:val="0"/>
                <w:color w:val="auto"/>
                <w:sz w:val="22"/>
                <w:szCs w:val="22"/>
                <w:u w:val="none"/>
              </w:rPr>
            </w:pPr>
          </w:p>
        </w:tc>
        <w:tc>
          <w:tcPr>
            <w:tcW w:w="334"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b/>
                <w:bCs/>
                <w:i w:val="0"/>
                <w:iCs w:val="0"/>
                <w:color w:val="auto"/>
                <w:sz w:val="22"/>
                <w:szCs w:val="22"/>
                <w:u w:val="none"/>
              </w:rPr>
            </w:pP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auto"/>
                <w:sz w:val="20"/>
                <w:szCs w:val="20"/>
                <w:u w:val="none"/>
              </w:rPr>
            </w:pPr>
            <w:r>
              <w:rPr>
                <w:rFonts w:hint="eastAsia" w:ascii="宋体" w:hAnsi="宋体" w:eastAsia="宋体" w:cs="宋体"/>
                <w:b/>
                <w:bCs/>
                <w:i w:val="0"/>
                <w:iCs w:val="0"/>
                <w:color w:val="auto"/>
                <w:kern w:val="0"/>
                <w:sz w:val="22"/>
                <w:szCs w:val="22"/>
                <w:u w:val="none"/>
                <w:lang w:val="en-US" w:eastAsia="zh-CN" w:bidi="ar"/>
              </w:rPr>
              <w:t>合计</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auto"/>
                <w:sz w:val="20"/>
                <w:szCs w:val="20"/>
                <w:u w:val="none"/>
              </w:rPr>
            </w:pPr>
            <w:r>
              <w:rPr>
                <w:rFonts w:hint="default" w:ascii="Times New Roman" w:hAnsi="Times New Roman" w:cs="Times New Roman"/>
                <w:b/>
                <w:bCs/>
                <w:color w:val="auto"/>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auto"/>
                <w:sz w:val="20"/>
                <w:szCs w:val="20"/>
                <w:u w:val="none"/>
              </w:rPr>
            </w:pPr>
            <w:r>
              <w:rPr>
                <w:rFonts w:hint="default" w:ascii="Times New Roman" w:hAnsi="Times New Roman" w:cs="Times New Roman"/>
                <w:b/>
                <w:bCs/>
                <w:color w:val="auto"/>
                <w:sz w:val="20"/>
                <w:szCs w:val="20"/>
              </w:rPr>
              <w:t>0.00</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auto"/>
                <w:sz w:val="20"/>
                <w:szCs w:val="20"/>
                <w:u w:val="none"/>
              </w:rPr>
            </w:pPr>
            <w:r>
              <w:rPr>
                <w:rFonts w:hint="default" w:ascii="Times New Roman" w:hAnsi="Times New Roman" w:cs="Times New Roman"/>
                <w:b/>
                <w:bCs/>
                <w:color w:val="auto"/>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auto"/>
                <w:sz w:val="20"/>
                <w:szCs w:val="20"/>
                <w:u w:val="none"/>
              </w:rPr>
            </w:pPr>
            <w:r>
              <w:rPr>
                <w:rFonts w:hint="default" w:ascii="Times New Roman" w:hAnsi="Times New Roman" w:cs="Times New Roman"/>
                <w:b/>
                <w:bCs/>
                <w:color w:val="auto"/>
                <w:sz w:val="20"/>
                <w:szCs w:val="20"/>
              </w:rPr>
              <w:t xml:space="preserve">0.00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auto"/>
                <w:sz w:val="20"/>
                <w:szCs w:val="20"/>
                <w:u w:val="none"/>
              </w:rPr>
            </w:pPr>
            <w:r>
              <w:rPr>
                <w:rFonts w:hint="default" w:ascii="Times New Roman" w:hAnsi="Times New Roman" w:cs="Times New Roman"/>
                <w:b/>
                <w:bCs/>
                <w:color w:val="auto"/>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auto"/>
                <w:sz w:val="20"/>
                <w:szCs w:val="20"/>
                <w:u w:val="none"/>
              </w:rPr>
            </w:pPr>
            <w:r>
              <w:rPr>
                <w:rFonts w:hint="default" w:ascii="Times New Roman" w:hAnsi="Times New Roman" w:cs="Times New Roman"/>
                <w:b/>
                <w:bCs/>
                <w:color w:val="auto"/>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auto"/>
                <w:sz w:val="20"/>
                <w:szCs w:val="20"/>
                <w:u w:val="none"/>
              </w:rPr>
            </w:pPr>
            <w:r>
              <w:rPr>
                <w:rFonts w:hint="default" w:ascii="Times New Roman" w:hAnsi="Times New Roman" w:cs="Times New Roman"/>
                <w:b/>
                <w:bCs/>
                <w:color w:val="auto"/>
                <w:sz w:val="20"/>
                <w:szCs w:val="20"/>
              </w:rPr>
              <w:t xml:space="preserve">0.00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auto"/>
                <w:sz w:val="20"/>
                <w:szCs w:val="20"/>
                <w:u w:val="none"/>
              </w:rPr>
            </w:pPr>
            <w:r>
              <w:rPr>
                <w:rFonts w:hint="default" w:ascii="Times New Roman" w:hAnsi="Times New Roman" w:cs="Times New Roman"/>
                <w:b/>
                <w:bCs/>
                <w:color w:val="auto"/>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auto"/>
                <w:sz w:val="20"/>
                <w:szCs w:val="20"/>
                <w:u w:val="none"/>
              </w:rPr>
            </w:pPr>
            <w:r>
              <w:rPr>
                <w:rFonts w:hint="default" w:ascii="Times New Roman" w:hAnsi="Times New Roman" w:cs="Times New Roman"/>
                <w:b/>
                <w:bCs/>
                <w:color w:val="auto"/>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auto"/>
                <w:sz w:val="20"/>
                <w:szCs w:val="20"/>
                <w:u w:val="none"/>
              </w:rPr>
            </w:pPr>
            <w:r>
              <w:rPr>
                <w:rFonts w:hint="default" w:ascii="Times New Roman" w:hAnsi="Times New Roman" w:cs="Times New Roman"/>
                <w:b/>
                <w:bCs/>
                <w:color w:val="auto"/>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auto"/>
                <w:sz w:val="20"/>
                <w:szCs w:val="20"/>
                <w:u w:val="none"/>
              </w:rPr>
            </w:pPr>
            <w:r>
              <w:rPr>
                <w:rFonts w:hint="default" w:ascii="Times New Roman" w:hAnsi="Times New Roman" w:cs="Times New Roman"/>
                <w:b/>
                <w:bCs/>
                <w:color w:val="auto"/>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auto"/>
                <w:sz w:val="20"/>
                <w:szCs w:val="20"/>
                <w:u w:val="none"/>
              </w:rPr>
            </w:pPr>
            <w:r>
              <w:rPr>
                <w:rFonts w:hint="default" w:ascii="Times New Roman" w:hAnsi="Times New Roman" w:cs="Times New Roman"/>
                <w:b/>
                <w:bCs/>
                <w:color w:val="auto"/>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auto"/>
                <w:sz w:val="20"/>
                <w:szCs w:val="20"/>
                <w:u w:val="none"/>
              </w:rPr>
            </w:pPr>
            <w:r>
              <w:rPr>
                <w:rFonts w:hint="default" w:ascii="Times New Roman" w:hAnsi="Times New Roman" w:cs="Times New Roman"/>
                <w:b/>
                <w:bCs/>
                <w:color w:val="auto"/>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auto"/>
                <w:sz w:val="20"/>
                <w:szCs w:val="20"/>
                <w:u w:val="none"/>
              </w:rPr>
            </w:pP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auto"/>
                <w:sz w:val="20"/>
                <w:szCs w:val="20"/>
                <w:u w:val="none"/>
              </w:rPr>
            </w:pP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r>
    </w:tbl>
    <w:p>
      <w:pPr>
        <w:rPr>
          <w:rFonts w:hint="eastAsia" w:ascii="宋体" w:hAnsi="宋体" w:eastAsia="宋体" w:cs="宋体"/>
          <w:color w:val="auto"/>
          <w:sz w:val="21"/>
          <w:szCs w:val="21"/>
        </w:rPr>
      </w:pPr>
      <w:r>
        <w:rPr>
          <w:rFonts w:hint="eastAsia" w:ascii="宋体" w:hAnsi="宋体" w:eastAsia="宋体" w:cs="宋体"/>
          <w:color w:val="auto"/>
          <w:sz w:val="21"/>
          <w:szCs w:val="21"/>
        </w:rPr>
        <w:br w:type="page"/>
      </w:r>
    </w:p>
    <w:tbl>
      <w:tblPr>
        <w:tblStyle w:val="6"/>
        <w:tblW w:w="22139"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301"/>
        <w:gridCol w:w="350"/>
        <w:gridCol w:w="350"/>
        <w:gridCol w:w="2664"/>
        <w:gridCol w:w="2437"/>
        <w:gridCol w:w="2063"/>
        <w:gridCol w:w="2186"/>
        <w:gridCol w:w="2482"/>
        <w:gridCol w:w="2400"/>
        <w:gridCol w:w="2307"/>
        <w:gridCol w:w="2287"/>
        <w:gridCol w:w="196"/>
        <w:gridCol w:w="211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trPr>
        <w:tc>
          <w:tcPr>
            <w:tcW w:w="22139" w:type="dxa"/>
            <w:gridSpan w:val="13"/>
            <w:tcBorders>
              <w:top w:val="nil"/>
              <w:left w:val="nil"/>
              <w:bottom w:val="nil"/>
              <w:right w:val="nil"/>
            </w:tcBorders>
            <w:shd w:val="clear" w:color="auto" w:fill="auto"/>
            <w:vAlign w:val="bottom"/>
          </w:tcPr>
          <w:p>
            <w:pPr>
              <w:keepNext w:val="0"/>
              <w:keepLines w:val="0"/>
              <w:widowControl/>
              <w:suppressLineNumbers w:val="0"/>
              <w:jc w:val="center"/>
              <w:textAlignment w:val="bottom"/>
              <w:rPr>
                <w:rFonts w:hint="eastAsia" w:ascii="宋体" w:hAnsi="宋体" w:eastAsia="宋体" w:cs="宋体"/>
                <w:i w:val="0"/>
                <w:iCs w:val="0"/>
                <w:color w:val="auto"/>
                <w:sz w:val="30"/>
                <w:szCs w:val="30"/>
                <w:u w:val="none"/>
              </w:rPr>
            </w:pPr>
            <w:r>
              <w:rPr>
                <w:rFonts w:hint="eastAsia" w:ascii="宋体" w:hAnsi="宋体" w:eastAsia="宋体" w:cs="宋体"/>
                <w:b/>
                <w:bCs/>
                <w:i w:val="0"/>
                <w:iCs w:val="0"/>
                <w:color w:val="auto"/>
                <w:kern w:val="0"/>
                <w:sz w:val="30"/>
                <w:szCs w:val="30"/>
                <w:u w:val="none"/>
                <w:lang w:val="en-US" w:eastAsia="zh-CN" w:bidi="ar"/>
              </w:rPr>
              <w:t>国有资本经营预算财政拨款收入支出决算表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20023" w:type="dxa"/>
            <w:gridSpan w:val="12"/>
            <w:vMerge w:val="restart"/>
            <w:tcBorders>
              <w:top w:val="nil"/>
              <w:left w:val="nil"/>
              <w:right w:val="nil"/>
            </w:tcBorders>
            <w:shd w:val="clear" w:color="auto" w:fill="auto"/>
            <w:vAlign w:val="bottom"/>
          </w:tcPr>
          <w:p>
            <w:pPr>
              <w:rPr>
                <w:rFonts w:hint="default" w:ascii="Arial" w:hAnsi="Arial" w:eastAsia="宋体" w:cs="Arial"/>
                <w:i w:val="0"/>
                <w:iCs w:val="0"/>
                <w:color w:val="auto"/>
                <w:sz w:val="20"/>
                <w:szCs w:val="20"/>
                <w:u w:val="none"/>
              </w:rPr>
            </w:pPr>
            <w:r>
              <w:rPr>
                <w:rFonts w:hint="eastAsia" w:cs="宋体"/>
                <w:color w:val="auto"/>
                <w:sz w:val="20"/>
                <w:szCs w:val="20"/>
                <w:lang w:eastAsia="zh-CN"/>
              </w:rPr>
              <w:t>单位</w:t>
            </w:r>
            <w:r>
              <w:rPr>
                <w:rFonts w:cs="宋体"/>
                <w:color w:val="auto"/>
                <w:sz w:val="20"/>
                <w:szCs w:val="20"/>
              </w:rPr>
              <w:t>：</w:t>
            </w:r>
            <w:r>
              <w:rPr>
                <w:color w:val="auto"/>
                <w:sz w:val="20"/>
                <w:u w:color="auto"/>
              </w:rPr>
              <w:t>石柱土家族自治县服务业发展指导中心</w:t>
            </w:r>
          </w:p>
        </w:tc>
        <w:tc>
          <w:tcPr>
            <w:tcW w:w="2116" w:type="dxa"/>
            <w:tcBorders>
              <w:top w:val="nil"/>
              <w:left w:val="nil"/>
              <w:bottom w:val="nil"/>
              <w:right w:val="nil"/>
            </w:tcBorders>
            <w:shd w:val="clear" w:color="auto" w:fill="auto"/>
            <w:vAlign w:val="bottom"/>
          </w:tcPr>
          <w:p>
            <w:pPr>
              <w:keepNext w:val="0"/>
              <w:keepLines w:val="0"/>
              <w:widowControl/>
              <w:suppressLineNumbers w:val="0"/>
              <w:jc w:val="right"/>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08表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20023" w:type="dxa"/>
            <w:gridSpan w:val="12"/>
            <w:vMerge w:val="continue"/>
            <w:tcBorders>
              <w:left w:val="nil"/>
              <w:bottom w:val="nil"/>
              <w:right w:val="nil"/>
            </w:tcBorders>
            <w:shd w:val="clear" w:color="auto" w:fill="auto"/>
            <w:vAlign w:val="bottom"/>
          </w:tcPr>
          <w:p>
            <w:pPr>
              <w:rPr>
                <w:rFonts w:hint="default" w:ascii="Arial" w:hAnsi="Arial" w:eastAsia="宋体" w:cs="Arial"/>
                <w:i w:val="0"/>
                <w:iCs w:val="0"/>
                <w:color w:val="auto"/>
                <w:sz w:val="20"/>
                <w:szCs w:val="20"/>
                <w:u w:val="none"/>
              </w:rPr>
            </w:pPr>
          </w:p>
        </w:tc>
        <w:tc>
          <w:tcPr>
            <w:tcW w:w="2116" w:type="dxa"/>
            <w:tcBorders>
              <w:top w:val="nil"/>
              <w:left w:val="nil"/>
              <w:bottom w:val="nil"/>
              <w:right w:val="nil"/>
            </w:tcBorders>
            <w:shd w:val="clear" w:color="auto" w:fill="auto"/>
            <w:vAlign w:val="bottom"/>
          </w:tcPr>
          <w:p>
            <w:pPr>
              <w:keepNext w:val="0"/>
              <w:keepLines w:val="0"/>
              <w:widowControl/>
              <w:suppressLineNumbers w:val="0"/>
              <w:jc w:val="right"/>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单位：</w:t>
            </w:r>
            <w:r>
              <w:rPr>
                <w:rFonts w:hint="eastAsia" w:cs="宋体"/>
                <w:i w:val="0"/>
                <w:iCs w:val="0"/>
                <w:color w:val="auto"/>
                <w:kern w:val="0"/>
                <w:sz w:val="20"/>
                <w:szCs w:val="20"/>
                <w:u w:val="none"/>
                <w:lang w:val="en-US" w:eastAsia="zh-CN" w:bidi="ar"/>
              </w:rPr>
              <w:t>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001"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科目代码</w:t>
            </w:r>
          </w:p>
        </w:tc>
        <w:tc>
          <w:tcPr>
            <w:tcW w:w="2664" w:type="dxa"/>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科目名称</w:t>
            </w:r>
          </w:p>
        </w:tc>
        <w:tc>
          <w:tcPr>
            <w:tcW w:w="6686" w:type="dxa"/>
            <w:gridSpan w:val="3"/>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年初结转和结余</w:t>
            </w:r>
          </w:p>
        </w:tc>
        <w:tc>
          <w:tcPr>
            <w:tcW w:w="2482" w:type="dxa"/>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本年收入</w:t>
            </w:r>
          </w:p>
        </w:tc>
        <w:tc>
          <w:tcPr>
            <w:tcW w:w="2400" w:type="dxa"/>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本年支出</w:t>
            </w:r>
          </w:p>
        </w:tc>
        <w:tc>
          <w:tcPr>
            <w:tcW w:w="6906" w:type="dxa"/>
            <w:gridSpan w:val="4"/>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年末结转和结余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001"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auto"/>
                <w:sz w:val="22"/>
                <w:szCs w:val="22"/>
                <w:u w:val="none"/>
              </w:rPr>
            </w:pPr>
          </w:p>
        </w:tc>
        <w:tc>
          <w:tcPr>
            <w:tcW w:w="2664"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auto"/>
                <w:sz w:val="22"/>
                <w:szCs w:val="22"/>
                <w:u w:val="none"/>
              </w:rPr>
            </w:pPr>
          </w:p>
        </w:tc>
        <w:tc>
          <w:tcPr>
            <w:tcW w:w="2437"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合计</w:t>
            </w:r>
          </w:p>
        </w:tc>
        <w:tc>
          <w:tcPr>
            <w:tcW w:w="2063"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结转</w:t>
            </w:r>
          </w:p>
        </w:tc>
        <w:tc>
          <w:tcPr>
            <w:tcW w:w="2186"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结余</w:t>
            </w:r>
          </w:p>
        </w:tc>
        <w:tc>
          <w:tcPr>
            <w:tcW w:w="2482"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auto"/>
                <w:sz w:val="22"/>
                <w:szCs w:val="22"/>
                <w:u w:val="none"/>
              </w:rPr>
            </w:pPr>
          </w:p>
        </w:tc>
        <w:tc>
          <w:tcPr>
            <w:tcW w:w="2400"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auto"/>
                <w:sz w:val="22"/>
                <w:szCs w:val="22"/>
                <w:u w:val="none"/>
              </w:rPr>
            </w:pPr>
          </w:p>
        </w:tc>
        <w:tc>
          <w:tcPr>
            <w:tcW w:w="2307"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合计</w:t>
            </w:r>
          </w:p>
        </w:tc>
        <w:tc>
          <w:tcPr>
            <w:tcW w:w="2287"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结转</w:t>
            </w:r>
          </w:p>
        </w:tc>
        <w:tc>
          <w:tcPr>
            <w:tcW w:w="2312" w:type="dxa"/>
            <w:gridSpan w:val="2"/>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结余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001"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2"/>
                <w:szCs w:val="22"/>
                <w:u w:val="none"/>
              </w:rPr>
            </w:pPr>
          </w:p>
        </w:tc>
        <w:tc>
          <w:tcPr>
            <w:tcW w:w="2664"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2"/>
                <w:szCs w:val="22"/>
                <w:u w:val="none"/>
              </w:rPr>
            </w:pPr>
          </w:p>
        </w:tc>
        <w:tc>
          <w:tcPr>
            <w:tcW w:w="2437"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2"/>
                <w:szCs w:val="22"/>
                <w:u w:val="none"/>
              </w:rPr>
            </w:pPr>
          </w:p>
        </w:tc>
        <w:tc>
          <w:tcPr>
            <w:tcW w:w="2063"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2"/>
                <w:szCs w:val="22"/>
                <w:u w:val="none"/>
              </w:rPr>
            </w:pPr>
          </w:p>
        </w:tc>
        <w:tc>
          <w:tcPr>
            <w:tcW w:w="2186"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2"/>
                <w:szCs w:val="22"/>
                <w:u w:val="none"/>
              </w:rPr>
            </w:pPr>
          </w:p>
        </w:tc>
        <w:tc>
          <w:tcPr>
            <w:tcW w:w="2482"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2"/>
                <w:szCs w:val="22"/>
                <w:u w:val="none"/>
              </w:rPr>
            </w:pPr>
          </w:p>
        </w:tc>
        <w:tc>
          <w:tcPr>
            <w:tcW w:w="2400"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2"/>
                <w:szCs w:val="22"/>
                <w:u w:val="none"/>
              </w:rPr>
            </w:pPr>
          </w:p>
        </w:tc>
        <w:tc>
          <w:tcPr>
            <w:tcW w:w="2307"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2"/>
                <w:szCs w:val="22"/>
                <w:u w:val="none"/>
              </w:rPr>
            </w:pPr>
          </w:p>
        </w:tc>
        <w:tc>
          <w:tcPr>
            <w:tcW w:w="2287"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2"/>
                <w:szCs w:val="22"/>
                <w:u w:val="none"/>
              </w:rPr>
            </w:pPr>
          </w:p>
        </w:tc>
        <w:tc>
          <w:tcPr>
            <w:tcW w:w="2312" w:type="dxa"/>
            <w:gridSpan w:val="2"/>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5" w:hRule="atLeast"/>
        </w:trPr>
        <w:tc>
          <w:tcPr>
            <w:tcW w:w="1001"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2"/>
                <w:szCs w:val="22"/>
                <w:u w:val="none"/>
              </w:rPr>
            </w:pPr>
          </w:p>
        </w:tc>
        <w:tc>
          <w:tcPr>
            <w:tcW w:w="2664"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2"/>
                <w:szCs w:val="22"/>
                <w:u w:val="none"/>
              </w:rPr>
            </w:pPr>
          </w:p>
        </w:tc>
        <w:tc>
          <w:tcPr>
            <w:tcW w:w="2437"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2"/>
                <w:szCs w:val="22"/>
                <w:u w:val="none"/>
              </w:rPr>
            </w:pPr>
          </w:p>
        </w:tc>
        <w:tc>
          <w:tcPr>
            <w:tcW w:w="2063"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2"/>
                <w:szCs w:val="22"/>
                <w:u w:val="none"/>
              </w:rPr>
            </w:pPr>
          </w:p>
        </w:tc>
        <w:tc>
          <w:tcPr>
            <w:tcW w:w="2186"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2"/>
                <w:szCs w:val="22"/>
                <w:u w:val="none"/>
              </w:rPr>
            </w:pPr>
          </w:p>
        </w:tc>
        <w:tc>
          <w:tcPr>
            <w:tcW w:w="2482"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2"/>
                <w:szCs w:val="22"/>
                <w:u w:val="none"/>
              </w:rPr>
            </w:pPr>
          </w:p>
        </w:tc>
        <w:tc>
          <w:tcPr>
            <w:tcW w:w="2400"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2"/>
                <w:szCs w:val="22"/>
                <w:u w:val="none"/>
              </w:rPr>
            </w:pPr>
          </w:p>
        </w:tc>
        <w:tc>
          <w:tcPr>
            <w:tcW w:w="2307"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2"/>
                <w:szCs w:val="22"/>
                <w:u w:val="none"/>
              </w:rPr>
            </w:pPr>
          </w:p>
        </w:tc>
        <w:tc>
          <w:tcPr>
            <w:tcW w:w="2287"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2"/>
                <w:szCs w:val="22"/>
                <w:u w:val="none"/>
              </w:rPr>
            </w:pPr>
          </w:p>
        </w:tc>
        <w:tc>
          <w:tcPr>
            <w:tcW w:w="2312" w:type="dxa"/>
            <w:gridSpan w:val="2"/>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01" w:type="dxa"/>
            <w:vMerge w:val="restar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类</w:t>
            </w:r>
          </w:p>
        </w:tc>
        <w:tc>
          <w:tcPr>
            <w:tcW w:w="350"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款</w:t>
            </w:r>
          </w:p>
        </w:tc>
        <w:tc>
          <w:tcPr>
            <w:tcW w:w="350"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项</w:t>
            </w:r>
          </w:p>
        </w:tc>
        <w:tc>
          <w:tcPr>
            <w:tcW w:w="2664"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栏次</w:t>
            </w:r>
          </w:p>
        </w:tc>
        <w:tc>
          <w:tcPr>
            <w:tcW w:w="243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1</w:t>
            </w:r>
          </w:p>
        </w:tc>
        <w:tc>
          <w:tcPr>
            <w:tcW w:w="206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2</w:t>
            </w:r>
          </w:p>
        </w:tc>
        <w:tc>
          <w:tcPr>
            <w:tcW w:w="218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3</w:t>
            </w:r>
          </w:p>
        </w:tc>
        <w:tc>
          <w:tcPr>
            <w:tcW w:w="24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4</w:t>
            </w:r>
          </w:p>
        </w:tc>
        <w:tc>
          <w:tcPr>
            <w:tcW w:w="24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5</w:t>
            </w:r>
          </w:p>
        </w:tc>
        <w:tc>
          <w:tcPr>
            <w:tcW w:w="230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6</w:t>
            </w:r>
          </w:p>
        </w:tc>
        <w:tc>
          <w:tcPr>
            <w:tcW w:w="228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7</w:t>
            </w:r>
          </w:p>
        </w:tc>
        <w:tc>
          <w:tcPr>
            <w:tcW w:w="2312" w:type="dxa"/>
            <w:gridSpan w:val="2"/>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01" w:type="dxa"/>
            <w:vMerge w:val="continue"/>
            <w:tcBorders>
              <w:top w:val="nil"/>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auto"/>
                <w:sz w:val="22"/>
                <w:szCs w:val="22"/>
                <w:u w:val="none"/>
              </w:rPr>
            </w:pPr>
          </w:p>
        </w:tc>
        <w:tc>
          <w:tcPr>
            <w:tcW w:w="350"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auto"/>
                <w:sz w:val="22"/>
                <w:szCs w:val="22"/>
                <w:u w:val="none"/>
              </w:rPr>
            </w:pPr>
          </w:p>
        </w:tc>
        <w:tc>
          <w:tcPr>
            <w:tcW w:w="350"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auto"/>
                <w:sz w:val="22"/>
                <w:szCs w:val="22"/>
                <w:u w:val="none"/>
              </w:rPr>
            </w:pPr>
          </w:p>
        </w:tc>
        <w:tc>
          <w:tcPr>
            <w:tcW w:w="2664"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合计</w:t>
            </w:r>
          </w:p>
        </w:tc>
        <w:tc>
          <w:tcPr>
            <w:tcW w:w="243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auto"/>
                <w:sz w:val="22"/>
                <w:szCs w:val="22"/>
                <w:u w:val="none"/>
              </w:rPr>
            </w:pPr>
            <w:r>
              <w:rPr>
                <w:rFonts w:hint="default" w:ascii="Times New Roman" w:hAnsi="Times New Roman" w:cs="Times New Roman"/>
                <w:b/>
                <w:bCs/>
                <w:color w:val="auto"/>
                <w:sz w:val="22"/>
                <w:szCs w:val="22"/>
              </w:rPr>
              <w:t xml:space="preserve">0.00 </w:t>
            </w:r>
          </w:p>
        </w:tc>
        <w:tc>
          <w:tcPr>
            <w:tcW w:w="206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auto"/>
                <w:sz w:val="22"/>
                <w:szCs w:val="22"/>
                <w:u w:val="none"/>
              </w:rPr>
            </w:pPr>
            <w:r>
              <w:rPr>
                <w:rFonts w:hint="default" w:ascii="Times New Roman" w:hAnsi="Times New Roman" w:cs="Times New Roman"/>
                <w:b/>
                <w:bCs/>
                <w:color w:val="auto"/>
                <w:sz w:val="22"/>
                <w:szCs w:val="22"/>
              </w:rPr>
              <w:t xml:space="preserve">0.00 </w:t>
            </w:r>
          </w:p>
        </w:tc>
        <w:tc>
          <w:tcPr>
            <w:tcW w:w="218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auto"/>
                <w:sz w:val="22"/>
                <w:szCs w:val="22"/>
                <w:u w:val="none"/>
              </w:rPr>
            </w:pPr>
            <w:r>
              <w:rPr>
                <w:rFonts w:hint="default" w:ascii="Times New Roman" w:hAnsi="Times New Roman" w:cs="Times New Roman"/>
                <w:b/>
                <w:bCs/>
                <w:color w:val="auto"/>
                <w:sz w:val="22"/>
                <w:szCs w:val="22"/>
              </w:rPr>
              <w:t xml:space="preserve">0.00 </w:t>
            </w:r>
          </w:p>
        </w:tc>
        <w:tc>
          <w:tcPr>
            <w:tcW w:w="24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auto"/>
                <w:sz w:val="22"/>
                <w:szCs w:val="22"/>
                <w:u w:val="none"/>
              </w:rPr>
            </w:pPr>
            <w:r>
              <w:rPr>
                <w:rFonts w:hint="default" w:ascii="Times New Roman" w:hAnsi="Times New Roman" w:cs="Times New Roman"/>
                <w:b/>
                <w:bCs/>
                <w:color w:val="auto"/>
                <w:sz w:val="22"/>
                <w:szCs w:val="22"/>
              </w:rPr>
              <w:t xml:space="preserve">0.00 </w:t>
            </w:r>
          </w:p>
        </w:tc>
        <w:tc>
          <w:tcPr>
            <w:tcW w:w="24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auto"/>
                <w:sz w:val="22"/>
                <w:szCs w:val="22"/>
                <w:u w:val="none"/>
              </w:rPr>
            </w:pPr>
            <w:r>
              <w:rPr>
                <w:rFonts w:hint="default" w:ascii="Times New Roman" w:hAnsi="Times New Roman" w:cs="Times New Roman"/>
                <w:b/>
                <w:bCs/>
                <w:color w:val="auto"/>
                <w:sz w:val="22"/>
                <w:szCs w:val="22"/>
              </w:rPr>
              <w:t xml:space="preserve">0.00 </w:t>
            </w:r>
          </w:p>
        </w:tc>
        <w:tc>
          <w:tcPr>
            <w:tcW w:w="230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auto"/>
                <w:sz w:val="22"/>
                <w:szCs w:val="22"/>
                <w:u w:val="none"/>
              </w:rPr>
            </w:pPr>
            <w:r>
              <w:rPr>
                <w:rFonts w:hint="default" w:ascii="Times New Roman" w:hAnsi="Times New Roman" w:cs="Times New Roman"/>
                <w:b/>
                <w:bCs/>
                <w:color w:val="auto"/>
                <w:sz w:val="22"/>
                <w:szCs w:val="22"/>
              </w:rPr>
              <w:t xml:space="preserve">0.00 </w:t>
            </w:r>
          </w:p>
        </w:tc>
        <w:tc>
          <w:tcPr>
            <w:tcW w:w="228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auto"/>
                <w:sz w:val="22"/>
                <w:szCs w:val="22"/>
                <w:u w:val="none"/>
              </w:rPr>
            </w:pPr>
            <w:r>
              <w:rPr>
                <w:rFonts w:hint="default" w:ascii="Times New Roman" w:hAnsi="Times New Roman" w:cs="Times New Roman"/>
                <w:b/>
                <w:bCs/>
                <w:color w:val="auto"/>
                <w:sz w:val="22"/>
                <w:szCs w:val="22"/>
              </w:rPr>
              <w:t xml:space="preserve">0.00 </w:t>
            </w:r>
          </w:p>
        </w:tc>
        <w:tc>
          <w:tcPr>
            <w:tcW w:w="2312" w:type="dxa"/>
            <w:gridSpan w:val="2"/>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auto"/>
                <w:sz w:val="22"/>
                <w:szCs w:val="22"/>
                <w:u w:val="none"/>
              </w:rPr>
            </w:pPr>
            <w:r>
              <w:rPr>
                <w:rFonts w:hint="default" w:ascii="Times New Roman" w:hAnsi="Times New Roman" w:cs="Times New Roman"/>
                <w:b/>
                <w:bCs/>
                <w:color w:val="auto"/>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00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auto"/>
                <w:sz w:val="22"/>
                <w:szCs w:val="22"/>
                <w:u w:val="none"/>
              </w:rPr>
            </w:pPr>
          </w:p>
        </w:tc>
        <w:tc>
          <w:tcPr>
            <w:tcW w:w="2664" w:type="dxa"/>
            <w:tcBorders>
              <w:top w:val="nil"/>
              <w:left w:val="nil"/>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auto"/>
                <w:sz w:val="22"/>
                <w:szCs w:val="22"/>
                <w:u w:val="none"/>
              </w:rPr>
            </w:pPr>
          </w:p>
        </w:tc>
        <w:tc>
          <w:tcPr>
            <w:tcW w:w="243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06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18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4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4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30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28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312" w:type="dxa"/>
            <w:gridSpan w:val="2"/>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r>
    </w:tbl>
    <w:p>
      <w:pPr>
        <w:numPr>
          <w:ilvl w:val="0"/>
          <w:numId w:val="0"/>
        </w:numPr>
        <w:rPr>
          <w:rFonts w:hint="eastAsia" w:ascii="宋体" w:hAnsi="宋体" w:eastAsia="宋体" w:cs="宋体"/>
          <w:color w:val="auto"/>
          <w:sz w:val="21"/>
          <w:szCs w:val="21"/>
        </w:rPr>
      </w:pPr>
      <w:r>
        <w:rPr>
          <w:rFonts w:hint="eastAsia" w:ascii="宋体" w:hAnsi="宋体" w:eastAsia="宋体" w:cs="宋体"/>
          <w:color w:val="auto"/>
          <w:sz w:val="21"/>
          <w:szCs w:val="21"/>
        </w:rPr>
        <w:br w:type="page"/>
      </w:r>
    </w:p>
    <w:tbl>
      <w:tblPr>
        <w:tblStyle w:val="6"/>
        <w:tblW w:w="20301"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4567"/>
        <w:gridCol w:w="867"/>
        <w:gridCol w:w="4383"/>
        <w:gridCol w:w="5317"/>
        <w:gridCol w:w="883"/>
        <w:gridCol w:w="428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20301" w:type="dxa"/>
            <w:gridSpan w:val="6"/>
            <w:tcBorders>
              <w:top w:val="nil"/>
              <w:left w:val="nil"/>
              <w:bottom w:val="nil"/>
              <w:right w:val="nil"/>
            </w:tcBorders>
            <w:shd w:val="clear" w:color="auto" w:fill="auto"/>
            <w:vAlign w:val="bottom"/>
          </w:tcPr>
          <w:p>
            <w:pPr>
              <w:keepNext w:val="0"/>
              <w:keepLines w:val="0"/>
              <w:widowControl/>
              <w:suppressLineNumbers w:val="0"/>
              <w:jc w:val="center"/>
              <w:textAlignment w:val="bottom"/>
              <w:rPr>
                <w:rFonts w:hint="eastAsia" w:ascii="宋体" w:hAnsi="宋体" w:eastAsia="宋体" w:cs="宋体"/>
                <w:i w:val="0"/>
                <w:iCs w:val="0"/>
                <w:color w:val="auto"/>
                <w:sz w:val="44"/>
                <w:szCs w:val="44"/>
                <w:u w:val="none"/>
              </w:rPr>
            </w:pPr>
            <w:r>
              <w:rPr>
                <w:rFonts w:hint="eastAsia" w:ascii="宋体" w:hAnsi="宋体" w:eastAsia="宋体" w:cs="宋体"/>
                <w:b/>
                <w:bCs/>
                <w:i w:val="0"/>
                <w:iCs w:val="0"/>
                <w:color w:val="auto"/>
                <w:kern w:val="0"/>
                <w:sz w:val="30"/>
                <w:szCs w:val="30"/>
                <w:u w:val="none"/>
                <w:lang w:val="en-US" w:eastAsia="zh-CN" w:bidi="ar"/>
              </w:rPr>
              <w:t>机构运行信息决算表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16017" w:type="dxa"/>
            <w:gridSpan w:val="5"/>
            <w:vMerge w:val="restart"/>
            <w:tcBorders>
              <w:top w:val="nil"/>
              <w:left w:val="nil"/>
              <w:right w:val="nil"/>
            </w:tcBorders>
            <w:shd w:val="clear" w:color="auto" w:fill="auto"/>
            <w:vAlign w:val="bottom"/>
          </w:tcPr>
          <w:p>
            <w:pPr>
              <w:rPr>
                <w:rFonts w:hint="default" w:ascii="Arial" w:hAnsi="Arial" w:eastAsia="宋体" w:cs="Arial"/>
                <w:i w:val="0"/>
                <w:iCs w:val="0"/>
                <w:color w:val="auto"/>
                <w:sz w:val="20"/>
                <w:szCs w:val="20"/>
                <w:u w:val="none"/>
              </w:rPr>
            </w:pPr>
            <w:r>
              <w:rPr>
                <w:rFonts w:hint="eastAsia" w:cs="宋体"/>
                <w:color w:val="auto"/>
                <w:sz w:val="20"/>
                <w:szCs w:val="20"/>
                <w:lang w:eastAsia="zh-CN"/>
              </w:rPr>
              <w:t>单位</w:t>
            </w:r>
            <w:r>
              <w:rPr>
                <w:rFonts w:cs="宋体"/>
                <w:color w:val="auto"/>
                <w:sz w:val="20"/>
                <w:szCs w:val="20"/>
              </w:rPr>
              <w:t>：</w:t>
            </w:r>
            <w:r>
              <w:rPr>
                <w:color w:val="auto"/>
                <w:sz w:val="20"/>
                <w:u w:color="auto"/>
              </w:rPr>
              <w:t>石柱土家族自治县服务业发展指导中心</w:t>
            </w:r>
          </w:p>
        </w:tc>
        <w:tc>
          <w:tcPr>
            <w:tcW w:w="4284" w:type="dxa"/>
            <w:tcBorders>
              <w:top w:val="nil"/>
              <w:left w:val="nil"/>
              <w:bottom w:val="nil"/>
              <w:right w:val="nil"/>
            </w:tcBorders>
            <w:shd w:val="clear" w:color="auto" w:fill="auto"/>
            <w:vAlign w:val="bottom"/>
          </w:tcPr>
          <w:p>
            <w:pPr>
              <w:keepNext w:val="0"/>
              <w:keepLines w:val="0"/>
              <w:widowControl/>
              <w:suppressLineNumbers w:val="0"/>
              <w:jc w:val="right"/>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09表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16017" w:type="dxa"/>
            <w:gridSpan w:val="5"/>
            <w:vMerge w:val="continue"/>
            <w:tcBorders>
              <w:left w:val="nil"/>
              <w:bottom w:val="nil"/>
              <w:right w:val="nil"/>
            </w:tcBorders>
            <w:shd w:val="clear" w:color="auto" w:fill="auto"/>
            <w:vAlign w:val="bottom"/>
          </w:tcPr>
          <w:p>
            <w:pPr>
              <w:rPr>
                <w:rFonts w:hint="default" w:ascii="Arial" w:hAnsi="Arial" w:eastAsia="宋体" w:cs="Arial"/>
                <w:i w:val="0"/>
                <w:iCs w:val="0"/>
                <w:color w:val="auto"/>
                <w:sz w:val="20"/>
                <w:szCs w:val="20"/>
                <w:u w:val="none"/>
              </w:rPr>
            </w:pPr>
          </w:p>
        </w:tc>
        <w:tc>
          <w:tcPr>
            <w:tcW w:w="4284" w:type="dxa"/>
            <w:tcBorders>
              <w:top w:val="nil"/>
              <w:left w:val="nil"/>
              <w:bottom w:val="nil"/>
              <w:right w:val="nil"/>
            </w:tcBorders>
            <w:shd w:val="clear" w:color="auto" w:fill="auto"/>
            <w:vAlign w:val="bottom"/>
          </w:tcPr>
          <w:p>
            <w:pPr>
              <w:keepNext w:val="0"/>
              <w:keepLines w:val="0"/>
              <w:widowControl/>
              <w:suppressLineNumbers w:val="0"/>
              <w:jc w:val="right"/>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单位：</w:t>
            </w:r>
            <w:r>
              <w:rPr>
                <w:rFonts w:hint="eastAsia" w:cs="宋体"/>
                <w:i w:val="0"/>
                <w:iCs w:val="0"/>
                <w:color w:val="auto"/>
                <w:kern w:val="0"/>
                <w:sz w:val="20"/>
                <w:szCs w:val="20"/>
                <w:u w:val="none"/>
                <w:lang w:val="en-US" w:eastAsia="zh-CN" w:bidi="ar"/>
              </w:rPr>
              <w:t>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5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项  目</w:t>
            </w:r>
          </w:p>
        </w:tc>
        <w:tc>
          <w:tcPr>
            <w:tcW w:w="867"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行次</w:t>
            </w:r>
          </w:p>
        </w:tc>
        <w:tc>
          <w:tcPr>
            <w:tcW w:w="4383" w:type="dxa"/>
            <w:tcBorders>
              <w:top w:val="single" w:color="000000" w:sz="4" w:space="0"/>
              <w:left w:val="nil"/>
              <w:bottom w:val="nil"/>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决算数</w:t>
            </w:r>
          </w:p>
        </w:tc>
        <w:tc>
          <w:tcPr>
            <w:tcW w:w="5317"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项  目</w:t>
            </w:r>
          </w:p>
        </w:tc>
        <w:tc>
          <w:tcPr>
            <w:tcW w:w="883"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行次</w:t>
            </w:r>
          </w:p>
        </w:tc>
        <w:tc>
          <w:tcPr>
            <w:tcW w:w="4284" w:type="dxa"/>
            <w:tcBorders>
              <w:top w:val="single" w:color="000000" w:sz="4" w:space="0"/>
              <w:left w:val="nil"/>
              <w:bottom w:val="nil"/>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决算数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一、“三公”经费支出</w:t>
            </w:r>
          </w:p>
        </w:tc>
        <w:tc>
          <w:tcPr>
            <w:tcW w:w="867"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1</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eastAsia="宋体" w:cs="Times New Roman"/>
                <w:i w:val="0"/>
                <w:iCs w:val="0"/>
                <w:color w:val="auto"/>
                <w:kern w:val="0"/>
                <w:sz w:val="22"/>
                <w:szCs w:val="22"/>
                <w:u w:val="none"/>
                <w:lang w:val="en-US" w:eastAsia="zh-CN" w:bidi="ar"/>
              </w:rPr>
              <w:t>—</w:t>
            </w:r>
          </w:p>
        </w:tc>
        <w:tc>
          <w:tcPr>
            <w:tcW w:w="531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五、机关运行经费</w:t>
            </w:r>
          </w:p>
        </w:tc>
        <w:tc>
          <w:tcPr>
            <w:tcW w:w="883"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25</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auto"/>
                <w:sz w:val="22"/>
                <w:szCs w:val="22"/>
                <w:u w:val="none"/>
              </w:rPr>
            </w:pPr>
            <w:r>
              <w:rPr>
                <w:rFonts w:hint="default" w:ascii="Times New Roman" w:hAnsi="Times New Roman" w:cs="Times New Roman"/>
                <w:color w:val="auto"/>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 xml:space="preserve">  （一）支出合计</w:t>
            </w:r>
          </w:p>
        </w:tc>
        <w:tc>
          <w:tcPr>
            <w:tcW w:w="867"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2</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auto"/>
                <w:sz w:val="22"/>
                <w:szCs w:val="22"/>
                <w:u w:val="none"/>
              </w:rPr>
            </w:pPr>
            <w:r>
              <w:rPr>
                <w:rFonts w:hint="default" w:ascii="Times New Roman" w:hAnsi="Times New Roman" w:cs="Times New Roman"/>
                <w:color w:val="auto"/>
                <w:sz w:val="22"/>
                <w:szCs w:val="22"/>
              </w:rPr>
              <w:t xml:space="preserve"> </w:t>
            </w:r>
          </w:p>
        </w:tc>
        <w:tc>
          <w:tcPr>
            <w:tcW w:w="531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 xml:space="preserve">  （一）行政单位</w:t>
            </w:r>
          </w:p>
        </w:tc>
        <w:tc>
          <w:tcPr>
            <w:tcW w:w="883"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26</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auto"/>
                <w:sz w:val="22"/>
                <w:szCs w:val="22"/>
                <w:u w:val="none"/>
              </w:rPr>
            </w:pPr>
            <w:r>
              <w:rPr>
                <w:rFonts w:hint="default" w:ascii="Times New Roman" w:hAnsi="Times New Roman" w:cs="Times New Roman"/>
                <w:color w:val="auto"/>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 xml:space="preserve">     1．因公出国（境）费</w:t>
            </w:r>
          </w:p>
        </w:tc>
        <w:tc>
          <w:tcPr>
            <w:tcW w:w="867"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3</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auto"/>
                <w:sz w:val="22"/>
                <w:szCs w:val="22"/>
                <w:u w:val="none"/>
              </w:rPr>
            </w:pPr>
            <w:r>
              <w:rPr>
                <w:rFonts w:hint="default" w:ascii="Times New Roman" w:hAnsi="Times New Roman" w:cs="Times New Roman"/>
                <w:color w:val="auto"/>
                <w:sz w:val="22"/>
                <w:szCs w:val="22"/>
              </w:rPr>
              <w:t xml:space="preserve"> </w:t>
            </w:r>
          </w:p>
        </w:tc>
        <w:tc>
          <w:tcPr>
            <w:tcW w:w="531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 xml:space="preserve">  （二）参照公务员法管理事业单位</w:t>
            </w:r>
          </w:p>
        </w:tc>
        <w:tc>
          <w:tcPr>
            <w:tcW w:w="883"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27</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auto"/>
                <w:sz w:val="22"/>
                <w:szCs w:val="22"/>
                <w:u w:val="none"/>
              </w:rPr>
            </w:pPr>
            <w:r>
              <w:rPr>
                <w:rFonts w:hint="default" w:ascii="Times New Roman" w:hAnsi="Times New Roman" w:cs="Times New Roman"/>
                <w:color w:val="auto"/>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 xml:space="preserve">     2．公务用车购置及运行维护费</w:t>
            </w:r>
          </w:p>
        </w:tc>
        <w:tc>
          <w:tcPr>
            <w:tcW w:w="867"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4</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auto"/>
                <w:sz w:val="22"/>
                <w:szCs w:val="22"/>
                <w:u w:val="none"/>
              </w:rPr>
            </w:pPr>
            <w:r>
              <w:rPr>
                <w:rFonts w:hint="default" w:ascii="Times New Roman" w:hAnsi="Times New Roman" w:cs="Times New Roman"/>
                <w:color w:val="auto"/>
                <w:sz w:val="22"/>
                <w:szCs w:val="22"/>
              </w:rPr>
              <w:t xml:space="preserve"> </w:t>
            </w:r>
          </w:p>
        </w:tc>
        <w:tc>
          <w:tcPr>
            <w:tcW w:w="531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六、资产信息</w:t>
            </w:r>
          </w:p>
        </w:tc>
        <w:tc>
          <w:tcPr>
            <w:tcW w:w="883"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28</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cs="Times New Roman"/>
                <w:color w:val="auto"/>
                <w:sz w:val="22"/>
                <w:szCs w:val="22"/>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 xml:space="preserve">      （1）公务用车购置费</w:t>
            </w:r>
          </w:p>
        </w:tc>
        <w:tc>
          <w:tcPr>
            <w:tcW w:w="867"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5</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auto"/>
                <w:sz w:val="22"/>
                <w:szCs w:val="22"/>
                <w:u w:val="none"/>
              </w:rPr>
            </w:pPr>
            <w:r>
              <w:rPr>
                <w:rFonts w:hint="default" w:ascii="Times New Roman" w:hAnsi="Times New Roman" w:cs="Times New Roman"/>
                <w:color w:val="auto"/>
                <w:sz w:val="22"/>
                <w:szCs w:val="22"/>
              </w:rPr>
              <w:t xml:space="preserve"> </w:t>
            </w:r>
          </w:p>
        </w:tc>
        <w:tc>
          <w:tcPr>
            <w:tcW w:w="531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 xml:space="preserve">  （一）车辆数合计（辆）</w:t>
            </w:r>
          </w:p>
        </w:tc>
        <w:tc>
          <w:tcPr>
            <w:tcW w:w="883"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29</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auto"/>
                <w:sz w:val="22"/>
                <w:szCs w:val="22"/>
                <w:u w:val="none"/>
              </w:rPr>
            </w:pPr>
            <w:r>
              <w:rPr>
                <w:rFonts w:hint="default" w:ascii="Times New Roman" w:hAnsi="Times New Roman" w:cs="Times New Roman"/>
                <w:color w:val="auto"/>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 xml:space="preserve">      （2）公务用车运行维护费</w:t>
            </w:r>
          </w:p>
        </w:tc>
        <w:tc>
          <w:tcPr>
            <w:tcW w:w="867"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6</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auto"/>
                <w:sz w:val="22"/>
                <w:szCs w:val="22"/>
                <w:u w:val="none"/>
              </w:rPr>
            </w:pPr>
            <w:r>
              <w:rPr>
                <w:rFonts w:hint="default" w:ascii="Times New Roman" w:hAnsi="Times New Roman" w:cs="Times New Roman"/>
                <w:color w:val="auto"/>
                <w:sz w:val="22"/>
                <w:szCs w:val="22"/>
              </w:rPr>
              <w:t xml:space="preserve"> </w:t>
            </w:r>
          </w:p>
        </w:tc>
        <w:tc>
          <w:tcPr>
            <w:tcW w:w="531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 xml:space="preserve">     1．副部（省）级及以上领导用车</w:t>
            </w:r>
          </w:p>
        </w:tc>
        <w:tc>
          <w:tcPr>
            <w:tcW w:w="883"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30</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auto"/>
                <w:sz w:val="22"/>
                <w:szCs w:val="22"/>
                <w:u w:val="none"/>
              </w:rPr>
            </w:pPr>
            <w:r>
              <w:rPr>
                <w:rFonts w:hint="default" w:ascii="Times New Roman" w:hAnsi="Times New Roman" w:cs="Times New Roman"/>
                <w:color w:val="auto"/>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 xml:space="preserve">     3．公务接待费</w:t>
            </w:r>
          </w:p>
        </w:tc>
        <w:tc>
          <w:tcPr>
            <w:tcW w:w="867"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7</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auto"/>
                <w:sz w:val="22"/>
                <w:szCs w:val="22"/>
                <w:u w:val="none"/>
              </w:rPr>
            </w:pPr>
            <w:r>
              <w:rPr>
                <w:rFonts w:hint="default" w:ascii="Times New Roman" w:hAnsi="Times New Roman" w:cs="Times New Roman"/>
                <w:color w:val="auto"/>
                <w:sz w:val="22"/>
                <w:szCs w:val="22"/>
              </w:rPr>
              <w:t xml:space="preserve"> </w:t>
            </w:r>
          </w:p>
        </w:tc>
        <w:tc>
          <w:tcPr>
            <w:tcW w:w="531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 xml:space="preserve">     2．主要领导干部用车</w:t>
            </w:r>
          </w:p>
        </w:tc>
        <w:tc>
          <w:tcPr>
            <w:tcW w:w="883"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31</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auto"/>
                <w:sz w:val="22"/>
                <w:szCs w:val="22"/>
                <w:u w:val="none"/>
              </w:rPr>
            </w:pPr>
            <w:r>
              <w:rPr>
                <w:rFonts w:hint="default" w:ascii="Times New Roman" w:hAnsi="Times New Roman" w:cs="Times New Roman"/>
                <w:color w:val="auto"/>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 xml:space="preserve">      （1）国内接待费</w:t>
            </w:r>
          </w:p>
        </w:tc>
        <w:tc>
          <w:tcPr>
            <w:tcW w:w="867"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8</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auto"/>
                <w:sz w:val="22"/>
                <w:szCs w:val="22"/>
                <w:u w:val="none"/>
              </w:rPr>
            </w:pPr>
            <w:r>
              <w:rPr>
                <w:rFonts w:hint="default" w:ascii="Times New Roman" w:hAnsi="Times New Roman" w:cs="Times New Roman"/>
                <w:color w:val="auto"/>
                <w:sz w:val="22"/>
                <w:szCs w:val="22"/>
              </w:rPr>
              <w:t xml:space="preserve"> </w:t>
            </w:r>
          </w:p>
        </w:tc>
        <w:tc>
          <w:tcPr>
            <w:tcW w:w="531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 xml:space="preserve">     3．机要通信用车</w:t>
            </w:r>
          </w:p>
        </w:tc>
        <w:tc>
          <w:tcPr>
            <w:tcW w:w="883"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32</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auto"/>
                <w:sz w:val="22"/>
                <w:szCs w:val="22"/>
                <w:u w:val="none"/>
              </w:rPr>
            </w:pPr>
            <w:r>
              <w:rPr>
                <w:rFonts w:hint="default" w:ascii="Times New Roman" w:hAnsi="Times New Roman" w:cs="Times New Roman"/>
                <w:color w:val="auto"/>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 xml:space="preserve">           其中：外事接待费</w:t>
            </w:r>
          </w:p>
        </w:tc>
        <w:tc>
          <w:tcPr>
            <w:tcW w:w="867"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9</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auto"/>
                <w:sz w:val="22"/>
                <w:szCs w:val="22"/>
                <w:u w:val="none"/>
              </w:rPr>
            </w:pPr>
            <w:r>
              <w:rPr>
                <w:rFonts w:hint="default" w:ascii="Times New Roman" w:hAnsi="Times New Roman" w:cs="Times New Roman"/>
                <w:color w:val="auto"/>
                <w:sz w:val="22"/>
                <w:szCs w:val="22"/>
              </w:rPr>
              <w:t xml:space="preserve"> </w:t>
            </w:r>
          </w:p>
        </w:tc>
        <w:tc>
          <w:tcPr>
            <w:tcW w:w="531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 xml:space="preserve">     4．应急保障用车</w:t>
            </w:r>
          </w:p>
        </w:tc>
        <w:tc>
          <w:tcPr>
            <w:tcW w:w="883"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33</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auto"/>
                <w:sz w:val="22"/>
                <w:szCs w:val="22"/>
                <w:u w:val="none"/>
              </w:rPr>
            </w:pPr>
            <w:r>
              <w:rPr>
                <w:rFonts w:hint="default" w:ascii="Times New Roman" w:hAnsi="Times New Roman" w:cs="Times New Roman"/>
                <w:color w:val="auto"/>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 xml:space="preserve">      （2）国（境）外接待费</w:t>
            </w:r>
          </w:p>
        </w:tc>
        <w:tc>
          <w:tcPr>
            <w:tcW w:w="867"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10</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auto"/>
                <w:sz w:val="22"/>
                <w:szCs w:val="22"/>
                <w:u w:val="none"/>
              </w:rPr>
            </w:pPr>
            <w:r>
              <w:rPr>
                <w:rFonts w:hint="default" w:ascii="Times New Roman" w:hAnsi="Times New Roman" w:cs="Times New Roman"/>
                <w:color w:val="auto"/>
                <w:sz w:val="22"/>
                <w:szCs w:val="22"/>
              </w:rPr>
              <w:t xml:space="preserve"> </w:t>
            </w:r>
          </w:p>
        </w:tc>
        <w:tc>
          <w:tcPr>
            <w:tcW w:w="531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 xml:space="preserve">     5．执法执勤用车</w:t>
            </w:r>
          </w:p>
        </w:tc>
        <w:tc>
          <w:tcPr>
            <w:tcW w:w="883"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34</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auto"/>
                <w:sz w:val="22"/>
                <w:szCs w:val="22"/>
                <w:u w:val="none"/>
              </w:rPr>
            </w:pPr>
            <w:r>
              <w:rPr>
                <w:rFonts w:hint="default" w:ascii="Times New Roman" w:hAnsi="Times New Roman" w:cs="Times New Roman"/>
                <w:color w:val="auto"/>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 xml:space="preserve">  （二）相关统计数</w:t>
            </w:r>
          </w:p>
        </w:tc>
        <w:tc>
          <w:tcPr>
            <w:tcW w:w="867"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11</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eastAsia="宋体" w:cs="Times New Roman"/>
                <w:i w:val="0"/>
                <w:iCs w:val="0"/>
                <w:color w:val="auto"/>
                <w:kern w:val="0"/>
                <w:sz w:val="22"/>
                <w:szCs w:val="22"/>
                <w:u w:val="none"/>
                <w:lang w:val="en-US" w:eastAsia="zh-CN" w:bidi="ar"/>
              </w:rPr>
              <w:t>—</w:t>
            </w:r>
          </w:p>
        </w:tc>
        <w:tc>
          <w:tcPr>
            <w:tcW w:w="531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 xml:space="preserve">     6．特种专业技术用车</w:t>
            </w:r>
          </w:p>
        </w:tc>
        <w:tc>
          <w:tcPr>
            <w:tcW w:w="883"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35</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auto"/>
                <w:sz w:val="22"/>
                <w:szCs w:val="22"/>
                <w:u w:val="none"/>
              </w:rPr>
            </w:pPr>
            <w:r>
              <w:rPr>
                <w:rFonts w:hint="default" w:ascii="Times New Roman" w:hAnsi="Times New Roman" w:cs="Times New Roman"/>
                <w:color w:val="auto"/>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 xml:space="preserve">     1．因公出国（境）团组数（个）</w:t>
            </w:r>
          </w:p>
        </w:tc>
        <w:tc>
          <w:tcPr>
            <w:tcW w:w="867"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12</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auto"/>
                <w:sz w:val="22"/>
                <w:szCs w:val="22"/>
                <w:u w:val="none"/>
              </w:rPr>
            </w:pPr>
          </w:p>
        </w:tc>
        <w:tc>
          <w:tcPr>
            <w:tcW w:w="531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 xml:space="preserve">     7．离退休干部用车</w:t>
            </w:r>
          </w:p>
        </w:tc>
        <w:tc>
          <w:tcPr>
            <w:tcW w:w="883"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36</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auto"/>
                <w:sz w:val="22"/>
                <w:szCs w:val="22"/>
                <w:u w:val="none"/>
              </w:rPr>
            </w:pPr>
            <w:r>
              <w:rPr>
                <w:rFonts w:hint="default" w:ascii="Times New Roman" w:hAnsi="Times New Roman" w:cs="Times New Roman"/>
                <w:color w:val="auto"/>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 xml:space="preserve">     2．因公出国（境）人次数（人）</w:t>
            </w:r>
          </w:p>
        </w:tc>
        <w:tc>
          <w:tcPr>
            <w:tcW w:w="867"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13</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auto"/>
                <w:sz w:val="22"/>
                <w:szCs w:val="22"/>
                <w:u w:val="none"/>
              </w:rPr>
            </w:pPr>
          </w:p>
        </w:tc>
        <w:tc>
          <w:tcPr>
            <w:tcW w:w="531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 xml:space="preserve">     8．其他用车</w:t>
            </w:r>
          </w:p>
        </w:tc>
        <w:tc>
          <w:tcPr>
            <w:tcW w:w="883"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37</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auto"/>
                <w:sz w:val="22"/>
                <w:szCs w:val="22"/>
                <w:u w:val="none"/>
              </w:rPr>
            </w:pPr>
            <w:r>
              <w:rPr>
                <w:rFonts w:hint="default" w:ascii="Times New Roman" w:hAnsi="Times New Roman" w:cs="Times New Roman"/>
                <w:color w:val="auto"/>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 xml:space="preserve">     3．公务用车购置数（辆）</w:t>
            </w:r>
          </w:p>
        </w:tc>
        <w:tc>
          <w:tcPr>
            <w:tcW w:w="867"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14</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auto"/>
                <w:sz w:val="22"/>
                <w:szCs w:val="22"/>
                <w:u w:val="none"/>
              </w:rPr>
            </w:pPr>
          </w:p>
        </w:tc>
        <w:tc>
          <w:tcPr>
            <w:tcW w:w="531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 xml:space="preserve">  （二）单价100万元（含）以上设备（不含车辆）</w:t>
            </w:r>
          </w:p>
        </w:tc>
        <w:tc>
          <w:tcPr>
            <w:tcW w:w="883"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38</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auto"/>
                <w:sz w:val="22"/>
                <w:szCs w:val="22"/>
                <w:u w:val="none"/>
              </w:rPr>
            </w:pPr>
            <w:r>
              <w:rPr>
                <w:rFonts w:hint="default" w:ascii="Times New Roman" w:hAnsi="Times New Roman" w:cs="Times New Roman"/>
                <w:color w:val="auto"/>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 xml:space="preserve">     4．公务用车保有量（辆）</w:t>
            </w:r>
          </w:p>
        </w:tc>
        <w:tc>
          <w:tcPr>
            <w:tcW w:w="867"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15</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auto"/>
                <w:sz w:val="22"/>
                <w:szCs w:val="22"/>
                <w:u w:val="none"/>
              </w:rPr>
            </w:pPr>
          </w:p>
        </w:tc>
        <w:tc>
          <w:tcPr>
            <w:tcW w:w="531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七、政府采购支出信息</w:t>
            </w:r>
          </w:p>
        </w:tc>
        <w:tc>
          <w:tcPr>
            <w:tcW w:w="883"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39</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cs="Times New Roman"/>
                <w:color w:val="auto"/>
                <w:sz w:val="22"/>
                <w:szCs w:val="22"/>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 xml:space="preserve">     5．国内公务接待批次（个）</w:t>
            </w:r>
          </w:p>
        </w:tc>
        <w:tc>
          <w:tcPr>
            <w:tcW w:w="867"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16</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auto"/>
                <w:sz w:val="22"/>
                <w:szCs w:val="22"/>
                <w:u w:val="none"/>
              </w:rPr>
            </w:pPr>
          </w:p>
        </w:tc>
        <w:tc>
          <w:tcPr>
            <w:tcW w:w="531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 xml:space="preserve">  （一）政府采购支出合计</w:t>
            </w:r>
          </w:p>
        </w:tc>
        <w:tc>
          <w:tcPr>
            <w:tcW w:w="883"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40</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auto"/>
                <w:sz w:val="22"/>
                <w:szCs w:val="22"/>
                <w:u w:val="none"/>
              </w:rPr>
            </w:pPr>
            <w:r>
              <w:rPr>
                <w:rFonts w:hint="default" w:ascii="Times New Roman" w:hAnsi="Times New Roman" w:cs="Times New Roman"/>
                <w:color w:val="auto"/>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 xml:space="preserve">        其中：外事接待批次（个）</w:t>
            </w:r>
          </w:p>
        </w:tc>
        <w:tc>
          <w:tcPr>
            <w:tcW w:w="867"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17</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auto"/>
                <w:sz w:val="22"/>
                <w:szCs w:val="22"/>
                <w:u w:val="none"/>
              </w:rPr>
            </w:pPr>
          </w:p>
        </w:tc>
        <w:tc>
          <w:tcPr>
            <w:tcW w:w="531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 xml:space="preserve">     1．政府采购货物支出</w:t>
            </w:r>
          </w:p>
        </w:tc>
        <w:tc>
          <w:tcPr>
            <w:tcW w:w="883"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41</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auto"/>
                <w:sz w:val="22"/>
                <w:szCs w:val="22"/>
                <w:u w:val="none"/>
              </w:rPr>
            </w:pPr>
            <w:r>
              <w:rPr>
                <w:rFonts w:hint="default" w:ascii="Times New Roman" w:hAnsi="Times New Roman" w:cs="Times New Roman"/>
                <w:color w:val="auto"/>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 xml:space="preserve">     6．国内公务接待人次（人）</w:t>
            </w:r>
          </w:p>
        </w:tc>
        <w:tc>
          <w:tcPr>
            <w:tcW w:w="867"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18</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auto"/>
                <w:sz w:val="22"/>
                <w:szCs w:val="22"/>
                <w:u w:val="none"/>
              </w:rPr>
            </w:pPr>
          </w:p>
        </w:tc>
        <w:tc>
          <w:tcPr>
            <w:tcW w:w="531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 xml:space="preserve">     2．政府采购工程支出</w:t>
            </w:r>
          </w:p>
        </w:tc>
        <w:tc>
          <w:tcPr>
            <w:tcW w:w="883"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42</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auto"/>
                <w:sz w:val="22"/>
                <w:szCs w:val="22"/>
                <w:u w:val="none"/>
              </w:rPr>
            </w:pPr>
            <w:r>
              <w:rPr>
                <w:rFonts w:hint="default" w:ascii="Times New Roman" w:hAnsi="Times New Roman" w:cs="Times New Roman"/>
                <w:color w:val="auto"/>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 xml:space="preserve">        其中：外事接待人次（人）</w:t>
            </w:r>
          </w:p>
        </w:tc>
        <w:tc>
          <w:tcPr>
            <w:tcW w:w="867"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19</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auto"/>
                <w:sz w:val="22"/>
                <w:szCs w:val="22"/>
                <w:u w:val="none"/>
              </w:rPr>
            </w:pPr>
          </w:p>
        </w:tc>
        <w:tc>
          <w:tcPr>
            <w:tcW w:w="531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 xml:space="preserve">     3．政府采购服务支出</w:t>
            </w:r>
          </w:p>
        </w:tc>
        <w:tc>
          <w:tcPr>
            <w:tcW w:w="883"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43</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auto"/>
                <w:sz w:val="22"/>
                <w:szCs w:val="22"/>
                <w:u w:val="none"/>
              </w:rPr>
            </w:pPr>
            <w:r>
              <w:rPr>
                <w:rFonts w:hint="default" w:ascii="Times New Roman" w:hAnsi="Times New Roman" w:cs="Times New Roman"/>
                <w:color w:val="auto"/>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 xml:space="preserve">     7．国（境）外公务接待批次（个）</w:t>
            </w:r>
          </w:p>
        </w:tc>
        <w:tc>
          <w:tcPr>
            <w:tcW w:w="867"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20</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auto"/>
                <w:sz w:val="22"/>
                <w:szCs w:val="22"/>
                <w:u w:val="none"/>
              </w:rPr>
            </w:pPr>
          </w:p>
        </w:tc>
        <w:tc>
          <w:tcPr>
            <w:tcW w:w="531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 xml:space="preserve">  （二）政府采购授予中小企业合同金额</w:t>
            </w:r>
          </w:p>
        </w:tc>
        <w:tc>
          <w:tcPr>
            <w:tcW w:w="883"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44</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auto"/>
                <w:sz w:val="22"/>
                <w:szCs w:val="22"/>
                <w:u w:val="none"/>
              </w:rPr>
            </w:pPr>
            <w:r>
              <w:rPr>
                <w:rFonts w:hint="default" w:ascii="Times New Roman" w:hAnsi="Times New Roman" w:cs="Times New Roman"/>
                <w:color w:val="auto"/>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 xml:space="preserve">     8．国（境）外公务接待人次（人）</w:t>
            </w:r>
          </w:p>
        </w:tc>
        <w:tc>
          <w:tcPr>
            <w:tcW w:w="867"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21</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auto"/>
                <w:sz w:val="22"/>
                <w:szCs w:val="22"/>
                <w:u w:val="none"/>
              </w:rPr>
            </w:pPr>
          </w:p>
        </w:tc>
        <w:tc>
          <w:tcPr>
            <w:tcW w:w="531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 xml:space="preserve">        其中：授予小微企业合同金额</w:t>
            </w:r>
          </w:p>
        </w:tc>
        <w:tc>
          <w:tcPr>
            <w:tcW w:w="883"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45</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auto"/>
                <w:sz w:val="22"/>
                <w:szCs w:val="22"/>
                <w:u w:val="none"/>
              </w:rPr>
            </w:pPr>
            <w:r>
              <w:rPr>
                <w:rFonts w:hint="default" w:ascii="Times New Roman" w:hAnsi="Times New Roman" w:cs="Times New Roman"/>
                <w:color w:val="auto"/>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二、会议费</w:t>
            </w:r>
          </w:p>
        </w:tc>
        <w:tc>
          <w:tcPr>
            <w:tcW w:w="867" w:type="dxa"/>
            <w:tcBorders>
              <w:top w:val="nil"/>
              <w:left w:val="nil"/>
              <w:bottom w:val="single" w:color="auto"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22</w:t>
            </w:r>
          </w:p>
        </w:tc>
        <w:tc>
          <w:tcPr>
            <w:tcW w:w="4383" w:type="dxa"/>
            <w:tcBorders>
              <w:top w:val="single" w:color="000000" w:sz="4" w:space="0"/>
              <w:left w:val="single" w:color="000000" w:sz="4" w:space="0"/>
              <w:bottom w:val="single" w:color="auto"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auto"/>
                <w:sz w:val="22"/>
                <w:szCs w:val="22"/>
                <w:u w:val="none"/>
              </w:rPr>
            </w:pPr>
          </w:p>
        </w:tc>
        <w:tc>
          <w:tcPr>
            <w:tcW w:w="5317" w:type="dxa"/>
            <w:tcBorders>
              <w:top w:val="nil"/>
              <w:left w:val="nil"/>
              <w:bottom w:val="single" w:color="auto"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i w:val="0"/>
                <w:iCs w:val="0"/>
                <w:color w:val="auto"/>
                <w:sz w:val="22"/>
                <w:szCs w:val="22"/>
                <w:u w:val="none"/>
              </w:rPr>
            </w:pPr>
          </w:p>
        </w:tc>
        <w:tc>
          <w:tcPr>
            <w:tcW w:w="883" w:type="dxa"/>
            <w:tcBorders>
              <w:top w:val="nil"/>
              <w:left w:val="nil"/>
              <w:bottom w:val="single" w:color="auto"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auto"/>
                <w:sz w:val="22"/>
                <w:szCs w:val="22"/>
                <w:u w:val="none"/>
              </w:rPr>
            </w:pP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rPr>
                <w:rFonts w:hint="default" w:ascii="Arial" w:hAnsi="Arial" w:eastAsia="宋体" w:cs="Arial"/>
                <w:i w:val="0"/>
                <w:iCs w:val="0"/>
                <w:color w:val="auto"/>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56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三、培训费</w:t>
            </w:r>
          </w:p>
        </w:tc>
        <w:tc>
          <w:tcPr>
            <w:tcW w:w="86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23</w:t>
            </w:r>
          </w:p>
        </w:tc>
        <w:tc>
          <w:tcPr>
            <w:tcW w:w="4383" w:type="dxa"/>
            <w:tcBorders>
              <w:top w:val="single" w:color="auto" w:sz="4" w:space="0"/>
              <w:left w:val="single" w:color="auto" w:sz="4" w:space="0"/>
              <w:bottom w:val="single" w:color="000000" w:sz="4" w:space="0"/>
              <w:right w:val="single" w:color="auto"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auto"/>
                <w:sz w:val="22"/>
                <w:szCs w:val="22"/>
                <w:u w:val="none"/>
              </w:rPr>
            </w:pPr>
          </w:p>
        </w:tc>
        <w:tc>
          <w:tcPr>
            <w:tcW w:w="531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i w:val="0"/>
                <w:iCs w:val="0"/>
                <w:color w:val="auto"/>
                <w:sz w:val="22"/>
                <w:szCs w:val="22"/>
                <w:u w:val="none"/>
              </w:rPr>
            </w:pPr>
          </w:p>
        </w:tc>
        <w:tc>
          <w:tcPr>
            <w:tcW w:w="88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auto"/>
                <w:sz w:val="22"/>
                <w:szCs w:val="22"/>
                <w:u w:val="none"/>
              </w:rPr>
            </w:pPr>
          </w:p>
        </w:tc>
        <w:tc>
          <w:tcPr>
            <w:tcW w:w="4284" w:type="dxa"/>
            <w:tcBorders>
              <w:top w:val="single" w:color="000000" w:sz="4" w:space="0"/>
              <w:left w:val="single" w:color="auto"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rPr>
                <w:rFonts w:hint="default" w:ascii="Arial" w:hAnsi="Arial" w:eastAsia="宋体" w:cs="Arial"/>
                <w:i w:val="0"/>
                <w:iCs w:val="0"/>
                <w:color w:val="auto"/>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56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color w:val="auto"/>
                <w:kern w:val="2"/>
                <w:sz w:val="22"/>
                <w:szCs w:val="22"/>
                <w:u w:val="none"/>
                <w:lang w:val="en-US" w:eastAsia="zh-CN" w:bidi="ar-SA"/>
              </w:rPr>
            </w:pPr>
            <w:r>
              <w:rPr>
                <w:rFonts w:hint="eastAsia" w:ascii="宋体" w:hAnsi="宋体" w:eastAsia="宋体" w:cs="宋体"/>
                <w:b/>
                <w:bCs/>
                <w:i w:val="0"/>
                <w:color w:val="auto"/>
                <w:kern w:val="0"/>
                <w:sz w:val="22"/>
                <w:szCs w:val="22"/>
                <w:u w:val="none"/>
                <w:lang w:val="en-US" w:eastAsia="zh-CN" w:bidi="ar"/>
              </w:rPr>
              <w:t>四、差旅费</w:t>
            </w:r>
          </w:p>
        </w:tc>
        <w:tc>
          <w:tcPr>
            <w:tcW w:w="86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color w:val="auto"/>
                <w:kern w:val="2"/>
                <w:sz w:val="22"/>
                <w:szCs w:val="22"/>
                <w:u w:val="none"/>
                <w:lang w:val="en-US" w:eastAsia="zh-CN" w:bidi="ar-SA"/>
              </w:rPr>
            </w:pPr>
            <w:r>
              <w:rPr>
                <w:rFonts w:hint="eastAsia" w:ascii="宋体" w:hAnsi="宋体" w:eastAsia="宋体" w:cs="宋体"/>
                <w:b/>
                <w:bCs/>
                <w:i w:val="0"/>
                <w:color w:val="auto"/>
                <w:kern w:val="0"/>
                <w:sz w:val="22"/>
                <w:szCs w:val="22"/>
                <w:u w:val="none"/>
                <w:lang w:val="en-US" w:eastAsia="zh-CN" w:bidi="ar"/>
              </w:rPr>
              <w:t>24</w:t>
            </w:r>
          </w:p>
        </w:tc>
        <w:tc>
          <w:tcPr>
            <w:tcW w:w="4383" w:type="dxa"/>
            <w:tcBorders>
              <w:top w:val="single" w:color="000000" w:sz="4" w:space="0"/>
              <w:left w:val="single" w:color="auto" w:sz="4" w:space="0"/>
              <w:bottom w:val="single" w:color="auto" w:sz="4" w:space="0"/>
              <w:right w:val="single" w:color="auto"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color w:val="auto"/>
                <w:kern w:val="2"/>
                <w:sz w:val="22"/>
                <w:szCs w:val="22"/>
                <w:u w:val="none"/>
                <w:lang w:val="en-US" w:eastAsia="zh-CN" w:bidi="ar-SA"/>
              </w:rPr>
            </w:pPr>
            <w:r>
              <w:rPr>
                <w:rFonts w:hint="default" w:ascii="Times New Roman" w:hAnsi="Times New Roman" w:cs="Times New Roman"/>
                <w:color w:val="auto"/>
                <w:sz w:val="22"/>
                <w:szCs w:val="22"/>
              </w:rPr>
              <w:t>72,000.00</w:t>
            </w:r>
          </w:p>
        </w:tc>
        <w:tc>
          <w:tcPr>
            <w:tcW w:w="531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i w:val="0"/>
                <w:iCs w:val="0"/>
                <w:color w:val="auto"/>
                <w:sz w:val="22"/>
                <w:szCs w:val="22"/>
                <w:u w:val="none"/>
              </w:rPr>
            </w:pPr>
          </w:p>
        </w:tc>
        <w:tc>
          <w:tcPr>
            <w:tcW w:w="88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auto"/>
                <w:kern w:val="0"/>
                <w:sz w:val="22"/>
                <w:szCs w:val="22"/>
                <w:u w:val="none"/>
                <w:lang w:val="en-US" w:eastAsia="zh-CN" w:bidi="ar"/>
              </w:rPr>
            </w:pPr>
          </w:p>
        </w:tc>
        <w:tc>
          <w:tcPr>
            <w:tcW w:w="4284" w:type="dxa"/>
            <w:tcBorders>
              <w:top w:val="single" w:color="000000" w:sz="4" w:space="0"/>
              <w:left w:val="single" w:color="auto"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rPr>
                <w:rFonts w:hint="default" w:ascii="Arial" w:hAnsi="Arial" w:eastAsia="宋体" w:cs="Arial"/>
                <w:i w:val="0"/>
                <w:iCs w:val="0"/>
                <w:color w:val="auto"/>
                <w:sz w:val="20"/>
                <w:szCs w:val="20"/>
                <w:u w:val="none"/>
              </w:rPr>
            </w:pPr>
          </w:p>
        </w:tc>
      </w:tr>
    </w:tbl>
    <w:p>
      <w:pPr>
        <w:rPr>
          <w:rFonts w:hint="eastAsia" w:ascii="宋体" w:hAnsi="宋体" w:eastAsia="宋体" w:cs="宋体"/>
          <w:color w:val="auto"/>
          <w:sz w:val="21"/>
          <w:szCs w:val="21"/>
          <w:lang w:bidi="ar"/>
        </w:rPr>
      </w:pPr>
    </w:p>
    <w:p>
      <w:pPr>
        <w:rPr>
          <w:rFonts w:hint="eastAsia" w:ascii="宋体" w:hAnsi="宋体" w:eastAsia="宋体" w:cs="宋体"/>
          <w:color w:val="auto"/>
          <w:sz w:val="21"/>
          <w:szCs w:val="21"/>
          <w:lang w:bidi="ar"/>
        </w:rPr>
      </w:pPr>
    </w:p>
    <w:p>
      <w:pPr>
        <w:rPr>
          <w:rFonts w:hint="eastAsia" w:ascii="宋体" w:hAnsi="宋体" w:eastAsia="宋体" w:cs="宋体"/>
          <w:color w:val="auto"/>
          <w:sz w:val="21"/>
          <w:szCs w:val="21"/>
          <w:lang w:bidi="ar"/>
        </w:rPr>
      </w:pPr>
    </w:p>
    <w:p>
      <w:pPr>
        <w:rPr>
          <w:rFonts w:hint="eastAsia" w:ascii="宋体" w:hAnsi="宋体" w:eastAsia="宋体" w:cs="宋体"/>
          <w:color w:val="auto"/>
          <w:sz w:val="21"/>
          <w:szCs w:val="21"/>
          <w:lang w:bidi="ar"/>
        </w:rPr>
      </w:pPr>
    </w:p>
    <w:p>
      <w:pPr>
        <w:rPr>
          <w:rFonts w:hint="eastAsia" w:ascii="宋体" w:hAnsi="宋体" w:eastAsia="宋体" w:cs="宋体"/>
          <w:color w:val="auto"/>
          <w:sz w:val="21"/>
          <w:szCs w:val="21"/>
          <w:lang w:bidi="ar"/>
        </w:rPr>
      </w:pPr>
    </w:p>
    <w:p>
      <w:pPr>
        <w:rPr>
          <w:rFonts w:hint="eastAsia" w:ascii="宋体" w:hAnsi="宋体" w:eastAsia="宋体" w:cs="宋体"/>
          <w:color w:val="auto"/>
          <w:sz w:val="21"/>
          <w:szCs w:val="21"/>
          <w:lang w:bidi="ar"/>
        </w:rPr>
      </w:pPr>
    </w:p>
    <w:p>
      <w:pPr>
        <w:rPr>
          <w:rFonts w:hint="eastAsia" w:ascii="宋体" w:hAnsi="宋体" w:eastAsia="宋体" w:cs="宋体"/>
          <w:color w:val="auto"/>
          <w:sz w:val="21"/>
          <w:szCs w:val="21"/>
          <w:lang w:bidi="ar"/>
        </w:rPr>
      </w:pPr>
    </w:p>
    <w:p>
      <w:pPr>
        <w:rPr>
          <w:rFonts w:hint="eastAsia" w:ascii="宋体" w:hAnsi="宋体" w:eastAsia="宋体" w:cs="宋体"/>
          <w:color w:val="auto"/>
          <w:sz w:val="21"/>
          <w:szCs w:val="21"/>
          <w:lang w:bidi="ar"/>
        </w:rPr>
      </w:pPr>
    </w:p>
    <w:p>
      <w:pPr>
        <w:rPr>
          <w:rFonts w:hint="eastAsia" w:ascii="宋体" w:hAnsi="宋体" w:eastAsia="宋体" w:cs="宋体"/>
          <w:color w:val="auto"/>
          <w:sz w:val="21"/>
          <w:szCs w:val="21"/>
          <w:lang w:bidi="ar"/>
        </w:rPr>
      </w:pPr>
    </w:p>
    <w:p>
      <w:pPr>
        <w:pStyle w:val="9"/>
        <w:autoSpaceDE w:val="0"/>
        <w:ind w:firstLine="0" w:firstLineChars="0"/>
        <w:rPr>
          <w:rFonts w:hint="default" w:ascii="宋体" w:hAnsi="宋体" w:eastAsia="宋体" w:cs="宋体"/>
          <w:color w:val="auto"/>
          <w:sz w:val="21"/>
          <w:szCs w:val="21"/>
        </w:rPr>
      </w:pPr>
    </w:p>
    <w:sectPr>
      <w:headerReference r:id="rId6" w:type="default"/>
      <w:footerReference r:id="rId7" w:type="default"/>
      <w:pgSz w:w="23811" w:h="16838" w:orient="landscape"/>
      <w:pgMar w:top="567" w:right="454" w:bottom="567" w:left="1037" w:header="0" w:footer="283"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_GBK">
    <w:panose1 w:val="03000509000000000000"/>
    <w:charset w:val="86"/>
    <w:family w:val="script"/>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bzf8SAgAAEw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KNFMYUWXr18u335cvn8m0whPa/0CXjsLv9C9Nl10HfQeyjh1VzkV&#10;b8xDYAfQ5yu4oguEx6D5bD7PYeKwjQ/kyZ7CrfPhjTCKRKGgDttLoLLT1ofedXSJ1bTZNFJCzxZS&#10;k7agNy9f5SngakFyqVEjDtE3G6XQ7bthgr0pzxjMmZ4Z3vJNg+Jb5sMjc6ACGga9wwOOShoUMYNE&#10;SW3cp7/poz82BCslLahVUA3uUyLfamwusnAU3CjsR0Ef1Z0BV7EN9JJEBLggR7FyRn0E59exBkxM&#10;c1QqaBjFu9DTG3+Gi/U6OR2taw51HwDeWRa2emd5LBPR83Z9DAAzYRwB6lEZcAPz0paGXxKp/es7&#10;eT395d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Erbzf8SAgAAEwQAAA4AAAAAAAAAAQAg&#10;AAAAHwEAAGRycy9lMm9Eb2MueG1sUEsFBgAAAAAGAAYAWQEAAKMFAAAAAA==&#10;">
              <v:fill on="f" focussize="0,0"/>
              <v:stroke on="f" weight="0.5pt"/>
              <v:imagedata o:title=""/>
              <o:lock v:ext="edit" aspectratio="f"/>
              <v:textbox inset="0mm,0mm,0mm,0mm" style="mso-fit-shape-to-text:t;">
                <w:txbxContent>
                  <w:p>
                    <w:pPr>
                      <w:pStyle w:val="2"/>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jc w:val="both"/>
      <w:rPr>
        <w:rFonts w:hint="default"/>
      </w:rPr>
    </w:pPr>
    <w:r>
      <mc:AlternateContent>
        <mc:Choice Requires="wps">
          <w:drawing>
            <wp:anchor distT="0" distB="0" distL="114300" distR="114300" simplePos="0" relativeHeight="251660288" behindDoc="0" locked="0" layoutInCell="1" allowOverlap="0">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2"/>
                            <w:rPr>
                              <w:rFonts w:hint="default"/>
                            </w:rPr>
                          </w:pPr>
                          <w:r>
                            <w:t xml:space="preserve"> </w:t>
                          </w:r>
                          <w:r>
                            <w:fldChar w:fldCharType="begin"/>
                          </w:r>
                          <w:r>
                            <w:instrText xml:space="preserve">PAGE   \* MERGEFORMAT</w:instrText>
                          </w:r>
                          <w:r>
                            <w:fldChar w:fldCharType="separate"/>
                          </w:r>
                          <w:r>
                            <w:rPr>
                              <w:rFonts w:hint="default"/>
                              <w:lang w:val="zh-CN"/>
                            </w:rPr>
                            <w:t>28</w:t>
                          </w:r>
                          <w:r>
                            <w:fldChar w:fldCharType="end"/>
                          </w:r>
                          <w: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allowoverlap="f"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Kc1bQVAgAAFQQAAA4AAABkcnMvZTJvRG9jLnhtbK1TzY7TMBC+I/EO&#10;lu80aRGrqmq6KrsqQqrYlQri7DpOE8l/st0m5QHgDThx4c5z9Tn47CRdBJwQF3vsGX+e+eab5W2n&#10;JDkJ5xujCzqd5JQIzU3Z6ENBP7zfvJhT4gPTJZNGi4Kehae3q+fPlq1diJmpjSyFIwDRftHagtYh&#10;2EWWeV4LxfzEWKHhrIxTLODoDlnpWAt0JbNZnt9krXGldYYL73F73zvpKuFXleDhoaq8CEQWFLmF&#10;tLq07uOarZZscXDM1g0f0mD/kIVijcanV6h7Fhg5uuYPKNVwZ7ypwoQblZmqarhINaCaaf5bNbua&#10;WZFqATneXmny/w+Wvzs9OtKUBZ1RoplCiy5fv1y+/bh8/0xmkZ7W+gWidhZxoXttOrR5vPe4jFV3&#10;lVNxRz0EfhB9vpIrukB4fDSfzec5XBy+8QD87Om5dT68EUaRaBTUoXuJVHba+tCHjiHxN202jZSp&#10;g1KTtqA3L1/l6cHVA3CpY6xIWhhgYkl96tEK3b4b6tyb8owynel14i3fNEhly3x4ZA7CQPoQe3jA&#10;UkmDL81gUVIb9+lv9zEe/YKXkhZCK6jGJFAi32r0MWpyNNxo7EdDH9WdgXKnGCLLk4kHLsjRrJxR&#10;HzEB6/gHXExz/FTQMJp3oRc7JoiL9ToFQXmWha3eWR6hIz3ero8BdCaWIyk9E+hOPEB7qU/DnERx&#10;/3pOUU/TvPoJ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s0lY7tAAAAAFAQAADwAAAAAAAAABACAA&#10;AAAiAAAAZHJzL2Rvd25yZXYueG1sUEsBAhQAFAAAAAgAh07iQKKc1bQVAgAAFQQAAA4AAAAAAAAA&#10;AQAgAAAAHwEAAGRycy9lMm9Eb2MueG1sUEsFBgAAAAAGAAYAWQEAAKYFAAAAAA==&#10;">
              <v:fill on="f" focussize="0,0"/>
              <v:stroke on="f" weight="0.5pt"/>
              <v:imagedata o:title=""/>
              <o:lock v:ext="edit" aspectratio="f"/>
              <v:textbox inset="0mm,0mm,0mm,0mm" style="mso-fit-shape-to-text:t;">
                <w:txbxContent>
                  <w:p>
                    <w:pPr>
                      <w:pStyle w:val="2"/>
                      <w:rPr>
                        <w:rFonts w:hint="default"/>
                      </w:rPr>
                    </w:pPr>
                    <w:r>
                      <w:t xml:space="preserve"> </w:t>
                    </w:r>
                    <w:r>
                      <w:fldChar w:fldCharType="begin"/>
                    </w:r>
                    <w:r>
                      <w:instrText xml:space="preserve">PAGE   \* MERGEFORMAT</w:instrText>
                    </w:r>
                    <w:r>
                      <w:fldChar w:fldCharType="separate"/>
                    </w:r>
                    <w:r>
                      <w:rPr>
                        <w:rFonts w:hint="default"/>
                        <w:lang w:val="zh-CN"/>
                      </w:rPr>
                      <w:t>28</w:t>
                    </w:r>
                    <w:r>
                      <w:fldChar w:fldCharType="end"/>
                    </w:r>
                    <w:r>
                      <w:t xml:space="preserve"> </w:t>
                    </w:r>
                  </w:p>
                </w:txbxContent>
              </v:textbox>
            </v:shape>
          </w:pict>
        </mc:Fallback>
      </mc:AlternateContent>
    </w:r>
    <w:r>
      <mc:AlternateContent>
        <mc:Choice Requires="wps">
          <w:drawing>
            <wp:anchor distT="0" distB="0" distL="114300" distR="114300" simplePos="0" relativeHeight="251659264" behindDoc="0" locked="0" layoutInCell="1" allowOverlap="0">
              <wp:simplePos x="0" y="0"/>
              <wp:positionH relativeFrom="margin">
                <wp:align>center</wp:align>
              </wp:positionH>
              <wp:positionV relativeFrom="page">
                <wp:posOffset>14737080</wp:posOffset>
              </wp:positionV>
              <wp:extent cx="1828800" cy="22098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220980"/>
                      </a:xfrm>
                      <a:prstGeom prst="rect">
                        <a:avLst/>
                      </a:prstGeom>
                      <a:noFill/>
                      <a:ln w="6350">
                        <a:noFill/>
                      </a:ln>
                      <a:effectLst/>
                    </wps:spPr>
                    <wps:txbx>
                      <w:txbxContent>
                        <w:p>
                          <w:pPr>
                            <w:pStyle w:val="2"/>
                            <w:jc w:val="both"/>
                            <w:rPr>
                              <w:rFonts w:hint="default" w:cs="宋体"/>
                            </w:rPr>
                          </w:pPr>
                          <w:r>
                            <w:rPr>
                              <w:rFonts w:cs="宋体"/>
                            </w:rPr>
                            <w:t>— 27.1 —</w:t>
                          </w:r>
                        </w:p>
                      </w:txbxContent>
                    </wps:txbx>
                    <wps:bodyPr rot="0" spcFirstLastPara="0" vertOverflow="overflow" horzOverflow="overflow" vert="horz" wrap="none" lIns="0" tIns="0" rIns="0" bIns="0" numCol="1" spcCol="0" rtlCol="0" fromWordArt="0" anchor="t" anchorCtr="0" forceAA="0" compatLnSpc="1">
                      <a:noAutofit/>
                    </wps:bodyPr>
                  </wps:wsp>
                </a:graphicData>
              </a:graphic>
            </wp:anchor>
          </w:drawing>
        </mc:Choice>
        <mc:Fallback>
          <w:pict>
            <v:shape id="_x0000_s1026" o:spid="_x0000_s1026" o:spt="202" type="#_x0000_t202" style="position:absolute;left:0pt;margin-top:1160.4pt;height:17.4pt;width:144pt;mso-position-horizontal:center;mso-position-horizontal-relative:margin;mso-position-vertical-relative:page;mso-wrap-style:none;z-index:251659264;mso-width-relative:page;mso-height-relative:page;" filled="f" stroked="f" coordsize="21600,21600" o:allowoverlap="f" o:gfxdata="UEsDBAoAAAAAAIdO4kAAAAAAAAAAAAAAAAAEAAAAZHJzL1BLAwQUAAAACACHTuJAeA1UVNgAAAAK&#10;AQAADwAAAGRycy9kb3ducmV2LnhtbE2PwU7DMBBE70j8g7WVuFG7gVRRiFMhJHrh1FCQuLmxm0S1&#10;15HtNoGvZ3uC486MZudVm9lZdjEhDh4lrJYCmMHW6wE7Cfv31/sCWEwKtbIejYRvE2FT395UqtR+&#10;wp25NKljVIKxVBL6lMaS89j2xqm49KNB8o4+OJXoDB3XQU1U7izPhFhzpwakD70azUtv2lNzdhK2&#10;88/n41v4SrZRuzb/cM/dcTtJebdYiSdgyczpLwzX+TQdatp08GfUkVkJBJIkZA+ZIALys6Ig6XCV&#10;8nwNvK74f4T6F1BLAwQUAAAACACHTuJAW3NUEBcCAAAUBAAADgAAAGRycy9lMm9Eb2MueG1srVPN&#10;jtMwEL4j8Q6W7zRpK1alaroquypCqtiVCuLsOnZjyfZYttukPAC8AScu3HmuPgdjp+ki4IS42GPP&#10;/zffLG47o8lR+KDAVnQ8KikRlkOt7L6iH96vX8woCZHZmmmwoqInEejt8vmzRevmYgIN6Fp4gkFs&#10;mLeuok2Mbl4UgTfCsDACJywqJXjDIj79vqg9azG60cWkLG+KFnztPHARAv7e90q6zPGlFDw+SBlE&#10;JLqiWFvMp8/nLp3FcsHme89co/ilDPYPVRimLCa9hrpnkZGDV3+EMop7CCDjiIMpQErFRe4BuxmX&#10;v3WzbZgTuRcEJ7grTOH/heXvjo+eqLqiU0osMzii89cv528/zt8/k2mCp3VhjlZbh3axew0djnn4&#10;D/iZuu6kN+nGfgjqEejTFVzRRcKT02wym5Wo4qibTMpXs4x+8eTtfIhvBBiShIp6HF7GlB03IWIl&#10;aDqYpGQW1krrPEBtSVvRm+nLMjtcNeihbbIVmQqXMKmjvvIkxW7XXdrcQX3CLj30NAmOrxWWsmEh&#10;PjKPvMDqkevxAQ+pAVPCRaKkAf/pb//JHseFWkpa5FlFLS4CJfqtxTEmSg6CH4TdINiDuQMk7hh3&#10;yPEsooOPehClB/MRF2CVcqCKWY6ZKhoH8S72XMcF4mK1ykZIPMfixm4dT6F7KFeHCFJllBMoPRII&#10;eXog9TL4lzVJ3P71na2elnn5E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IgEAABbQ29udGVudF9UeXBlc10ueG1sUEsBAhQACgAAAAAAh07iQAAA&#10;AAAAAAAAAAAAAAYAAAAAAAAAAAAQAAAAagMAAF9yZWxzL1BLAQIUABQAAAAIAIdO4kCKFGY80QAA&#10;AJQBAAALAAAAAAAAAAEAIAAAAI4DAABfcmVscy8ucmVsc1BLAQIUAAoAAAAAAIdO4kAAAAAAAAAA&#10;AAAAAAAEAAAAAAAAAAAAEAAAAAAAAABkcnMvUEsBAhQAFAAAAAgAh07iQHgNVFTYAAAACgEAAA8A&#10;AAAAAAAAAQAgAAAAIgAAAGRycy9kb3ducmV2LnhtbFBLAQIUABQAAAAIAIdO4kBbc1QQFwIAABQE&#10;AAAOAAAAAAAAAAEAIAAAACcBAABkcnMvZTJvRG9jLnhtbFBLBQYAAAAABgAGAFkBAACwBQAAAAA=&#10;">
              <v:fill on="f" focussize="0,0"/>
              <v:stroke on="f" weight="0.5pt"/>
              <v:imagedata o:title=""/>
              <o:lock v:ext="edit" aspectratio="f"/>
              <v:textbox inset="0mm,0mm,0mm,0mm">
                <w:txbxContent>
                  <w:p>
                    <w:pPr>
                      <w:pStyle w:val="2"/>
                      <w:jc w:val="both"/>
                      <w:rPr>
                        <w:rFonts w:hint="default" w:cs="宋体"/>
                      </w:rPr>
                    </w:pPr>
                    <w:r>
                      <w:rPr>
                        <w:rFonts w:cs="宋体"/>
                      </w:rPr>
                      <w:t>— 27.1 —</w:t>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jc w:val="both"/>
      <w:rPr>
        <w:rFonts w:hint="default"/>
      </w:rPr>
    </w:pPr>
    <w:r>
      <mc:AlternateContent>
        <mc:Choice Requires="wps">
          <w:drawing>
            <wp:anchor distT="0" distB="0" distL="114300" distR="114300" simplePos="0" relativeHeight="251660288" behindDoc="0" locked="0" layoutInCell="1" allowOverlap="0">
              <wp:simplePos x="0" y="0"/>
              <wp:positionH relativeFrom="margin">
                <wp:align>center</wp:align>
              </wp:positionH>
              <wp:positionV relativeFrom="paragraph">
                <wp:posOffset>0</wp:posOffset>
              </wp:positionV>
              <wp:extent cx="1828800" cy="1828800"/>
              <wp:effectExtent l="0" t="0" r="0" b="0"/>
              <wp:wrapNone/>
              <wp:docPr id="127" name="文本框 12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2"/>
                            <w:rPr>
                              <w:rFonts w:hint="default"/>
                            </w:rPr>
                          </w:pPr>
                          <w:r>
                            <w:t xml:space="preserve"> </w:t>
                          </w:r>
                          <w:r>
                            <w:fldChar w:fldCharType="begin"/>
                          </w:r>
                          <w:r>
                            <w:instrText xml:space="preserve">PAGE   \* MERGEFORMAT</w:instrText>
                          </w:r>
                          <w:r>
                            <w:fldChar w:fldCharType="separate"/>
                          </w:r>
                          <w:r>
                            <w:rPr>
                              <w:rFonts w:hint="default"/>
                              <w:lang w:val="zh-CN"/>
                            </w:rPr>
                            <w:t>28</w:t>
                          </w:r>
                          <w:r>
                            <w:fldChar w:fldCharType="end"/>
                          </w:r>
                          <w: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allowoverlap="f"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D4MYkXAgAAGQQAAA4AAABkcnMvZTJvRG9jLnhtbK1TzY7TMBC+I/EO&#10;lu80aRFLVTVdlV0VIVXsSgVxdh2nieQ/2W6T8gDwBpy4cN/n6nPw2Wm6q4UT4mKPZ8bz88038+tO&#10;SXIQzjdGF3Q8yikRmpuy0buCfv60ejWlxAemSyaNFgU9Ck+vFy9fzFs7ExNTG1kKRxBE+1lrC1qH&#10;YGdZ5nktFPMjY4WGsTJOsYCn22WlYy2iK5lN8vwqa40rrTNceA/tbW+kixS/qgQPd1XlRSCyoKgt&#10;pNOlcxvPbDFns51jtm74uQz2D1Uo1mgkvYS6ZYGRvWv+CKUa7ow3VRhxozJTVQ0XqQd0M86fdbOp&#10;mRWpF4Dj7QUm///C8o+He0eaErObvKVEM4UhnX58P/18OP36RqISELXWz+C5sfAN3TvTwX3Qeyhj&#10;513lVLzRE4EdYB8vAIsuEB4/TSfTaQ4Th214IH72+N06H94Lo0gUCuowwQQsO6x96F0Hl5hNm1Uj&#10;ZZqi1KQt6NXrN3n6cLEguNTRVyQ+nMPElvrSoxS6bXfuc2vKI9p0pueKt3zVoJQ18+GeOZAD5YPw&#10;4Q5HJQ1SmrNESW3c17/poz9mBislLchWUI1toER+0Jhl5OUguEHYDoLeqxsD9o6xSJYnER9ckINY&#10;OaO+YAuWMQdMTHNkKmgYxJvQEx5bxMVymZzAPsvCWm8sj6EjPN4u9wFwJpQjKD0SmE58gH9pTudd&#10;iQR/+k5ejxu9+A1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ABAAAW0NvbnRlbnRfVHlwZXNdLnhtbFBLAQIUAAoAAAAAAIdO4kAAAAAAAAAAAAAA&#10;AAAGAAAAAAAAAAAAEAAAAGIDAABfcmVscy9QSwECFAAUAAAACACHTuJAihRmPNEAAACUAQAACwAA&#10;AAAAAAABACAAAACGAwAAX3JlbHMvLnJlbHNQSwECFAAKAAAAAACHTuJAAAAAAAAAAAAAAAAABAAA&#10;AAAAAAAAABAAAAAAAAAAZHJzL1BLAQIUABQAAAAIAIdO4kCzSVju0AAAAAUBAAAPAAAAAAAAAAEA&#10;IAAAACIAAABkcnMvZG93bnJldi54bWxQSwECFAAUAAAACACHTuJAsPgxiRcCAAAZBAAADgAAAAAA&#10;AAABACAAAAAfAQAAZHJzL2Uyb0RvYy54bWxQSwUGAAAAAAYABgBZAQAAqAUAAAAA&#10;">
              <v:fill on="f" focussize="0,0"/>
              <v:stroke on="f" weight="0.5pt"/>
              <v:imagedata o:title=""/>
              <o:lock v:ext="edit" aspectratio="f"/>
              <v:textbox inset="0mm,0mm,0mm,0mm" style="mso-fit-shape-to-text:t;">
                <w:txbxContent>
                  <w:p>
                    <w:pPr>
                      <w:pStyle w:val="2"/>
                      <w:rPr>
                        <w:rFonts w:hint="default"/>
                      </w:rPr>
                    </w:pPr>
                    <w:r>
                      <w:t xml:space="preserve"> </w:t>
                    </w:r>
                    <w:r>
                      <w:fldChar w:fldCharType="begin"/>
                    </w:r>
                    <w:r>
                      <w:instrText xml:space="preserve">PAGE   \* MERGEFORMAT</w:instrText>
                    </w:r>
                    <w:r>
                      <w:fldChar w:fldCharType="separate"/>
                    </w:r>
                    <w:r>
                      <w:rPr>
                        <w:rFonts w:hint="default"/>
                        <w:lang w:val="zh-CN"/>
                      </w:rPr>
                      <w:t>28</w:t>
                    </w:r>
                    <w:r>
                      <w:fldChar w:fldCharType="end"/>
                    </w:r>
                    <w:r>
                      <w:t xml:space="preserve"> </w:t>
                    </w:r>
                  </w:p>
                </w:txbxContent>
              </v:textbox>
            </v:shape>
          </w:pict>
        </mc:Fallback>
      </mc:AlternateContent>
    </w:r>
    <w:r>
      <mc:AlternateContent>
        <mc:Choice Requires="wps">
          <w:drawing>
            <wp:anchor distT="0" distB="0" distL="114300" distR="114300" simplePos="0" relativeHeight="251659264" behindDoc="0" locked="0" layoutInCell="1" allowOverlap="0">
              <wp:simplePos x="0" y="0"/>
              <wp:positionH relativeFrom="margin">
                <wp:align>center</wp:align>
              </wp:positionH>
              <wp:positionV relativeFrom="page">
                <wp:posOffset>14737080</wp:posOffset>
              </wp:positionV>
              <wp:extent cx="1828800" cy="220980"/>
              <wp:effectExtent l="0" t="0" r="0" b="0"/>
              <wp:wrapNone/>
              <wp:docPr id="126" name="文本框 126"/>
              <wp:cNvGraphicFramePr/>
              <a:graphic xmlns:a="http://schemas.openxmlformats.org/drawingml/2006/main">
                <a:graphicData uri="http://schemas.microsoft.com/office/word/2010/wordprocessingShape">
                  <wps:wsp>
                    <wps:cNvSpPr txBox="1"/>
                    <wps:spPr>
                      <a:xfrm>
                        <a:off x="0" y="0"/>
                        <a:ext cx="1828800" cy="220980"/>
                      </a:xfrm>
                      <a:prstGeom prst="rect">
                        <a:avLst/>
                      </a:prstGeom>
                      <a:noFill/>
                      <a:ln w="6350">
                        <a:noFill/>
                      </a:ln>
                      <a:effectLst/>
                    </wps:spPr>
                    <wps:txbx>
                      <w:txbxContent>
                        <w:p>
                          <w:pPr>
                            <w:pStyle w:val="2"/>
                            <w:jc w:val="both"/>
                            <w:rPr>
                              <w:rFonts w:hint="default" w:cs="宋体"/>
                            </w:rPr>
                          </w:pPr>
                          <w:r>
                            <w:rPr>
                              <w:rFonts w:cs="宋体"/>
                            </w:rPr>
                            <w:t>— 27.1 —</w:t>
                          </w:r>
                        </w:p>
                      </w:txbxContent>
                    </wps:txbx>
                    <wps:bodyPr rot="0" spcFirstLastPara="0" vertOverflow="overflow" horzOverflow="overflow" vert="horz" wrap="none" lIns="0" tIns="0" rIns="0" bIns="0" numCol="1" spcCol="0" rtlCol="0" fromWordArt="0" anchor="t" anchorCtr="0" forceAA="0" compatLnSpc="1">
                      <a:noAutofit/>
                    </wps:bodyPr>
                  </wps:wsp>
                </a:graphicData>
              </a:graphic>
            </wp:anchor>
          </w:drawing>
        </mc:Choice>
        <mc:Fallback>
          <w:pict>
            <v:shape id="_x0000_s1026" o:spid="_x0000_s1026" o:spt="202" type="#_x0000_t202" style="position:absolute;left:0pt;margin-top:1160.4pt;height:17.4pt;width:144pt;mso-position-horizontal:center;mso-position-horizontal-relative:margin;mso-position-vertical-relative:page;mso-wrap-style:none;z-index:251659264;mso-width-relative:page;mso-height-relative:page;" filled="f" stroked="f" coordsize="21600,21600" o:allowoverlap="f" o:gfxdata="UEsDBAoAAAAAAIdO4kAAAAAAAAAAAAAAAAAEAAAAZHJzL1BLAwQUAAAACACHTuJAeA1UVNgAAAAK&#10;AQAADwAAAGRycy9kb3ducmV2LnhtbE2PwU7DMBBE70j8g7WVuFG7gVRRiFMhJHrh1FCQuLmxm0S1&#10;15HtNoGvZ3uC486MZudVm9lZdjEhDh4lrJYCmMHW6wE7Cfv31/sCWEwKtbIejYRvE2FT395UqtR+&#10;wp25NKljVIKxVBL6lMaS89j2xqm49KNB8o4+OJXoDB3XQU1U7izPhFhzpwakD70azUtv2lNzdhK2&#10;88/n41v4SrZRuzb/cM/dcTtJebdYiSdgyczpLwzX+TQdatp08GfUkVkJBJIkZA+ZIALys6Ig6XCV&#10;8nwNvK74f4T6F1BLAwQUAAAACACHTuJAbzNtHRkCAAAYBAAADgAAAGRycy9lMm9Eb2MueG1srVPN&#10;jtMwEL4j8Q6W7zRpEFWJmq7KroqQKnalgji7jt1Esj2W7TYpDwBvwIkL932uPgdjp+ki4IS4OJP5&#10;n2++Wdz0WpGjcL4FU9HpJKdEGA51a/YV/fhh/WJOiQ/M1EyBERU9CU9vls+fLTpbigIaULVwBJMY&#10;X3a2ok0ItswyzxuhmZ+AFQaNEpxmAX/dPqsd6zC7VlmR57OsA1dbB1x4j9q7wUiXKb+Ugod7Kb0I&#10;RFUUewvpdendxTdbLli5d8w2Lb+0wf6hC81ag0Wvqe5YYOTg2j9S6ZY78CDDhIPOQMqWizQDTjPN&#10;f5tm2zAr0iwIjrdXmPz/S8vfHx8caWvcXTGjxDCNSzp/+3r+/nj+8YVEJULUWV+i59aib+jfQI/u&#10;o96jMk7eS6fjF2ciaEewT1eARR8Ij0HzYj7P0cTRVhT563naQPYUbZ0PbwVoEoWKOlxgwpUdNz5g&#10;J+g6usRiBtatUmmJypCuorOXr/IUcLVghDLRVyQ6XNLEiYbOoxT6XX8Zcwf1Cad0MFDFW75usZUN&#10;8+GBOeQGdo98D/f4SAVYEi4SJQ24z3/TR39cGVop6ZBrFTV4DJSodwZXGWk5Cm4UdqNgDvoWkLxT&#10;vCPLk4gBLqhRlA70JzyCVayBJmY4VqpoGMXbMPAdj4iL1So5IfksCxuztTymHqBcHQLINqEcQRmQ&#10;QMjjD9IvgX85lcjvX/+T19NBL38C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igQAAFtDb250ZW50X1R5cGVzXS54bWxQSwECFAAKAAAAAACHTuJA&#10;AAAAAAAAAAAAAAAABgAAAAAAAAAAABAAAABsAwAAX3JlbHMvUEsBAhQAFAAAAAgAh07iQIoUZjzR&#10;AAAAlAEAAAsAAAAAAAAAAQAgAAAAkAMAAF9yZWxzLy5yZWxzUEsBAhQACgAAAAAAh07iQAAAAAAA&#10;AAAAAAAAAAQAAAAAAAAAAAAQAAAAAAAAAGRycy9QSwECFAAUAAAACACHTuJAeA1UVNgAAAAKAQAA&#10;DwAAAAAAAAABACAAAAAiAAAAZHJzL2Rvd25yZXYueG1sUEsBAhQAFAAAAAgAh07iQG8zbR0ZAgAA&#10;GAQAAA4AAAAAAAAAAQAgAAAAJwEAAGRycy9lMm9Eb2MueG1sUEsFBgAAAAAGAAYAWQEAALIFAAAA&#10;AA==&#10;">
              <v:fill on="f" focussize="0,0"/>
              <v:stroke on="f" weight="0.5pt"/>
              <v:imagedata o:title=""/>
              <o:lock v:ext="edit" aspectratio="f"/>
              <v:textbox inset="0mm,0mm,0mm,0mm">
                <w:txbxContent>
                  <w:p>
                    <w:pPr>
                      <w:pStyle w:val="2"/>
                      <w:jc w:val="both"/>
                      <w:rPr>
                        <w:rFonts w:hint="default" w:cs="宋体"/>
                      </w:rPr>
                    </w:pPr>
                    <w:r>
                      <w:rPr>
                        <w:rFonts w:cs="宋体"/>
                      </w:rPr>
                      <w:t>— 27.1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tabs>
        <w:tab w:val="left" w:pos="1758"/>
        <w:tab w:val="clear" w:pos="4153"/>
        <w:tab w:val="clear" w:pos="8306"/>
      </w:tabs>
      <w:rPr>
        <w:rFonts w:hint="default"/>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tabs>
        <w:tab w:val="left" w:pos="1758"/>
        <w:tab w:val="clear" w:pos="4153"/>
        <w:tab w:val="clear" w:pos="8306"/>
      </w:tabs>
      <w:rPr>
        <w:rFonts w:hint="default"/>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73E7D1C"/>
    <w:multiLevelType w:val="singleLevel"/>
    <w:tmpl w:val="473E7D1C"/>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GQwYWQ1YTE0ZDA0NjgxYzlhMjZlMDExNTFmMWI3MmEifQ=="/>
  </w:docVars>
  <w:rsids>
    <w:rsidRoot w:val="00B03CCD"/>
    <w:rsid w:val="00550ABE"/>
    <w:rsid w:val="007B419D"/>
    <w:rsid w:val="009B67B8"/>
    <w:rsid w:val="00B03CCD"/>
    <w:rsid w:val="00FE7556"/>
    <w:rsid w:val="01474EBF"/>
    <w:rsid w:val="01F3521E"/>
    <w:rsid w:val="03E3214F"/>
    <w:rsid w:val="04446191"/>
    <w:rsid w:val="044C50BA"/>
    <w:rsid w:val="06A2550B"/>
    <w:rsid w:val="06F80EE2"/>
    <w:rsid w:val="07001CCA"/>
    <w:rsid w:val="075678DB"/>
    <w:rsid w:val="08051BCA"/>
    <w:rsid w:val="08887FC5"/>
    <w:rsid w:val="08BA052C"/>
    <w:rsid w:val="08DB07BA"/>
    <w:rsid w:val="098305D0"/>
    <w:rsid w:val="09B72B6E"/>
    <w:rsid w:val="0A3851D8"/>
    <w:rsid w:val="0A5C4B69"/>
    <w:rsid w:val="0AEC3BC7"/>
    <w:rsid w:val="0B9335CE"/>
    <w:rsid w:val="0C7927C4"/>
    <w:rsid w:val="0C9B098C"/>
    <w:rsid w:val="0D11728C"/>
    <w:rsid w:val="0D673E11"/>
    <w:rsid w:val="0DB50EFE"/>
    <w:rsid w:val="0DDA54E4"/>
    <w:rsid w:val="0E3A5F83"/>
    <w:rsid w:val="0F836721"/>
    <w:rsid w:val="103645A3"/>
    <w:rsid w:val="107B59E5"/>
    <w:rsid w:val="11003CB0"/>
    <w:rsid w:val="111445C7"/>
    <w:rsid w:val="1158083A"/>
    <w:rsid w:val="11F03528"/>
    <w:rsid w:val="12C921C4"/>
    <w:rsid w:val="137349B9"/>
    <w:rsid w:val="13850DCB"/>
    <w:rsid w:val="13871C70"/>
    <w:rsid w:val="13A71CB4"/>
    <w:rsid w:val="13AF1D43"/>
    <w:rsid w:val="13CE1647"/>
    <w:rsid w:val="141A11EA"/>
    <w:rsid w:val="14200702"/>
    <w:rsid w:val="148E377E"/>
    <w:rsid w:val="1580711B"/>
    <w:rsid w:val="189B0D0B"/>
    <w:rsid w:val="194A1770"/>
    <w:rsid w:val="19917D9C"/>
    <w:rsid w:val="19B906A4"/>
    <w:rsid w:val="1A1F744B"/>
    <w:rsid w:val="1A4854EC"/>
    <w:rsid w:val="1B6F15B6"/>
    <w:rsid w:val="1BAA2EDC"/>
    <w:rsid w:val="1CE157EE"/>
    <w:rsid w:val="1D014A01"/>
    <w:rsid w:val="1D022362"/>
    <w:rsid w:val="1DD26311"/>
    <w:rsid w:val="1ED133AE"/>
    <w:rsid w:val="1EF67CA4"/>
    <w:rsid w:val="1FCD26AF"/>
    <w:rsid w:val="20642787"/>
    <w:rsid w:val="21556F04"/>
    <w:rsid w:val="22403BD3"/>
    <w:rsid w:val="24B92327"/>
    <w:rsid w:val="2533755C"/>
    <w:rsid w:val="26396DF4"/>
    <w:rsid w:val="27167136"/>
    <w:rsid w:val="27B23302"/>
    <w:rsid w:val="29310A5F"/>
    <w:rsid w:val="29C37A35"/>
    <w:rsid w:val="29C95E09"/>
    <w:rsid w:val="2A076083"/>
    <w:rsid w:val="2A73162E"/>
    <w:rsid w:val="2B167953"/>
    <w:rsid w:val="2B200583"/>
    <w:rsid w:val="2B8209DE"/>
    <w:rsid w:val="2C161D32"/>
    <w:rsid w:val="2C2D3EC7"/>
    <w:rsid w:val="2C6762A3"/>
    <w:rsid w:val="2D8D2A49"/>
    <w:rsid w:val="2FE029D7"/>
    <w:rsid w:val="2FF06E00"/>
    <w:rsid w:val="315D199F"/>
    <w:rsid w:val="315F0B22"/>
    <w:rsid w:val="31D84415"/>
    <w:rsid w:val="32285F6F"/>
    <w:rsid w:val="32770556"/>
    <w:rsid w:val="329C0913"/>
    <w:rsid w:val="3337290D"/>
    <w:rsid w:val="352930DB"/>
    <w:rsid w:val="35573069"/>
    <w:rsid w:val="358C217E"/>
    <w:rsid w:val="359F188C"/>
    <w:rsid w:val="362D2433"/>
    <w:rsid w:val="36C9128A"/>
    <w:rsid w:val="37841E99"/>
    <w:rsid w:val="37BF1123"/>
    <w:rsid w:val="37F26E25"/>
    <w:rsid w:val="38BE4696"/>
    <w:rsid w:val="39166507"/>
    <w:rsid w:val="39B82A39"/>
    <w:rsid w:val="39F33306"/>
    <w:rsid w:val="3B1705E5"/>
    <w:rsid w:val="3B18334B"/>
    <w:rsid w:val="3B36794F"/>
    <w:rsid w:val="3B544954"/>
    <w:rsid w:val="3BF014AD"/>
    <w:rsid w:val="3C6A5B02"/>
    <w:rsid w:val="3D2757A1"/>
    <w:rsid w:val="3D3D4FC4"/>
    <w:rsid w:val="3DDF3AB1"/>
    <w:rsid w:val="3DE60B7E"/>
    <w:rsid w:val="3E1D0952"/>
    <w:rsid w:val="3E247234"/>
    <w:rsid w:val="3E42660A"/>
    <w:rsid w:val="3E7555B1"/>
    <w:rsid w:val="3F0527E5"/>
    <w:rsid w:val="3F16459E"/>
    <w:rsid w:val="3F3617F2"/>
    <w:rsid w:val="3FDE15A7"/>
    <w:rsid w:val="4004000C"/>
    <w:rsid w:val="40FD5440"/>
    <w:rsid w:val="411B6CE5"/>
    <w:rsid w:val="412070D7"/>
    <w:rsid w:val="41314E40"/>
    <w:rsid w:val="4142353C"/>
    <w:rsid w:val="415C674B"/>
    <w:rsid w:val="426C1EA8"/>
    <w:rsid w:val="42E86A87"/>
    <w:rsid w:val="43136432"/>
    <w:rsid w:val="43770A38"/>
    <w:rsid w:val="443A3B12"/>
    <w:rsid w:val="44A854C2"/>
    <w:rsid w:val="44DD597D"/>
    <w:rsid w:val="465B470D"/>
    <w:rsid w:val="469D6AD4"/>
    <w:rsid w:val="47674801"/>
    <w:rsid w:val="48225EF7"/>
    <w:rsid w:val="495C4A24"/>
    <w:rsid w:val="4AD70EE7"/>
    <w:rsid w:val="4B7951CB"/>
    <w:rsid w:val="4B7C315C"/>
    <w:rsid w:val="4BAB7F90"/>
    <w:rsid w:val="4DAC4ACA"/>
    <w:rsid w:val="4F186D58"/>
    <w:rsid w:val="50EC262C"/>
    <w:rsid w:val="522F6E0C"/>
    <w:rsid w:val="52463BA1"/>
    <w:rsid w:val="53C0244D"/>
    <w:rsid w:val="53DD4D4E"/>
    <w:rsid w:val="53E578CE"/>
    <w:rsid w:val="543B029D"/>
    <w:rsid w:val="545D0246"/>
    <w:rsid w:val="554E5773"/>
    <w:rsid w:val="555A3CBC"/>
    <w:rsid w:val="56530F5D"/>
    <w:rsid w:val="5842572D"/>
    <w:rsid w:val="5AE75037"/>
    <w:rsid w:val="5B58571C"/>
    <w:rsid w:val="5B8376C2"/>
    <w:rsid w:val="5B96133A"/>
    <w:rsid w:val="5C1336B7"/>
    <w:rsid w:val="5C263CE4"/>
    <w:rsid w:val="5C5D2777"/>
    <w:rsid w:val="5D290C69"/>
    <w:rsid w:val="5D537F41"/>
    <w:rsid w:val="5EFA176D"/>
    <w:rsid w:val="5F0247F9"/>
    <w:rsid w:val="5F2D4A41"/>
    <w:rsid w:val="601C34ED"/>
    <w:rsid w:val="60A958A9"/>
    <w:rsid w:val="60D22ADB"/>
    <w:rsid w:val="61025A59"/>
    <w:rsid w:val="613D5BBC"/>
    <w:rsid w:val="61536C39"/>
    <w:rsid w:val="62944DD7"/>
    <w:rsid w:val="634D1435"/>
    <w:rsid w:val="63C25DC5"/>
    <w:rsid w:val="63C62057"/>
    <w:rsid w:val="63C73832"/>
    <w:rsid w:val="64FB113D"/>
    <w:rsid w:val="656152C6"/>
    <w:rsid w:val="6587477F"/>
    <w:rsid w:val="658C3A08"/>
    <w:rsid w:val="65C031CA"/>
    <w:rsid w:val="65CE6852"/>
    <w:rsid w:val="66267C04"/>
    <w:rsid w:val="663F505A"/>
    <w:rsid w:val="665C1999"/>
    <w:rsid w:val="667F2393"/>
    <w:rsid w:val="66EE5541"/>
    <w:rsid w:val="692172FD"/>
    <w:rsid w:val="6A3829EE"/>
    <w:rsid w:val="6B474EF5"/>
    <w:rsid w:val="6C560CAE"/>
    <w:rsid w:val="6D0615E4"/>
    <w:rsid w:val="6D903FF5"/>
    <w:rsid w:val="6D9751C7"/>
    <w:rsid w:val="6DA955B8"/>
    <w:rsid w:val="6DE346AB"/>
    <w:rsid w:val="6F7F6A2D"/>
    <w:rsid w:val="6FB442D1"/>
    <w:rsid w:val="6FFB2E76"/>
    <w:rsid w:val="71C34D91"/>
    <w:rsid w:val="71ED38AA"/>
    <w:rsid w:val="720229AA"/>
    <w:rsid w:val="72DB435C"/>
    <w:rsid w:val="750837F0"/>
    <w:rsid w:val="764F62AB"/>
    <w:rsid w:val="765C45EC"/>
    <w:rsid w:val="768A7619"/>
    <w:rsid w:val="76E14979"/>
    <w:rsid w:val="77EA362A"/>
    <w:rsid w:val="7875383E"/>
    <w:rsid w:val="796D60A4"/>
    <w:rsid w:val="79A031D5"/>
    <w:rsid w:val="7A1525F7"/>
    <w:rsid w:val="7A3E6CB6"/>
    <w:rsid w:val="7A680D2D"/>
    <w:rsid w:val="7B420052"/>
    <w:rsid w:val="7BD06A28"/>
    <w:rsid w:val="7C1E4CD7"/>
    <w:rsid w:val="7C3A7C0B"/>
    <w:rsid w:val="7C5248E4"/>
    <w:rsid w:val="7C566698"/>
    <w:rsid w:val="7FA960B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99"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99"/>
    <w:rPr>
      <w:rFonts w:hint="eastAsia" w:ascii="宋体" w:hAnsi="宋体" w:eastAsia="宋体" w:cs="Times New Roman"/>
      <w:sz w:val="24"/>
      <w:szCs w:val="24"/>
      <w:lang w:val="en-US" w:eastAsia="zh-CN" w:bidi="ar-SA"/>
    </w:rPr>
  </w:style>
  <w:style w:type="character" w:default="1" w:styleId="7">
    <w:name w:val="Default Paragraph Font"/>
    <w:unhideWhenUsed/>
    <w:qFormat/>
    <w:uiPriority w:val="1"/>
  </w:style>
  <w:style w:type="table" w:default="1" w:styleId="6">
    <w:name w:val="Normal Table"/>
    <w:unhideWhenUsed/>
    <w:qFormat/>
    <w:uiPriority w:val="99"/>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pPr>
    <w:rPr>
      <w:sz w:val="18"/>
      <w:szCs w:val="18"/>
    </w:rPr>
  </w:style>
  <w:style w:type="paragraph" w:styleId="3">
    <w:name w:val="header"/>
    <w:basedOn w:val="1"/>
    <w:qFormat/>
    <w:uiPriority w:val="0"/>
    <w:pPr>
      <w:tabs>
        <w:tab w:val="center" w:pos="4153"/>
        <w:tab w:val="right" w:pos="8306"/>
      </w:tabs>
      <w:snapToGrid w:val="0"/>
      <w:jc w:val="center"/>
    </w:pPr>
    <w:rPr>
      <w:sz w:val="18"/>
      <w:szCs w:val="18"/>
    </w:rPr>
  </w:style>
  <w:style w:type="paragraph" w:styleId="4">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style>
  <w:style w:type="paragraph" w:styleId="5">
    <w:name w:val="Normal (Web)"/>
    <w:basedOn w:val="1"/>
    <w:unhideWhenUsed/>
    <w:qFormat/>
    <w:uiPriority w:val="0"/>
    <w:pPr>
      <w:spacing w:before="100" w:beforeAutospacing="1" w:after="100" w:afterAutospacing="1"/>
    </w:pPr>
  </w:style>
  <w:style w:type="character" w:styleId="8">
    <w:name w:val="Strong"/>
    <w:qFormat/>
    <w:uiPriority w:val="0"/>
    <w:rPr>
      <w:b/>
    </w:rPr>
  </w:style>
  <w:style w:type="paragraph" w:customStyle="1" w:styleId="9">
    <w:name w:val="列出段落1"/>
    <w:basedOn w:val="1"/>
    <w:qFormat/>
    <w:uiPriority w:val="99"/>
    <w:pPr>
      <w:ind w:firstLine="420" w:firstLineChars="200"/>
    </w:pPr>
    <w:rPr>
      <w:rFonts w:hint="default"/>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28</Pages>
  <Words>7711</Words>
  <Characters>21008</Characters>
  <Lines>161</Lines>
  <Paragraphs>45</Paragraphs>
  <TotalTime>0</TotalTime>
  <ScaleCrop>false</ScaleCrop>
  <LinksUpToDate>false</LinksUpToDate>
  <CharactersWithSpaces>21460</CharactersWithSpaces>
  <Application>WPS Office_11.1.0.9208_F1E327BC-269C-435d-A152-05C5408002CA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2024-07-11T02:00:00Z</dcterms:created>
  <dc:creator>Administrator</dc:creator>
  <cp:lastModifiedBy>Administrator</cp:lastModifiedBy>
  <dcterms:modified xsi:type="dcterms:W3CDTF">2025-10-15T02:24:43Z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2052-11.1.0.9208</vt:lpwstr>
  </property>
  <property fmtid="{D5CDD505-2E9C-101B-9397-08002B2CF9AE}" pid="3" name="ICV">
    <vt:lpwstr>BB46EABDBB2749749395447164B066B3_12</vt:lpwstr>
  </property>
</Properties>
</file>