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石柱土家族自治县康养发展促进中心</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spacing w:line="600" w:lineRule="exact"/>
        <w:ind w:firstLine="640" w:firstLineChars="200"/>
        <w:rPr>
          <w:rFonts w:hint="eastAsia"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1.承担统筹拟订全县康养产业发展专项规划，审定“六养”重点建设项目年度计划，并督促检查项目实施。</w:t>
      </w:r>
    </w:p>
    <w:p>
      <w:pPr>
        <w:spacing w:line="600" w:lineRule="exact"/>
        <w:ind w:firstLine="640" w:firstLineChars="200"/>
        <w:rPr>
          <w:rFonts w:hint="eastAsia"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2.承担拟订康养产业发展专项规划、“六养”重点项目建设年度计划并监督、检查、指导项目实施的事务性工作；统筹协调推进康养产业发展；牵头拟订康养产业体系标准、打造康养品牌；承担县校合作等职责。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石柱土家族自治县康养发展促进中心</w:t>
      </w:r>
      <w:r>
        <w:rPr>
          <w:rFonts w:hint="eastAsia" w:ascii="Times New Roman" w:hAnsi="Times New Roman" w:eastAsia="方正仿宋_GBK"/>
          <w:color w:val="auto"/>
          <w:sz w:val="32"/>
          <w:szCs w:val="32"/>
          <w:shd w:val="clear" w:color="auto" w:fill="FFFFFF"/>
        </w:rPr>
        <w:t>为县发展和改革委员会管理的正科级财政全额拨款公益一类事业单位。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收、支与2023年度相比，减少4.08万元，下降1.9%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年中人员调出</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人导致减少</w:t>
      </w:r>
      <w:r>
        <w:rPr>
          <w:rFonts w:hint="eastAsia" w:ascii="Times New Roman" w:hAnsi="Times New Roman" w:eastAsia="方正仿宋_GBK"/>
          <w:color w:val="auto"/>
          <w:sz w:val="32"/>
          <w:szCs w:val="32"/>
          <w:shd w:val="clear" w:color="auto" w:fill="FFFFFF"/>
          <w:lang w:val="en-US" w:eastAsia="zh-CN"/>
        </w:rPr>
        <w:t>4.08</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与2023年度相比，减少4.08万元，下降1.9%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年中人员调出</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人导致减少</w:t>
      </w:r>
      <w:r>
        <w:rPr>
          <w:rFonts w:hint="eastAsia" w:ascii="Times New Roman" w:hAnsi="Times New Roman" w:eastAsia="方正仿宋_GBK"/>
          <w:color w:val="auto"/>
          <w:sz w:val="32"/>
          <w:szCs w:val="32"/>
          <w:shd w:val="clear" w:color="auto" w:fill="FFFFFF"/>
          <w:lang w:val="en-US" w:eastAsia="zh-CN"/>
        </w:rPr>
        <w:t>4.08</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widowControl/>
        <w:suppressLineNumbers w:val="0"/>
        <w:spacing w:before="0" w:beforeAutospacing="0" w:after="0" w:afterAutospacing="0" w:line="600" w:lineRule="atLeast"/>
        <w:ind w:left="0" w:right="0" w:firstLine="66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与2023年度相比，减少4.08万元，下降1.9%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年中人员调出</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人导致减少</w:t>
      </w:r>
      <w:r>
        <w:rPr>
          <w:rFonts w:hint="eastAsia" w:ascii="Times New Roman" w:hAnsi="Times New Roman" w:eastAsia="方正仿宋_GBK"/>
          <w:color w:val="auto"/>
          <w:sz w:val="32"/>
          <w:szCs w:val="32"/>
          <w:shd w:val="clear" w:color="auto" w:fill="FFFFFF"/>
          <w:lang w:val="en-US" w:eastAsia="zh-CN"/>
        </w:rPr>
        <w:t>4.08</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lang w:eastAsia="zh-CN"/>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财政拨款收、支总计各减少4.08万元，下降1.9%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年中人员调出</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人导致减少</w:t>
      </w:r>
      <w:r>
        <w:rPr>
          <w:rFonts w:hint="eastAsia" w:ascii="Times New Roman" w:hAnsi="Times New Roman" w:eastAsia="方正仿宋_GBK"/>
          <w:color w:val="auto"/>
          <w:sz w:val="32"/>
          <w:szCs w:val="32"/>
          <w:shd w:val="clear" w:color="auto" w:fill="FFFFFF"/>
          <w:lang w:val="en-US" w:eastAsia="zh-CN"/>
        </w:rPr>
        <w:t>4.08</w:t>
      </w:r>
      <w:r>
        <w:rPr>
          <w:rFonts w:hint="eastAsia" w:ascii="方正仿宋_GBK" w:hAnsi="方正仿宋_GBK" w:eastAsia="方正仿宋_GBK" w:cs="方正仿宋_GBK"/>
          <w:color w:val="auto"/>
          <w:sz w:val="32"/>
          <w:szCs w:val="32"/>
          <w:shd w:val="clear" w:color="auto" w:fill="FFFFFF"/>
          <w:lang w:val="en-US" w:eastAsia="zh-CN"/>
        </w:rPr>
        <w:t>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与2023年度相比，减少4.08万元，下降1.9%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w:t>
      </w:r>
      <w:r>
        <w:rPr>
          <w:rFonts w:hint="eastAsia" w:ascii="Times New Roman" w:hAnsi="Times New Roman" w:eastAsia="方正仿宋_GBK"/>
          <w:color w:val="auto"/>
          <w:sz w:val="32"/>
          <w:szCs w:val="32"/>
          <w:shd w:val="clear" w:color="auto" w:fill="FFFFFF"/>
          <w:lang w:eastAsia="zh-CN"/>
        </w:rPr>
        <w:t>人员调出</w:t>
      </w:r>
      <w:r>
        <w:rPr>
          <w:rFonts w:hint="eastAsia" w:ascii="Times New Roman" w:hAnsi="Times New Roman" w:eastAsia="方正仿宋_GBK"/>
          <w:color w:val="auto"/>
          <w:sz w:val="32"/>
          <w:szCs w:val="32"/>
          <w:shd w:val="clear" w:color="auto" w:fill="FFFFFF"/>
          <w:lang w:val="en-US" w:eastAsia="zh-CN"/>
        </w:rPr>
        <w:t>1人导致减少4.08万元</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较年初预算数增加24.79万元，增长13.3%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人员工资自然增长及事业单位人员社会保险基数调整增加导致增加</w:t>
      </w:r>
      <w:r>
        <w:rPr>
          <w:rFonts w:hint="eastAsia" w:ascii="Times New Roman" w:hAnsi="Times New Roman" w:eastAsia="方正仿宋_GBK"/>
          <w:color w:val="auto"/>
          <w:sz w:val="32"/>
          <w:szCs w:val="32"/>
          <w:shd w:val="clear" w:color="auto" w:fill="FFFFFF"/>
          <w:lang w:val="en-US" w:eastAsia="zh-CN"/>
        </w:rPr>
        <w:t>24.79</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与2023年度相比，减少4.08万元，下降1.9%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年中人员调出</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人导致减少</w:t>
      </w:r>
      <w:r>
        <w:rPr>
          <w:rFonts w:hint="eastAsia" w:ascii="Times New Roman" w:hAnsi="Times New Roman" w:eastAsia="方正仿宋_GBK"/>
          <w:color w:val="auto"/>
          <w:sz w:val="32"/>
          <w:szCs w:val="32"/>
          <w:shd w:val="clear" w:color="auto" w:fill="FFFFFF"/>
          <w:lang w:val="en-US" w:eastAsia="zh-CN"/>
        </w:rPr>
        <w:t>4.08</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较年初预算数增加24.79万元，增长13.3%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人员工资自然增长及事业单位人员社会保险基数调整增加导致增加</w:t>
      </w:r>
      <w:r>
        <w:rPr>
          <w:rFonts w:hint="eastAsia" w:ascii="Times New Roman" w:hAnsi="Times New Roman" w:eastAsia="方正仿宋_GBK"/>
          <w:color w:val="auto"/>
          <w:sz w:val="32"/>
          <w:szCs w:val="32"/>
          <w:shd w:val="clear" w:color="auto" w:fill="FFFFFF"/>
          <w:lang w:val="en-US" w:eastAsia="zh-CN"/>
        </w:rPr>
        <w:t>24.79</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165.10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78.4%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较年初预算数增加16.41万元，增长11.0%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在职人员工资自然增资导致增加。</w:t>
      </w:r>
    </w:p>
    <w:p>
      <w:pPr>
        <w:pStyle w:val="5"/>
        <w:numPr>
          <w:ilvl w:val="0"/>
          <w:numId w:val="1"/>
        </w:numPr>
        <w:snapToGrid w:val="0"/>
        <w:spacing w:before="0" w:beforeAutospacing="0" w:after="0" w:afterAutospacing="0" w:line="596" w:lineRule="exact"/>
        <w:ind w:left="0" w:leftChars="0"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26.90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12.8%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较年初预算数增加8.39万元，增长45.3%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事业单位人员社会保险基数调整增加导致增加</w:t>
      </w:r>
      <w:r>
        <w:rPr>
          <w:rFonts w:hint="eastAsia" w:ascii="方正仿宋_GBK" w:hAnsi="方正仿宋_GBK" w:eastAsia="方正仿宋_GBK" w:cs="方正仿宋_GBK"/>
          <w:color w:val="auto"/>
          <w:sz w:val="32"/>
          <w:szCs w:val="32"/>
          <w:shd w:val="clear" w:color="auto" w:fill="FFFFFF"/>
          <w:lang w:val="en-US" w:eastAsia="zh-CN"/>
        </w:rPr>
        <w:t>。</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9.43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9.26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210.68</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176.13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与2023年度相比，增加1.84万元，增长1.1%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事业单位社保政策变化导致基数增加</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、社会保障缴费、住房公积金、医疗费等。公用经费</w:t>
      </w:r>
      <w:r>
        <w:rPr>
          <w:rFonts w:hint="default" w:ascii="Times New Roman" w:hAnsi="Times New Roman" w:eastAsia="方正仿宋_GBK"/>
          <w:color w:val="auto"/>
          <w:sz w:val="32"/>
          <w:szCs w:val="32"/>
          <w:shd w:val="clear" w:color="auto" w:fill="FFFFFF"/>
        </w:rPr>
        <w:t>34.54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与2023年度相比，减少5.93万元，下降14.7%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严控一般性支出，厉行节约。</w:t>
      </w:r>
      <w:r>
        <w:rPr>
          <w:rFonts w:ascii="方正仿宋_GBK" w:hAnsi="方正仿宋_GBK" w:eastAsia="方正仿宋_GBK" w:cs="方正仿宋_GBK"/>
          <w:color w:val="auto"/>
          <w:sz w:val="32"/>
          <w:szCs w:val="32"/>
          <w:shd w:val="clear" w:color="auto" w:fill="FFFFFF"/>
        </w:rPr>
        <w:t>公用经费用途主要包括办公费、水费、电费、邮电费、差旅费、工会经费、其他商品和服务支出等</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w:t>
      </w:r>
      <w:r>
        <w:rPr>
          <w:rFonts w:hint="eastAsia" w:ascii="Times New Roman" w:hAnsi="Times New Roman" w:eastAsia="方正仿宋_GBK"/>
          <w:color w:val="auto"/>
          <w:sz w:val="32"/>
          <w:szCs w:val="32"/>
          <w:shd w:val="clear" w:color="auto" w:fill="FFFFFF"/>
          <w:lang w:eastAsia="zh-CN"/>
        </w:rPr>
        <w:t>单位</w:t>
      </w:r>
      <w:r>
        <w:rPr>
          <w:rFonts w:hint="default" w:ascii="Times New Roman" w:hAnsi="Times New Roman" w:eastAsia="方正仿宋_GBK"/>
          <w:color w:val="auto"/>
          <w:sz w:val="32"/>
          <w:szCs w:val="32"/>
          <w:shd w:val="clear" w:color="auto" w:fill="FFFFFF"/>
        </w:rPr>
        <w:t>2024年度无政府性基金预算财政拨款收支。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w:t>
      </w:r>
      <w:r>
        <w:rPr>
          <w:rFonts w:hint="eastAsia" w:ascii="Times New Roman" w:hAnsi="Times New Roman" w:eastAsia="方正仿宋_GBK"/>
          <w:color w:val="auto"/>
          <w:sz w:val="32"/>
          <w:szCs w:val="32"/>
          <w:shd w:val="clear" w:color="auto" w:fill="FFFFFF"/>
          <w:lang w:eastAsia="zh-CN"/>
        </w:rPr>
        <w:t>单位</w:t>
      </w:r>
      <w:r>
        <w:rPr>
          <w:rFonts w:hint="default" w:ascii="Times New Roman" w:hAnsi="Times New Roman" w:eastAsia="方正仿宋_GBK"/>
          <w:color w:val="auto"/>
          <w:sz w:val="32"/>
          <w:szCs w:val="32"/>
          <w:shd w:val="clear" w:color="auto" w:fill="FFFFFF"/>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较上年支出数减少1.60万元，下降100.0%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本年度“三公”经费纳入本级统筹，本单位无列支。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单位无</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eastAsia" w:ascii="Times New Roman" w:hAnsi="Times New Roman" w:eastAsia="方正仿宋_GBK"/>
          <w:color w:val="auto"/>
          <w:sz w:val="32"/>
          <w:szCs w:val="32"/>
          <w:shd w:val="clear" w:color="auto" w:fill="FFFFFF"/>
          <w:lang w:eastAsia="zh-CN"/>
        </w:rPr>
        <w:t>及</w:t>
      </w:r>
      <w:r>
        <w:rPr>
          <w:rFonts w:ascii="方正仿宋_GBK" w:hAnsi="方正仿宋_GBK" w:eastAsia="方正仿宋_GBK" w:cs="方正仿宋_GBK"/>
          <w:color w:val="auto"/>
          <w:sz w:val="32"/>
          <w:szCs w:val="32"/>
          <w:shd w:val="clear" w:color="auto" w:fill="FFFFFF"/>
        </w:rPr>
        <w:t>公务接待费。费用支出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本年度“三公”经费纳入本级统筹，本单位无列支。</w:t>
      </w:r>
      <w:r>
        <w:rPr>
          <w:rFonts w:hint="default" w:ascii="Times New Roman" w:hAnsi="Times New Roman" w:eastAsia="方正仿宋_GBK"/>
          <w:color w:val="auto"/>
          <w:sz w:val="32"/>
          <w:szCs w:val="32"/>
          <w:shd w:val="clear" w:color="auto" w:fill="FFFFFF"/>
        </w:rPr>
        <w:t>较上年支出数减少1.60万元，下降100.0%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本年度“三公”经费纳入本级统筹，本单位无列支。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单位无</w:t>
      </w:r>
      <w:r>
        <w:rPr>
          <w:rFonts w:hint="eastAsia" w:ascii="方正仿宋_GBK" w:hAnsi="方正仿宋_GBK" w:eastAsia="方正仿宋_GBK" w:cs="方正仿宋_GBK"/>
          <w:color w:val="auto"/>
          <w:sz w:val="32"/>
          <w:szCs w:val="32"/>
          <w:shd w:val="clear" w:color="auto" w:fill="FFFFFF"/>
        </w:rPr>
        <w:t>“三公”经费实物量</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本年度尚未列支康养大会相关会议支出</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与2023年度相比，无变化</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14.40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与2023年度相比，减少5.09万元，下降26.1%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厉行节约，压缩差旅成本。</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按照部门决算列报口径，我</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方正仿宋_GBK" w:hAnsi="方正仿宋_GBK" w:eastAsia="方正仿宋_GBK" w:cs="方正仿宋_GBK"/>
          <w:color w:val="auto"/>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因本单位属发改委下属事业单位，资产由本级统筹使用</w:t>
      </w:r>
      <w:r>
        <w:rPr>
          <w:rFonts w:hint="default"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故我单位不存在资产占有情况</w:t>
      </w:r>
      <w:r>
        <w:rPr>
          <w:rFonts w:hint="default"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lang w:val="en-US" w:eastAsia="zh-CN"/>
        </w:rPr>
        <w:t>2024</w:t>
      </w:r>
      <w:r>
        <w:rPr>
          <w:rFonts w:hint="default" w:ascii="方正仿宋_GBK" w:hAnsi="方正仿宋_GBK" w:eastAsia="方正仿宋_GBK" w:cs="方正仿宋_GBK"/>
          <w:color w:val="auto"/>
          <w:sz w:val="32"/>
          <w:szCs w:val="32"/>
          <w:shd w:val="clear" w:color="auto" w:fill="FFFFFF"/>
        </w:rPr>
        <w:t>年度我</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方正仿宋_GBK" w:hAnsi="方正仿宋_GBK" w:eastAsia="方正仿宋_GBK" w:cs="方正仿宋_GBK"/>
          <w:color w:val="auto"/>
          <w:sz w:val="32"/>
          <w:szCs w:val="32"/>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color w:val="auto"/>
          <w:sz w:val="32"/>
          <w:szCs w:val="32"/>
          <w:shd w:val="clear" w:color="auto" w:fill="FFFFFF"/>
          <w:lang w:val="en-US" w:eastAsia="zh-CN"/>
        </w:rPr>
      </w:pPr>
      <w:r>
        <w:rPr>
          <w:rStyle w:val="8"/>
          <w:rFonts w:hint="eastAsia" w:ascii="黑体" w:hAnsi="黑体" w:eastAsia="黑体" w:cs="黑体"/>
          <w:color w:val="auto"/>
          <w:sz w:val="32"/>
          <w:szCs w:val="32"/>
          <w:shd w:val="clear" w:color="auto" w:fill="FFFFFF"/>
          <w:lang w:val="en-US" w:eastAsia="zh-CN"/>
        </w:rPr>
        <w:t>五、预算绩效管理情况说明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本单位为发改委下属二级预算单位，预算绩效管理工作由发改委机关开展，我中心涉及项目支出资金0万元。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（二）单位绩效评价情况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我单位未组织开展绩效评价。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市财政局未委托第三方对我单位开展绩效评价。</w:t>
      </w:r>
    </w:p>
    <w:p>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before="0" w:beforeAutospacing="0" w:after="0" w:afterAutospacing="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 xml:space="preserve">张帆  </w:t>
      </w:r>
      <w:bookmarkStart w:id="0" w:name="_GoBack"/>
      <w:r>
        <w:rPr>
          <w:rFonts w:hint="default" w:ascii="Times New Roman" w:hAnsi="Times New Roman" w:eastAsia="方正仿宋_GBK"/>
          <w:color w:val="auto"/>
          <w:sz w:val="32"/>
          <w:szCs w:val="32"/>
          <w:shd w:val="clear" w:color="auto" w:fill="FFFFFF"/>
        </w:rPr>
        <w:t>023-73332293</w:t>
      </w:r>
    </w:p>
    <w:bookmarkEnd w:id="0"/>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石柱土家族自治县康养发展促进中心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1,650,952.26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268,950.72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94,286.04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92,571.84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2,106,760.86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2,106,760.86</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石柱土家族自治县康养发展促进中心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2,106,760.86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2,106,760.86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1,650,952.26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1,650,952.26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1,650,952.26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1,650,952.26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1,650,952.26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1,650,952.26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268,950.72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268,950.72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268,950.72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268,950.72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179,300.48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179,300.48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89,650.24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89,650.24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94,286.04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94,286.04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94,286.04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94,286.04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73,286.04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73,286.04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92,571.84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92,571.84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92,571.84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92,571.84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92,571.84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92,571.84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石柱土家族自治县康养发展促进中心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2,106,760.86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2,106,760.86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1,650,952.26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1,650,952.26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1,650,952.26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1,650,952.26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1,650,952.26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1,650,952.26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268,950.72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268,950.72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268,950.72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268,950.72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179,300.48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179,300.48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89,650.24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89,650.24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94,286.04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94,286.04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94,286.04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94,286.04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73,286.04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73,286.04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92,571.84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92,571.84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92,571.84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92,571.84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92,571.84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92,571.84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石柱土家族自治县康养发展促进中心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1,650,952.26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1,650,952.26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268,950.72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268,950.72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94,286.04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94,286.04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92,571.84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92,571.84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2,106,760.86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石柱土家族自治县康养发展促进中心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2,106,760.86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2,106,760.86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2,106,760.86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2,106,760.86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1,650,952.26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1,650,952.26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1,650,952.26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1,650,952.26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1,650,952.26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1,650,952.26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1,650,952.26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1,650,952.26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1,650,952.26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1,650,952.26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1,650,952.26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1,650,952.26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268,950.72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268,950.72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268,950.72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268,950.72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268,950.72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268,950.72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268,950.72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268,950.72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179,300.48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179,300.48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179,300.48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179,300.48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89,650.24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89,650.24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89,650.24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89,650.24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94,286.04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94,286.04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94,286.04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94,286.04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94,286.04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94,286.04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94,286.04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94,286.04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73,286.04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73,286.04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73,286.04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73,286.04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92,571.84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92,571.84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92,571.84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92,571.84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92,571.84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92,571.84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92,571.84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92,571.84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92,571.84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92,571.84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92,571.84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92,571.84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石柱土家族自治县康养发展促进中心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1,761,332.22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345,428.64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412,333.00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1,583.00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65,095.00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28,417.00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818,067.00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179,300.48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89,650.24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77,143.20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6,171.46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92,571.84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15,428.64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1,761,332.22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345,428.64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石柱土家族自治县康养发展促进中心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石柱土家族自治县康养发展促进中心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石柱土家族自治县康养发展促进中心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144,000.00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E7D1C"/>
    <w:multiLevelType w:val="singleLevel"/>
    <w:tmpl w:val="473E7D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5EA249F"/>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A84411"/>
    <w:rsid w:val="38BE4696"/>
    <w:rsid w:val="39166507"/>
    <w:rsid w:val="39B82A39"/>
    <w:rsid w:val="39F33306"/>
    <w:rsid w:val="3AB603C2"/>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063CCA"/>
    <w:rsid w:val="411B6CE5"/>
    <w:rsid w:val="412070D7"/>
    <w:rsid w:val="41314E40"/>
    <w:rsid w:val="4142353C"/>
    <w:rsid w:val="415C674B"/>
    <w:rsid w:val="426C1EA8"/>
    <w:rsid w:val="42D77574"/>
    <w:rsid w:val="42E86A87"/>
    <w:rsid w:val="43136432"/>
    <w:rsid w:val="43770A38"/>
    <w:rsid w:val="443A3B12"/>
    <w:rsid w:val="44A854C2"/>
    <w:rsid w:val="44DD597D"/>
    <w:rsid w:val="4612110E"/>
    <w:rsid w:val="465B470D"/>
    <w:rsid w:val="469D6AD4"/>
    <w:rsid w:val="47674801"/>
    <w:rsid w:val="48225EF7"/>
    <w:rsid w:val="495C4A24"/>
    <w:rsid w:val="4A832C26"/>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90F3160"/>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3F50DDC"/>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