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石柱土家族自治县发展和改革委员会</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1.拟定并组织实施国民经济和社会发展战略、中长期规划和年度计划。</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2.统筹提出国民经济和社会发展的主要目标，监测预测预警宏观经济和社会发展态势趋势，提出宏观调控政策建议。</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3.提出加快建设现代经济体系、推动高质量发展的总体目标、重大任务以及相关政策建议。</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4.指导推进和综合协调经济体制改革有关工作，提出改革建议。</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5.负责投资综合管理，拟定全社会固定资产投资总规模、结构调控目标和政策措施。</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6.组织拟定综合性产业政策。</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7.推进实施可持续发展战略，推动生态文明建设和改革，协调生态环境保护与修复、能源资源节约和综合利用等工作。</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8.推进落实区域协调发展战略、新型城镇化战略和重大政策，组织拟订相关区域规划和政策建议。</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9.贯彻执行价格和收费方面有关法律、法规、规章和政策。</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10.拟订能源发展规划、产业政策并组织实施。</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11.牵头指导、协调和综合监督全县工程建设项目招标投标工作。</w:t>
      </w:r>
    </w:p>
    <w:p>
      <w:pPr>
        <w:pStyle w:val="5"/>
        <w:shd w:val="clear" w:color="auto" w:fill="FFFFFF"/>
        <w:spacing w:before="0" w:beforeAutospacing="0" w:after="0" w:afterAutospacing="0"/>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12.负责国防动员相关工作。</w:t>
      </w:r>
    </w:p>
    <w:p>
      <w:pPr>
        <w:pStyle w:val="5"/>
        <w:shd w:val="clear" w:color="auto" w:fill="FFFFFF"/>
        <w:spacing w:before="0" w:beforeAutospacing="0" w:after="0" w:afterAutospacing="0"/>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13.负责大数据管理相关工作。</w:t>
      </w:r>
    </w:p>
    <w:p>
      <w:pPr>
        <w:pStyle w:val="5"/>
        <w:shd w:val="clear" w:color="auto" w:fill="FFFFFF"/>
        <w:spacing w:before="0" w:beforeAutospacing="0" w:after="0" w:afterAutospacing="0"/>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14.负责贯彻粮食流通肯物资储备相关政策及法律法规，负责政策性粮食收购、储存和运输监督管理，管理全县粮食储备等工作、</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15.完成县委、县政府交办的其他任务等工作。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pPr>
        <w:spacing w:line="600" w:lineRule="exact"/>
        <w:ind w:firstLine="640" w:firstLineChars="200"/>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石柱县发展和改革委员会是县政府组成部门，本部门由机关本级内设1</w:t>
      </w:r>
      <w:r>
        <w:rPr>
          <w:rFonts w:hint="eastAsia" w:ascii="Times New Roman" w:hAnsi="Times New Roman" w:eastAsia="方正仿宋_GBK" w:cs="仿宋_GB2312"/>
          <w:color w:val="auto"/>
          <w:sz w:val="32"/>
          <w:lang w:val="en-US" w:eastAsia="zh-CN"/>
        </w:rPr>
        <w:t>2</w:t>
      </w:r>
      <w:r>
        <w:rPr>
          <w:rFonts w:hint="eastAsia" w:ascii="Times New Roman" w:hAnsi="Times New Roman" w:eastAsia="方正仿宋_GBK" w:cs="仿宋_GB2312"/>
          <w:color w:val="auto"/>
          <w:sz w:val="32"/>
          <w:lang w:eastAsia="zh-CN"/>
        </w:rPr>
        <w:t>个科室（</w:t>
      </w:r>
      <w:r>
        <w:rPr>
          <w:rFonts w:hint="eastAsia" w:ascii="方正仿宋_GBK" w:hAnsi="方正仿宋_GBK" w:eastAsia="方正仿宋_GBK" w:cs="方正仿宋_GBK"/>
          <w:color w:val="auto"/>
          <w:sz w:val="31"/>
          <w:szCs w:val="31"/>
        </w:rPr>
        <w:t>办公室、发展规划科</w:t>
      </w:r>
      <w:r>
        <w:rPr>
          <w:rFonts w:hint="eastAsia" w:ascii="方正仿宋_GBK" w:hAnsi="方正仿宋_GBK" w:eastAsia="方正仿宋_GBK" w:cs="方正仿宋_GBK"/>
          <w:color w:val="auto"/>
          <w:sz w:val="31"/>
          <w:szCs w:val="31"/>
          <w:lang w:eastAsia="zh-CN"/>
        </w:rPr>
        <w:t>（</w:t>
      </w:r>
      <w:r>
        <w:rPr>
          <w:rFonts w:hint="eastAsia" w:ascii="方正仿宋_GBK" w:hAnsi="方正仿宋_GBK" w:eastAsia="方正仿宋_GBK" w:cs="方正仿宋_GBK"/>
          <w:color w:val="auto"/>
          <w:sz w:val="31"/>
          <w:szCs w:val="31"/>
        </w:rPr>
        <w:t>营商环境科</w:t>
      </w:r>
      <w:r>
        <w:rPr>
          <w:rFonts w:hint="eastAsia" w:ascii="方正仿宋_GBK" w:hAnsi="方正仿宋_GBK" w:eastAsia="方正仿宋_GBK" w:cs="方正仿宋_GBK"/>
          <w:color w:val="auto"/>
          <w:sz w:val="31"/>
          <w:szCs w:val="31"/>
          <w:lang w:eastAsia="zh-CN"/>
        </w:rPr>
        <w:t>）</w:t>
      </w:r>
      <w:r>
        <w:rPr>
          <w:rFonts w:hint="eastAsia" w:ascii="方正仿宋_GBK" w:hAnsi="方正仿宋_GBK" w:eastAsia="方正仿宋_GBK" w:cs="方正仿宋_GBK"/>
          <w:color w:val="auto"/>
          <w:sz w:val="31"/>
          <w:szCs w:val="31"/>
        </w:rPr>
        <w:t>、固定资产投资科、农村经济科、环境和能源科、社会事业科、公共资源交易管理科、行政许可服务科、经贸粮油科、价格管理科</w:t>
      </w:r>
      <w:r>
        <w:rPr>
          <w:rFonts w:hint="eastAsia" w:ascii="方正仿宋_GBK" w:hAnsi="方正仿宋_GBK" w:eastAsia="方正仿宋_GBK" w:cs="方正仿宋_GBK"/>
          <w:color w:val="auto"/>
          <w:sz w:val="31"/>
          <w:szCs w:val="31"/>
          <w:lang w:eastAsia="zh-CN"/>
        </w:rPr>
        <w:t>、大数据应用发展管理科、国防动员科</w:t>
      </w:r>
      <w:r>
        <w:rPr>
          <w:rFonts w:hint="eastAsia" w:ascii="Times New Roman" w:hAnsi="Times New Roman" w:eastAsia="方正仿宋_GBK" w:cs="仿宋_GB2312"/>
          <w:color w:val="auto"/>
          <w:sz w:val="32"/>
          <w:lang w:eastAsia="zh-CN"/>
        </w:rPr>
        <w:t>）和</w:t>
      </w:r>
      <w:r>
        <w:rPr>
          <w:rFonts w:hint="eastAsia" w:ascii="Times New Roman" w:hAnsi="Times New Roman" w:eastAsia="方正仿宋_GBK" w:cs="仿宋_GB2312"/>
          <w:color w:val="auto"/>
          <w:sz w:val="32"/>
          <w:lang w:val="en-US" w:eastAsia="zh-CN"/>
        </w:rPr>
        <w:t>8</w:t>
      </w:r>
      <w:r>
        <w:rPr>
          <w:rFonts w:hint="eastAsia" w:ascii="Times New Roman" w:hAnsi="Times New Roman" w:eastAsia="方正仿宋_GBK" w:cs="仿宋_GB2312"/>
          <w:color w:val="auto"/>
          <w:sz w:val="32"/>
          <w:lang w:eastAsia="zh-CN"/>
        </w:rPr>
        <w:t>个直属单位（公共资源交易监督事务中心、价格认证中心、康养发展促进中心、服务业发展指导中心、重大项目促进中心、城乡统筹发展中心、人民防空事务中心、大数据发展中心）组成。纳入202</w:t>
      </w:r>
      <w:r>
        <w:rPr>
          <w:rFonts w:hint="eastAsia" w:ascii="Times New Roman" w:hAnsi="Times New Roman" w:eastAsia="方正仿宋_GBK" w:cs="仿宋_GB2312"/>
          <w:color w:val="auto"/>
          <w:sz w:val="32"/>
          <w:lang w:val="en-US" w:eastAsia="zh-CN"/>
        </w:rPr>
        <w:t>4</w:t>
      </w:r>
      <w:r>
        <w:rPr>
          <w:rFonts w:hint="eastAsia" w:ascii="Times New Roman" w:hAnsi="Times New Roman" w:eastAsia="方正仿宋_GBK" w:cs="仿宋_GB2312"/>
          <w:color w:val="auto"/>
          <w:sz w:val="32"/>
          <w:lang w:eastAsia="zh-CN"/>
        </w:rPr>
        <w:t>年部门预算的有委本级和</w:t>
      </w:r>
      <w:r>
        <w:rPr>
          <w:rFonts w:hint="eastAsia" w:ascii="Times New Roman" w:hAnsi="Times New Roman" w:eastAsia="方正仿宋_GBK" w:cs="仿宋_GB2312"/>
          <w:color w:val="auto"/>
          <w:sz w:val="32"/>
          <w:lang w:val="en-US" w:eastAsia="zh-CN"/>
        </w:rPr>
        <w:t>8</w:t>
      </w:r>
      <w:r>
        <w:rPr>
          <w:rFonts w:hint="eastAsia" w:ascii="Times New Roman" w:hAnsi="Times New Roman" w:eastAsia="方正仿宋_GBK" w:cs="仿宋_GB2312"/>
          <w:color w:val="auto"/>
          <w:sz w:val="32"/>
          <w:lang w:eastAsia="zh-CN"/>
        </w:rPr>
        <w:t>个直属单位（公共资源交易监督事务中心、价格认证中心、康养发展促进中心、服务业发展指导中心、重大项目促进中心、城乡统筹发展中心、人民防空事务中心、大数据发展中心）。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二、部门决算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收、支与2023年度相比，减少1483.28万元，下降26.5%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人员减少导致基本支出减少</w:t>
      </w:r>
      <w:r>
        <w:rPr>
          <w:rFonts w:hint="eastAsia" w:ascii="Times New Roman" w:hAnsi="Times New Roman" w:eastAsia="方正仿宋_GBK"/>
          <w:color w:val="auto"/>
          <w:sz w:val="32"/>
          <w:szCs w:val="32"/>
          <w:shd w:val="clear" w:color="auto" w:fill="FFFFFF"/>
        </w:rPr>
        <w:t>73.37</w:t>
      </w:r>
      <w:r>
        <w:rPr>
          <w:rFonts w:hint="eastAsia" w:ascii="方正仿宋_GBK" w:hAnsi="方正仿宋_GBK" w:eastAsia="方正仿宋_GBK" w:cs="方正仿宋_GBK"/>
          <w:color w:val="auto"/>
          <w:sz w:val="32"/>
          <w:szCs w:val="32"/>
          <w:shd w:val="clear" w:color="auto" w:fill="FFFFFF"/>
        </w:rPr>
        <w:t>万元、政府性基金项目减少362.42万元及人防项目减少</w:t>
      </w:r>
      <w:r>
        <w:rPr>
          <w:rFonts w:hint="eastAsia" w:ascii="Times New Roman" w:hAnsi="Times New Roman" w:eastAsia="方正仿宋_GBK"/>
          <w:color w:val="auto"/>
          <w:sz w:val="32"/>
          <w:szCs w:val="32"/>
          <w:shd w:val="clear" w:color="auto" w:fill="FFFFFF"/>
        </w:rPr>
        <w:t>1090</w:t>
      </w:r>
      <w:r>
        <w:rPr>
          <w:rFonts w:hint="eastAsia" w:ascii="方正仿宋_GBK" w:hAnsi="方正仿宋_GBK" w:eastAsia="方正仿宋_GBK" w:cs="方正仿宋_GBK"/>
          <w:color w:val="auto"/>
          <w:sz w:val="32"/>
          <w:szCs w:val="32"/>
          <w:shd w:val="clear" w:color="auto" w:fill="FFFFFF"/>
        </w:rPr>
        <w:t>万元导致</w:t>
      </w:r>
      <w:r>
        <w:rPr>
          <w:rFonts w:hint="eastAsia" w:ascii="方正仿宋_GBK" w:hAnsi="方正仿宋_GBK" w:eastAsia="方正仿宋_GBK" w:cs="方正仿宋_GBK"/>
          <w:color w:val="auto"/>
          <w:sz w:val="32"/>
          <w:szCs w:val="32"/>
          <w:shd w:val="clear" w:color="auto" w:fill="FFFFFF"/>
          <w:lang w:eastAsia="zh-CN"/>
        </w:rPr>
        <w:t>收支</w:t>
      </w:r>
      <w:r>
        <w:rPr>
          <w:rFonts w:hint="eastAsia" w:ascii="方正仿宋_GBK" w:hAnsi="方正仿宋_GBK" w:eastAsia="方正仿宋_GBK" w:cs="方正仿宋_GBK"/>
          <w:color w:val="auto"/>
          <w:sz w:val="32"/>
          <w:szCs w:val="32"/>
          <w:shd w:val="clear" w:color="auto" w:fill="FFFFFF"/>
        </w:rPr>
        <w:t>减少。</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与2023年度相比，减少1483.28万元，下降26.5%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人员减少导致基本支出减少</w:t>
      </w:r>
      <w:r>
        <w:rPr>
          <w:rFonts w:hint="eastAsia" w:ascii="Times New Roman" w:hAnsi="Times New Roman" w:eastAsia="方正仿宋_GBK"/>
          <w:color w:val="auto"/>
          <w:sz w:val="32"/>
          <w:szCs w:val="32"/>
          <w:shd w:val="clear" w:color="auto" w:fill="FFFFFF"/>
        </w:rPr>
        <w:t>73.37</w:t>
      </w:r>
      <w:r>
        <w:rPr>
          <w:rFonts w:hint="eastAsia" w:ascii="方正仿宋_GBK" w:hAnsi="方正仿宋_GBK" w:eastAsia="方正仿宋_GBK" w:cs="方正仿宋_GBK"/>
          <w:color w:val="auto"/>
          <w:sz w:val="32"/>
          <w:szCs w:val="32"/>
          <w:shd w:val="clear" w:color="auto" w:fill="FFFFFF"/>
        </w:rPr>
        <w:t>万元、政府性基金项目减少362.42万元及人防项目减少</w:t>
      </w:r>
      <w:r>
        <w:rPr>
          <w:rFonts w:hint="eastAsia" w:ascii="Times New Roman" w:hAnsi="Times New Roman" w:eastAsia="方正仿宋_GBK"/>
          <w:color w:val="auto"/>
          <w:sz w:val="32"/>
          <w:szCs w:val="32"/>
          <w:shd w:val="clear" w:color="auto" w:fill="FFFFFF"/>
        </w:rPr>
        <w:t>1090</w:t>
      </w:r>
      <w:r>
        <w:rPr>
          <w:rFonts w:hint="eastAsia" w:ascii="方正仿宋_GBK" w:hAnsi="方正仿宋_GBK" w:eastAsia="方正仿宋_GBK" w:cs="方正仿宋_GBK"/>
          <w:color w:val="auto"/>
          <w:sz w:val="32"/>
          <w:szCs w:val="32"/>
          <w:shd w:val="clear" w:color="auto" w:fill="FFFFFF"/>
        </w:rPr>
        <w:t>万元导致收入减少。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与2023年度相比，减少1483.28万元，下降26.5%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人员减少导致基本支出减少</w:t>
      </w:r>
      <w:r>
        <w:rPr>
          <w:rFonts w:hint="eastAsia" w:ascii="Times New Roman" w:hAnsi="Times New Roman" w:eastAsia="方正仿宋_GBK"/>
          <w:color w:val="auto"/>
          <w:sz w:val="32"/>
          <w:szCs w:val="32"/>
          <w:shd w:val="clear" w:color="auto" w:fill="FFFFFF"/>
        </w:rPr>
        <w:t>73.37</w:t>
      </w:r>
      <w:r>
        <w:rPr>
          <w:rFonts w:hint="eastAsia" w:ascii="方正仿宋_GBK" w:hAnsi="方正仿宋_GBK" w:eastAsia="方正仿宋_GBK" w:cs="方正仿宋_GBK"/>
          <w:color w:val="auto"/>
          <w:sz w:val="32"/>
          <w:szCs w:val="32"/>
          <w:shd w:val="clear" w:color="auto" w:fill="FFFFFF"/>
        </w:rPr>
        <w:t>万元、政府性基金项目减少362.42万元及人防项目减少</w:t>
      </w:r>
      <w:r>
        <w:rPr>
          <w:rFonts w:hint="eastAsia" w:ascii="Times New Roman" w:hAnsi="Times New Roman" w:eastAsia="方正仿宋_GBK"/>
          <w:color w:val="auto"/>
          <w:sz w:val="32"/>
          <w:szCs w:val="32"/>
          <w:shd w:val="clear" w:color="auto" w:fill="FFFFFF"/>
        </w:rPr>
        <w:t>1090</w:t>
      </w:r>
      <w:r>
        <w:rPr>
          <w:rFonts w:hint="eastAsia" w:ascii="方正仿宋_GBK" w:hAnsi="方正仿宋_GBK" w:eastAsia="方正仿宋_GBK" w:cs="方正仿宋_GBK"/>
          <w:color w:val="auto"/>
          <w:sz w:val="32"/>
          <w:szCs w:val="32"/>
          <w:shd w:val="clear" w:color="auto" w:fill="FFFFFF"/>
        </w:rPr>
        <w:t>万元导致</w:t>
      </w:r>
      <w:r>
        <w:rPr>
          <w:rFonts w:hint="eastAsia" w:ascii="方正仿宋_GBK" w:hAnsi="方正仿宋_GBK" w:eastAsia="方正仿宋_GBK" w:cs="方正仿宋_GBK"/>
          <w:color w:val="auto"/>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rPr>
        <w:t>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1810.28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44.0%</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2304.21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56.0%</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财政拨款收、支总计各减少1483.28万元，下降26.5%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人员减少导致基本支出减少</w:t>
      </w:r>
      <w:r>
        <w:rPr>
          <w:rFonts w:hint="eastAsia" w:ascii="Times New Roman" w:hAnsi="Times New Roman" w:eastAsia="方正仿宋_GBK" w:cs="Times New Roman"/>
          <w:color w:val="auto"/>
          <w:sz w:val="32"/>
          <w:szCs w:val="32"/>
          <w:shd w:val="clear" w:color="auto" w:fill="FFFFFF"/>
          <w:lang w:val="en-US" w:eastAsia="zh-CN" w:bidi="ar-SA"/>
        </w:rPr>
        <w:t>73.37</w:t>
      </w:r>
      <w:r>
        <w:rPr>
          <w:rFonts w:hint="eastAsia" w:ascii="方正仿宋_GBK" w:hAnsi="方正仿宋_GBK" w:eastAsia="方正仿宋_GBK" w:cs="方正仿宋_GBK"/>
          <w:color w:val="auto"/>
          <w:sz w:val="32"/>
          <w:szCs w:val="32"/>
          <w:shd w:val="clear" w:color="auto" w:fill="FFFFFF"/>
        </w:rPr>
        <w:t>万元、政府性基金项目减少</w:t>
      </w:r>
      <w:r>
        <w:rPr>
          <w:rFonts w:hint="eastAsia" w:ascii="Times New Roman" w:hAnsi="Times New Roman" w:eastAsia="方正仿宋_GBK" w:cs="Times New Roman"/>
          <w:color w:val="auto"/>
          <w:sz w:val="32"/>
          <w:szCs w:val="32"/>
          <w:shd w:val="clear" w:color="auto" w:fill="FFFFFF"/>
          <w:lang w:val="en-US" w:eastAsia="zh-CN" w:bidi="ar-SA"/>
        </w:rPr>
        <w:t>362.42</w:t>
      </w:r>
      <w:r>
        <w:rPr>
          <w:rFonts w:hint="eastAsia" w:ascii="方正仿宋_GBK" w:hAnsi="方正仿宋_GBK" w:eastAsia="方正仿宋_GBK" w:cs="方正仿宋_GBK"/>
          <w:color w:val="auto"/>
          <w:sz w:val="32"/>
          <w:szCs w:val="32"/>
          <w:shd w:val="clear" w:color="auto" w:fill="FFFFFF"/>
        </w:rPr>
        <w:t>万元及人防项目</w:t>
      </w:r>
      <w:r>
        <w:rPr>
          <w:rFonts w:hint="eastAsia" w:ascii="方正仿宋_GBK" w:hAnsi="方正仿宋_GBK" w:eastAsia="方正仿宋_GBK" w:cs="方正仿宋_GBK"/>
          <w:color w:val="auto"/>
          <w:sz w:val="32"/>
          <w:szCs w:val="32"/>
          <w:shd w:val="clear" w:color="auto" w:fill="FFFFFF"/>
          <w:lang w:eastAsia="zh-CN"/>
        </w:rPr>
        <w:t>进度款</w:t>
      </w:r>
      <w:r>
        <w:rPr>
          <w:rFonts w:hint="eastAsia" w:ascii="方正仿宋_GBK" w:hAnsi="方正仿宋_GBK" w:eastAsia="方正仿宋_GBK" w:cs="方正仿宋_GBK"/>
          <w:color w:val="auto"/>
          <w:sz w:val="32"/>
          <w:szCs w:val="32"/>
          <w:shd w:val="clear" w:color="auto" w:fill="FFFFFF"/>
        </w:rPr>
        <w:t>减少</w:t>
      </w:r>
      <w:r>
        <w:rPr>
          <w:rFonts w:hint="eastAsia" w:ascii="Times New Roman" w:hAnsi="Times New Roman" w:eastAsia="方正仿宋_GBK" w:cs="Times New Roman"/>
          <w:color w:val="auto"/>
          <w:sz w:val="32"/>
          <w:szCs w:val="32"/>
          <w:shd w:val="clear" w:color="auto" w:fill="FFFFFF"/>
          <w:lang w:val="en-US" w:eastAsia="zh-CN" w:bidi="ar-SA"/>
        </w:rPr>
        <w:t>1090</w:t>
      </w:r>
      <w:r>
        <w:rPr>
          <w:rFonts w:hint="eastAsia" w:ascii="方正仿宋_GBK" w:hAnsi="方正仿宋_GBK" w:eastAsia="方正仿宋_GBK" w:cs="方正仿宋_GBK"/>
          <w:color w:val="auto"/>
          <w:sz w:val="32"/>
          <w:szCs w:val="32"/>
          <w:shd w:val="clear" w:color="auto" w:fill="FFFFFF"/>
        </w:rPr>
        <w:t>万元导致收入减少。</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与2023年度相比，减少1120.86万元，下降21.4%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人员减少导致基本支出减少</w:t>
      </w:r>
      <w:r>
        <w:rPr>
          <w:rFonts w:hint="eastAsia" w:ascii="Times New Roman" w:hAnsi="Times New Roman" w:eastAsia="方正仿宋_GBK"/>
          <w:color w:val="auto"/>
          <w:sz w:val="32"/>
          <w:szCs w:val="32"/>
          <w:shd w:val="clear" w:color="auto" w:fill="FFFFFF"/>
        </w:rPr>
        <w:t>73.37</w:t>
      </w:r>
      <w:r>
        <w:rPr>
          <w:rFonts w:hint="eastAsia" w:ascii="方正仿宋_GBK" w:hAnsi="方正仿宋_GBK" w:eastAsia="方正仿宋_GBK" w:cs="方正仿宋_GBK"/>
          <w:color w:val="auto"/>
          <w:sz w:val="32"/>
          <w:szCs w:val="32"/>
          <w:shd w:val="clear" w:color="auto" w:fill="FFFFFF"/>
        </w:rPr>
        <w:t>万元、人防项目</w:t>
      </w:r>
      <w:r>
        <w:rPr>
          <w:rFonts w:hint="eastAsia" w:ascii="方正仿宋_GBK" w:hAnsi="方正仿宋_GBK" w:eastAsia="方正仿宋_GBK" w:cs="方正仿宋_GBK"/>
          <w:color w:val="auto"/>
          <w:sz w:val="32"/>
          <w:szCs w:val="32"/>
          <w:shd w:val="clear" w:color="auto" w:fill="FFFFFF"/>
          <w:lang w:eastAsia="zh-CN"/>
        </w:rPr>
        <w:t>进度款</w:t>
      </w:r>
      <w:r>
        <w:rPr>
          <w:rFonts w:hint="eastAsia" w:ascii="方正仿宋_GBK" w:hAnsi="方正仿宋_GBK" w:eastAsia="方正仿宋_GBK" w:cs="方正仿宋_GBK"/>
          <w:color w:val="auto"/>
          <w:sz w:val="32"/>
          <w:szCs w:val="32"/>
          <w:shd w:val="clear" w:color="auto" w:fill="FFFFFF"/>
        </w:rPr>
        <w:t>减少</w:t>
      </w:r>
      <w:r>
        <w:rPr>
          <w:rFonts w:hint="eastAsia" w:ascii="Times New Roman" w:hAnsi="Times New Roman" w:eastAsia="方正仿宋_GBK"/>
          <w:color w:val="auto"/>
          <w:sz w:val="32"/>
          <w:szCs w:val="32"/>
          <w:shd w:val="clear" w:color="auto" w:fill="FFFFFF"/>
        </w:rPr>
        <w:t>1090</w:t>
      </w:r>
      <w:r>
        <w:rPr>
          <w:rFonts w:hint="eastAsia" w:ascii="方正仿宋_GBK" w:hAnsi="方正仿宋_GBK" w:eastAsia="方正仿宋_GBK" w:cs="方正仿宋_GBK"/>
          <w:color w:val="auto"/>
          <w:sz w:val="32"/>
          <w:szCs w:val="32"/>
          <w:shd w:val="clear" w:color="auto" w:fill="FFFFFF"/>
        </w:rPr>
        <w:t>万元导致收入减少。</w:t>
      </w:r>
      <w:r>
        <w:rPr>
          <w:rFonts w:hint="default" w:ascii="Times New Roman" w:hAnsi="Times New Roman" w:eastAsia="方正仿宋_GBK"/>
          <w:color w:val="auto"/>
          <w:sz w:val="32"/>
          <w:szCs w:val="32"/>
          <w:shd w:val="clear" w:color="auto" w:fill="FFFFFF"/>
        </w:rPr>
        <w:t>较年初预算数减少5669.34万元，下降58.0%</w:t>
      </w:r>
      <w:r>
        <w:rPr>
          <w:rFonts w:ascii="方正仿宋_GBK" w:hAnsi="方正仿宋_GBK" w:eastAsia="方正仿宋_GBK" w:cs="方正仿宋_GBK"/>
          <w:color w:val="auto"/>
          <w:sz w:val="32"/>
          <w:szCs w:val="32"/>
          <w:shd w:val="clear" w:color="auto" w:fill="FFFFFF"/>
        </w:rPr>
        <w:t>。主要原因是</w:t>
      </w:r>
      <w:r>
        <w:rPr>
          <w:rFonts w:hint="eastAsia" w:ascii="仿宋_GB2312" w:hAnsi="仿宋" w:eastAsia="仿宋_GB2312" w:cs="仿宋"/>
          <w:color w:val="auto"/>
          <w:sz w:val="32"/>
          <w:szCs w:val="32"/>
        </w:rPr>
        <w:t>年初预算中南岸对口支援资金及以工代赈项目由财政直接调剂</w:t>
      </w:r>
      <w:r>
        <w:rPr>
          <w:rFonts w:ascii="仿宋_GB2312" w:hAnsi="仿宋" w:eastAsia="仿宋_GB2312" w:cs="仿宋"/>
          <w:color w:val="auto"/>
          <w:sz w:val="32"/>
          <w:szCs w:val="32"/>
        </w:rPr>
        <w:t>至各业主单位</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与2023年度相比，减少1120.86万元，下降21.4%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人员减少导致基本支出减少</w:t>
      </w:r>
      <w:r>
        <w:rPr>
          <w:rFonts w:hint="eastAsia" w:ascii="Times New Roman" w:hAnsi="Times New Roman" w:eastAsia="方正仿宋_GBK"/>
          <w:color w:val="auto"/>
          <w:sz w:val="32"/>
          <w:szCs w:val="32"/>
          <w:shd w:val="clear" w:color="auto" w:fill="FFFFFF"/>
        </w:rPr>
        <w:t>73.37</w:t>
      </w:r>
      <w:r>
        <w:rPr>
          <w:rFonts w:hint="eastAsia" w:ascii="方正仿宋_GBK" w:hAnsi="方正仿宋_GBK" w:eastAsia="方正仿宋_GBK" w:cs="方正仿宋_GBK"/>
          <w:color w:val="auto"/>
          <w:sz w:val="32"/>
          <w:szCs w:val="32"/>
          <w:shd w:val="clear" w:color="auto" w:fill="FFFFFF"/>
        </w:rPr>
        <w:t>万元、人防项目</w:t>
      </w:r>
      <w:r>
        <w:rPr>
          <w:rFonts w:hint="eastAsia" w:ascii="方正仿宋_GBK" w:hAnsi="方正仿宋_GBK" w:eastAsia="方正仿宋_GBK" w:cs="方正仿宋_GBK"/>
          <w:color w:val="auto"/>
          <w:sz w:val="32"/>
          <w:szCs w:val="32"/>
          <w:shd w:val="clear" w:color="auto" w:fill="FFFFFF"/>
          <w:lang w:eastAsia="zh-CN"/>
        </w:rPr>
        <w:t>进度款</w:t>
      </w:r>
      <w:r>
        <w:rPr>
          <w:rFonts w:hint="eastAsia" w:ascii="方正仿宋_GBK" w:hAnsi="方正仿宋_GBK" w:eastAsia="方正仿宋_GBK" w:cs="方正仿宋_GBK"/>
          <w:color w:val="auto"/>
          <w:sz w:val="32"/>
          <w:szCs w:val="32"/>
          <w:shd w:val="clear" w:color="auto" w:fill="FFFFFF"/>
        </w:rPr>
        <w:t>减少</w:t>
      </w:r>
      <w:r>
        <w:rPr>
          <w:rFonts w:hint="eastAsia" w:ascii="Times New Roman" w:hAnsi="Times New Roman" w:eastAsia="方正仿宋_GBK"/>
          <w:color w:val="auto"/>
          <w:sz w:val="32"/>
          <w:szCs w:val="32"/>
          <w:shd w:val="clear" w:color="auto" w:fill="FFFFFF"/>
        </w:rPr>
        <w:t>1090</w:t>
      </w:r>
      <w:r>
        <w:rPr>
          <w:rFonts w:hint="eastAsia" w:ascii="方正仿宋_GBK" w:hAnsi="方正仿宋_GBK" w:eastAsia="方正仿宋_GBK" w:cs="方正仿宋_GBK"/>
          <w:color w:val="auto"/>
          <w:sz w:val="32"/>
          <w:szCs w:val="32"/>
          <w:shd w:val="clear" w:color="auto" w:fill="FFFFFF"/>
        </w:rPr>
        <w:t>万元导致收入减少。</w:t>
      </w:r>
      <w:r>
        <w:rPr>
          <w:rFonts w:hint="default" w:ascii="Times New Roman" w:hAnsi="Times New Roman" w:eastAsia="方正仿宋_GBK"/>
          <w:color w:val="auto"/>
          <w:sz w:val="32"/>
          <w:szCs w:val="32"/>
          <w:shd w:val="clear" w:color="auto" w:fill="FFFFFF"/>
        </w:rPr>
        <w:t>较年初预算数减少5669.34万元，下降58.0%</w:t>
      </w:r>
      <w:r>
        <w:rPr>
          <w:rFonts w:ascii="方正仿宋_GBK" w:hAnsi="方正仿宋_GBK" w:eastAsia="方正仿宋_GBK" w:cs="方正仿宋_GBK"/>
          <w:color w:val="auto"/>
          <w:sz w:val="32"/>
          <w:szCs w:val="32"/>
          <w:shd w:val="clear" w:color="auto" w:fill="FFFFFF"/>
        </w:rPr>
        <w:t>。主要原因是</w:t>
      </w:r>
      <w:r>
        <w:rPr>
          <w:rFonts w:hint="eastAsia" w:ascii="仿宋_GB2312" w:hAnsi="仿宋" w:eastAsia="仿宋_GB2312" w:cs="仿宋"/>
          <w:color w:val="auto"/>
          <w:sz w:val="32"/>
          <w:szCs w:val="32"/>
        </w:rPr>
        <w:t>年初预算中南岸对口支援资金及以工代赈项目由财政直接调剂</w:t>
      </w:r>
      <w:r>
        <w:rPr>
          <w:rFonts w:ascii="仿宋_GB2312" w:hAnsi="仿宋" w:eastAsia="仿宋_GB2312" w:cs="仿宋"/>
          <w:color w:val="auto"/>
          <w:sz w:val="32"/>
          <w:szCs w:val="32"/>
        </w:rPr>
        <w:t>至各业主单位</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1850.74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45.0%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较年初预算数减少6017.04万元，下降76.5%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年初预算中南岸对口支援资金、人防项目进度款及以工代赈项目由财政直接调剂至各业主单位导致减少</w:t>
      </w:r>
      <w:r>
        <w:rPr>
          <w:rFonts w:hint="eastAsia" w:ascii="Times New Roman" w:hAnsi="Times New Roman" w:eastAsia="方正仿宋_GBK"/>
          <w:color w:val="auto"/>
          <w:sz w:val="32"/>
          <w:szCs w:val="32"/>
          <w:shd w:val="clear" w:color="auto" w:fill="FFFFFF"/>
          <w:lang w:val="en-US" w:eastAsia="zh-CN"/>
        </w:rPr>
        <w:t>6017.04</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）公共安全支出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较年初预算数减少100.00万元，下降100.0%</w:t>
      </w:r>
      <w:r>
        <w:rPr>
          <w:rFonts w:ascii="方正仿宋_GBK" w:hAnsi="方正仿宋_GBK" w:eastAsia="方正仿宋_GBK" w:cs="方正仿宋_GBK"/>
          <w:color w:val="auto"/>
          <w:sz w:val="32"/>
          <w:szCs w:val="32"/>
          <w:shd w:val="clear" w:color="auto" w:fill="FFFFFF"/>
        </w:rPr>
        <w:t>，主要</w:t>
      </w:r>
      <w:bookmarkStart w:id="0" w:name="_GoBack"/>
      <w:bookmarkEnd w:id="0"/>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rPr>
        <w:t>支出功能分类</w:t>
      </w:r>
      <w:r>
        <w:rPr>
          <w:rFonts w:hint="eastAsia" w:ascii="方正仿宋_GBK" w:hAnsi="方正仿宋_GBK" w:eastAsia="方正仿宋_GBK" w:cs="方正仿宋_GBK"/>
          <w:color w:val="auto"/>
          <w:sz w:val="32"/>
          <w:szCs w:val="32"/>
          <w:shd w:val="clear" w:color="auto" w:fill="FFFFFF"/>
          <w:lang w:eastAsia="zh-CN"/>
        </w:rPr>
        <w:t>选择有误，年中修正</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）科学技术支出</w:t>
      </w:r>
      <w:r>
        <w:rPr>
          <w:rFonts w:hint="default" w:ascii="Times New Roman" w:hAnsi="Times New Roman" w:eastAsia="方正仿宋_GBK"/>
          <w:color w:val="auto"/>
          <w:sz w:val="32"/>
          <w:szCs w:val="32"/>
          <w:shd w:val="clear" w:color="auto" w:fill="FFFFFF"/>
        </w:rPr>
        <w:t>201.64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较年初预算数减少235.37万元，下降53.9%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人防工程项目尚未验收，进度款暂未拨付导致减少</w:t>
      </w:r>
      <w:r>
        <w:rPr>
          <w:rFonts w:hint="eastAsia" w:ascii="Times New Roman" w:hAnsi="Times New Roman" w:eastAsia="方正仿宋_GBK"/>
          <w:color w:val="auto"/>
          <w:sz w:val="32"/>
          <w:szCs w:val="32"/>
          <w:shd w:val="clear" w:color="auto" w:fill="FFFFFF"/>
          <w:lang w:val="en-US" w:eastAsia="zh-CN"/>
        </w:rPr>
        <w:t>235.37</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405.44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较年初预算数增加81.57万元，增长25.2%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2024年度新增机构及人员自然增资、事业单位社保基数变化导致社保支出增加</w:t>
      </w:r>
      <w:r>
        <w:rPr>
          <w:rFonts w:hint="eastAsia" w:ascii="Times New Roman" w:hAnsi="Times New Roman" w:eastAsia="方正仿宋_GBK"/>
          <w:color w:val="auto"/>
          <w:sz w:val="32"/>
          <w:szCs w:val="32"/>
          <w:shd w:val="clear" w:color="auto" w:fill="FFFFFF"/>
          <w:lang w:val="en-US" w:eastAsia="zh-CN"/>
        </w:rPr>
        <w:t>81.57</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100.56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较年初预算数减少1.97万元，下降1.9%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人员退休及调任等减少导致医保清算减少</w:t>
      </w:r>
      <w:r>
        <w:rPr>
          <w:rFonts w:hint="eastAsia" w:ascii="Times New Roman" w:hAnsi="Times New Roman" w:eastAsia="方正仿宋_GBK"/>
          <w:color w:val="auto"/>
          <w:sz w:val="32"/>
          <w:szCs w:val="32"/>
          <w:shd w:val="clear" w:color="auto" w:fill="FFFFFF"/>
          <w:lang w:val="en-US" w:eastAsia="zh-CN"/>
        </w:rPr>
        <w:t>1.97</w:t>
      </w:r>
      <w:r>
        <w:rPr>
          <w:rFonts w:hint="eastAsia" w:ascii="方正仿宋_GBK" w:hAnsi="方正仿宋_GBK" w:eastAsia="方正仿宋_GBK" w:cs="方正仿宋_GBK"/>
          <w:color w:val="auto"/>
          <w:sz w:val="32"/>
          <w:szCs w:val="32"/>
          <w:shd w:val="clear" w:color="auto" w:fill="FFFFFF"/>
          <w:lang w:val="en-US" w:eastAsia="zh-CN"/>
        </w:rPr>
        <w:t>万元</w:t>
      </w:r>
      <w:r>
        <w:rPr>
          <w:rFonts w:hint="eastAsia" w:ascii="方正仿宋_GBK" w:hAnsi="方正仿宋_GBK" w:eastAsia="方正仿宋_GBK" w:cs="方正仿宋_GBK"/>
          <w:color w:val="auto"/>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70.40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较年初预算数增加70.40万元，增长100.0%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信用网站运维</w:t>
      </w:r>
      <w:r>
        <w:rPr>
          <w:rFonts w:hint="eastAsia" w:ascii="方正仿宋_GBK" w:hAnsi="方正仿宋_GBK" w:eastAsia="方正仿宋_GBK" w:cs="方正仿宋_GBK"/>
          <w:color w:val="auto"/>
          <w:sz w:val="32"/>
          <w:szCs w:val="32"/>
          <w:shd w:val="clear" w:color="auto" w:fill="FFFFFF"/>
          <w:lang w:val="en-US" w:eastAsia="zh-CN"/>
        </w:rPr>
        <w:t>及重大项目可研咨询增加</w:t>
      </w:r>
      <w:r>
        <w:rPr>
          <w:rFonts w:hint="eastAsia" w:ascii="Times New Roman" w:hAnsi="Times New Roman" w:eastAsia="方正仿宋_GBK"/>
          <w:color w:val="auto"/>
          <w:sz w:val="32"/>
          <w:szCs w:val="32"/>
          <w:shd w:val="clear" w:color="auto" w:fill="FFFFFF"/>
          <w:lang w:val="en-US" w:eastAsia="zh-CN"/>
        </w:rPr>
        <w:t>70.4</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1043.60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25.4%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较年初预算数增加843.60万元，增长421.8%</w:t>
      </w:r>
      <w:r>
        <w:rPr>
          <w:rFonts w:ascii="方正仿宋_GBK" w:hAnsi="方正仿宋_GBK" w:eastAsia="方正仿宋_GBK" w:cs="方正仿宋_GBK"/>
          <w:color w:val="auto"/>
          <w:sz w:val="32"/>
          <w:szCs w:val="32"/>
          <w:shd w:val="clear" w:color="auto" w:fill="FFFFFF"/>
        </w:rPr>
        <w:t>，主要原因是易地扶贫搬迁贴息及驻乡驻村工作经费支出增加</w:t>
      </w:r>
      <w:r>
        <w:rPr>
          <w:rFonts w:hint="eastAsia" w:ascii="Times New Roman" w:hAnsi="Times New Roman" w:eastAsia="方正仿宋_GBK"/>
          <w:color w:val="auto"/>
          <w:sz w:val="32"/>
          <w:szCs w:val="32"/>
          <w:shd w:val="clear" w:color="auto" w:fill="FFFFFF"/>
          <w:lang w:val="en-US" w:eastAsia="zh-CN"/>
        </w:rPr>
        <w:t>843.6</w:t>
      </w:r>
      <w:r>
        <w:rPr>
          <w:rFonts w:ascii="方正仿宋_GBK" w:hAnsi="方正仿宋_GBK" w:eastAsia="方正仿宋_GBK" w:cs="方正仿宋_GBK"/>
          <w:color w:val="auto"/>
          <w:sz w:val="32"/>
          <w:szCs w:val="32"/>
          <w:shd w:val="clear" w:color="auto" w:fill="FFFFFF"/>
        </w:rPr>
        <w:t>万元</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94.61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较年初预算数减少1.53万元，下降1.6%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人员退休及调任等减少导致住房公积金清算减少。</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粮油物资储备支出</w:t>
      </w:r>
      <w:r>
        <w:rPr>
          <w:rFonts w:hint="default" w:ascii="Times New Roman" w:hAnsi="Times New Roman" w:eastAsia="方正仿宋_GBK"/>
          <w:color w:val="auto"/>
          <w:sz w:val="32"/>
          <w:szCs w:val="32"/>
          <w:shd w:val="clear" w:color="auto" w:fill="FFFFFF"/>
        </w:rPr>
        <w:t>347.50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较年初预算数减少309.00万元，下降47.1%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四季度粮油运行及粮食控温储粮等尚未拨付导致减少</w:t>
      </w:r>
      <w:r>
        <w:rPr>
          <w:rFonts w:hint="eastAsia" w:ascii="方正仿宋_GBK" w:hAnsi="方正仿宋_GBK" w:eastAsia="方正仿宋_GBK" w:cs="方正仿宋_GBK"/>
          <w:color w:val="auto"/>
          <w:sz w:val="32"/>
          <w:szCs w:val="32"/>
          <w:shd w:val="clear" w:color="auto" w:fill="FFFFFF"/>
          <w:lang w:val="en-US" w:eastAsia="zh-CN"/>
        </w:rPr>
        <w:t>309万元。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1810.28</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其中：人员经费</w:t>
      </w:r>
      <w:r>
        <w:rPr>
          <w:rFonts w:hint="default" w:ascii="Times New Roman" w:hAnsi="Times New Roman" w:eastAsia="方正仿宋_GBK"/>
          <w:color w:val="auto"/>
          <w:sz w:val="32"/>
          <w:szCs w:val="32"/>
          <w:shd w:val="clear" w:color="auto" w:fill="FFFFFF"/>
        </w:rPr>
        <w:t>1540.33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与2023年度相比，减少55.50万元，下降3.5%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人员退休、调任及死亡导致减少</w:t>
      </w:r>
      <w:r>
        <w:rPr>
          <w:rFonts w:ascii="方正仿宋_GBK" w:hAnsi="方正仿宋_GBK" w:eastAsia="方正仿宋_GBK" w:cs="方正仿宋_GBK"/>
          <w:color w:val="auto"/>
          <w:sz w:val="32"/>
          <w:szCs w:val="32"/>
          <w:shd w:val="clear" w:color="auto" w:fill="FFFFFF"/>
        </w:rPr>
        <w:t>.。人员经费用途主要包括基本工资、津贴补贴、奖金、社会保障缴费、住房公积金、医疗费、生活补助等</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269.96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与2023年度相比，减少17.86万元，下降6.2%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县公共交易中心减少编制</w:t>
      </w:r>
      <w:r>
        <w:rPr>
          <w:rFonts w:hint="eastAsia" w:ascii="方正仿宋_GBK" w:hAnsi="方正仿宋_GBK" w:eastAsia="方正仿宋_GBK" w:cs="方正仿宋_GBK"/>
          <w:color w:val="auto"/>
          <w:sz w:val="32"/>
          <w:szCs w:val="32"/>
          <w:shd w:val="clear" w:color="auto" w:fill="FFFFFF"/>
          <w:lang w:val="en-US" w:eastAsia="zh-CN"/>
        </w:rPr>
        <w:t>2名、厉行节约等导致</w:t>
      </w:r>
      <w:r>
        <w:rPr>
          <w:rFonts w:ascii="方正仿宋_GBK" w:hAnsi="方正仿宋_GBK" w:eastAsia="方正仿宋_GBK" w:cs="方正仿宋_GBK"/>
          <w:color w:val="auto"/>
          <w:sz w:val="32"/>
          <w:szCs w:val="32"/>
          <w:shd w:val="clear" w:color="auto" w:fill="FFFFFF"/>
        </w:rPr>
        <w:t>。公用经费用途主要包括办公费、水费、电费、邮电费、差旅费、</w:t>
      </w:r>
      <w:r>
        <w:rPr>
          <w:rFonts w:hint="eastAsia" w:ascii="方正仿宋_GBK" w:hAnsi="方正仿宋_GBK" w:eastAsia="方正仿宋_GBK" w:cs="方正仿宋_GBK"/>
          <w:color w:val="auto"/>
          <w:sz w:val="32"/>
          <w:szCs w:val="32"/>
          <w:shd w:val="clear" w:color="auto" w:fill="FFFFFF"/>
        </w:rPr>
        <w:t>公务接待费、公车运行维护费、会议费、培训费、</w:t>
      </w:r>
      <w:r>
        <w:rPr>
          <w:rFonts w:ascii="方正仿宋_GBK" w:hAnsi="方正仿宋_GBK" w:eastAsia="方正仿宋_GBK" w:cs="方正仿宋_GBK"/>
          <w:color w:val="auto"/>
          <w:sz w:val="32"/>
          <w:szCs w:val="32"/>
          <w:shd w:val="clear" w:color="auto" w:fill="FFFFFF"/>
        </w:rPr>
        <w:t>工会经费、其他交通费、其他商品和服务支出等。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仿宋_GB2312"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与2023年度相比，减少362.42万元，下降100.0%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减少</w:t>
      </w:r>
      <w:r>
        <w:rPr>
          <w:rFonts w:ascii="仿宋_GB2312" w:hAnsi="仿宋" w:eastAsia="仿宋_GB2312" w:cs="仿宋"/>
          <w:color w:val="auto"/>
          <w:sz w:val="32"/>
          <w:szCs w:val="32"/>
        </w:rPr>
        <w:t>风电项目土地成本</w:t>
      </w:r>
      <w:r>
        <w:rPr>
          <w:rFonts w:hint="eastAsia" w:ascii="仿宋_GB2312" w:hAnsi="仿宋" w:eastAsia="仿宋_GB2312" w:cs="仿宋"/>
          <w:color w:val="auto"/>
          <w:sz w:val="32"/>
          <w:szCs w:val="32"/>
          <w:lang w:eastAsia="zh-CN"/>
        </w:rPr>
        <w:t>返还</w:t>
      </w:r>
      <w:r>
        <w:rPr>
          <w:rFonts w:ascii="仿宋_GB2312" w:hAnsi="仿宋" w:eastAsia="仿宋_GB2312" w:cs="仿宋"/>
          <w:color w:val="auto"/>
          <w:sz w:val="32"/>
          <w:szCs w:val="32"/>
        </w:rPr>
        <w:t>、重点项目推进考核及人防项目建设</w:t>
      </w:r>
      <w:r>
        <w:rPr>
          <w:rFonts w:hint="eastAsia" w:ascii="仿宋_GB2312" w:hAnsi="仿宋" w:eastAsia="仿宋_GB2312" w:cs="仿宋"/>
          <w:color w:val="auto"/>
          <w:sz w:val="32"/>
          <w:szCs w:val="32"/>
          <w:lang w:eastAsia="zh-CN"/>
        </w:rPr>
        <w:t>等项目</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与2023年度相比，减少362.42万元，下降100.0%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上年度已完成拨付</w:t>
      </w:r>
      <w:r>
        <w:rPr>
          <w:rFonts w:ascii="仿宋_GB2312" w:hAnsi="仿宋" w:eastAsia="仿宋_GB2312" w:cs="仿宋"/>
          <w:color w:val="auto"/>
          <w:sz w:val="32"/>
          <w:szCs w:val="32"/>
        </w:rPr>
        <w:t>风电项目土地成本、重点项目推进考核及人防项目建设</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本部门</w:t>
      </w:r>
      <w:r>
        <w:rPr>
          <w:rFonts w:hint="default" w:ascii="方正仿宋_GBK" w:hAnsi="方正仿宋_GBK"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27.12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较年初预算数减少0.94万元，下降3.4%</w:t>
      </w:r>
      <w:r>
        <w:rPr>
          <w:rFonts w:ascii="方正仿宋_GBK" w:hAnsi="方正仿宋_GBK" w:eastAsia="方正仿宋_GBK" w:cs="方正仿宋_GBK"/>
          <w:color w:val="auto"/>
          <w:sz w:val="32"/>
          <w:szCs w:val="32"/>
          <w:shd w:val="clear" w:color="auto" w:fill="FFFFFF"/>
        </w:rPr>
        <w:t>，主要原因是</w:t>
      </w:r>
      <w:r>
        <w:rPr>
          <w:rFonts w:ascii="仿宋_GB2312" w:hAnsi="仿宋_GB2312" w:eastAsia="仿宋_GB2312" w:cs="仿宋_GB2312"/>
          <w:color w:val="auto"/>
          <w:sz w:val="32"/>
          <w:szCs w:val="32"/>
          <w:shd w:val="clear" w:color="auto" w:fill="FFFFFF"/>
        </w:rPr>
        <w:t>一是认真贯彻落实中央八项规定精神和厉行节约要求，按照只减不增的要求从严控制“三公”经费。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w:t>
      </w:r>
      <w:r>
        <w:rPr>
          <w:rFonts w:hint="default" w:ascii="Times New Roman" w:hAnsi="Times New Roman" w:eastAsia="方正仿宋_GBK"/>
          <w:color w:val="auto"/>
          <w:sz w:val="32"/>
          <w:szCs w:val="32"/>
          <w:shd w:val="clear" w:color="auto" w:fill="FFFFFF"/>
        </w:rPr>
        <w:t>较上年支出数增加2.90万元，增长12.0%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本年度新增单位，增加大数据公务接待</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default" w:ascii="仿宋_GB2312" w:hAnsi="仿宋_GB2312" w:eastAsia="仿宋_GB2312" w:cs="仿宋_GB2312"/>
          <w:color w:val="auto"/>
          <w:sz w:val="32"/>
          <w:szCs w:val="32"/>
          <w:shd w:val="clear" w:color="auto" w:fill="FFFFFF"/>
        </w:rPr>
      </w:pPr>
      <w:r>
        <w:rPr>
          <w:rFonts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4</w:t>
      </w:r>
      <w:r>
        <w:rPr>
          <w:rFonts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eastAsia="zh-CN"/>
        </w:rPr>
        <w:t>度</w:t>
      </w:r>
      <w:r>
        <w:rPr>
          <w:rFonts w:ascii="仿宋_GB2312" w:hAnsi="仿宋_GB2312" w:eastAsia="仿宋_GB2312" w:cs="仿宋_GB2312"/>
          <w:color w:val="auto"/>
          <w:sz w:val="32"/>
          <w:szCs w:val="32"/>
          <w:shd w:val="clear" w:color="auto" w:fill="FFFFFF"/>
        </w:rPr>
        <w:t>本单位未发生因公出国（境）费用。</w:t>
      </w:r>
    </w:p>
    <w:p>
      <w:pPr>
        <w:pStyle w:val="5"/>
        <w:snapToGrid w:val="0"/>
        <w:spacing w:before="0" w:beforeAutospacing="0" w:after="0" w:afterAutospacing="0" w:line="596" w:lineRule="exact"/>
        <w:ind w:firstLine="640" w:firstLineChars="200"/>
        <w:jc w:val="both"/>
        <w:rPr>
          <w:rFonts w:hint="default" w:ascii="仿宋_GB2312" w:hAnsi="仿宋_GB2312" w:eastAsia="仿宋_GB2312" w:cs="仿宋_GB2312"/>
          <w:color w:val="auto"/>
          <w:sz w:val="32"/>
          <w:szCs w:val="32"/>
          <w:shd w:val="clear" w:color="auto" w:fill="FFFFFF"/>
        </w:rPr>
      </w:pPr>
      <w:r>
        <w:rPr>
          <w:rFonts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4</w:t>
      </w:r>
      <w:r>
        <w:rPr>
          <w:rFonts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eastAsia="zh-CN"/>
        </w:rPr>
        <w:t>度</w:t>
      </w:r>
      <w:r>
        <w:rPr>
          <w:rFonts w:ascii="仿宋_GB2312" w:hAnsi="仿宋_GB2312" w:eastAsia="仿宋_GB2312" w:cs="仿宋_GB2312"/>
          <w:color w:val="auto"/>
          <w:sz w:val="32"/>
          <w:szCs w:val="32"/>
          <w:shd w:val="clear" w:color="auto" w:fill="FFFFFF"/>
        </w:rPr>
        <w:t>本单位未购置公务用车。</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仿宋_GB2312" w:hAnsi="仿宋_GB2312" w:eastAsia="仿宋_GB2312" w:cs="仿宋_GB2312"/>
          <w:color w:val="auto"/>
          <w:sz w:val="32"/>
          <w:szCs w:val="32"/>
          <w:shd w:val="clear" w:color="auto" w:fill="FFFFFF"/>
        </w:rPr>
        <w:t>公务</w:t>
      </w:r>
      <w:r>
        <w:rPr>
          <w:rFonts w:hint="eastAsia" w:ascii="仿宋_GB2312" w:hAnsi="仿宋_GB2312" w:eastAsia="仿宋_GB2312" w:cs="仿宋_GB2312"/>
          <w:color w:val="auto"/>
          <w:sz w:val="32"/>
          <w:szCs w:val="32"/>
          <w:shd w:val="clear" w:color="auto" w:fill="FFFFFF"/>
          <w:lang w:eastAsia="zh-CN"/>
        </w:rPr>
        <w:t>用</w:t>
      </w:r>
      <w:r>
        <w:rPr>
          <w:rFonts w:ascii="仿宋_GB2312" w:hAnsi="仿宋_GB2312" w:eastAsia="仿宋_GB2312" w:cs="仿宋_GB2312"/>
          <w:color w:val="auto"/>
          <w:sz w:val="32"/>
          <w:szCs w:val="32"/>
          <w:shd w:val="clear" w:color="auto" w:fill="FFFFFF"/>
        </w:rPr>
        <w:t>车运行维护</w:t>
      </w:r>
      <w:r>
        <w:rPr>
          <w:rFonts w:ascii="方正仿宋_GBK" w:hAnsi="方正仿宋_GBK" w:eastAsia="方正仿宋_GBK" w:cs="方正仿宋_GBK"/>
          <w:color w:val="auto"/>
          <w:sz w:val="32"/>
          <w:szCs w:val="32"/>
          <w:shd w:val="clear" w:color="auto" w:fill="FFFFFF"/>
        </w:rPr>
        <w:t>费</w:t>
      </w:r>
      <w:r>
        <w:rPr>
          <w:rFonts w:hint="default" w:ascii="Times New Roman" w:hAnsi="Times New Roman" w:eastAsia="方正仿宋_GBK"/>
          <w:color w:val="auto"/>
          <w:sz w:val="32"/>
          <w:szCs w:val="32"/>
          <w:shd w:val="clear" w:color="auto" w:fill="FFFFFF"/>
        </w:rPr>
        <w:t>17.50</w:t>
      </w:r>
      <w:r>
        <w:rPr>
          <w:rFonts w:ascii="方正仿宋_GBK" w:hAnsi="方正仿宋_GBK" w:eastAsia="方正仿宋_GBK" w:cs="方正仿宋_GBK"/>
          <w:color w:val="auto"/>
          <w:sz w:val="32"/>
          <w:szCs w:val="32"/>
          <w:shd w:val="clear" w:color="auto" w:fill="FFFFFF"/>
        </w:rPr>
        <w:t>万元，主要用于用于机要文件交换、市内因公出行、发改业务检查等工作所需车辆的燃料费、维修费、过桥过路费、保险费以及下乡等。费用支出</w:t>
      </w:r>
      <w:r>
        <w:rPr>
          <w:rFonts w:hint="default" w:ascii="Times New Roman" w:hAnsi="Times New Roman" w:eastAsia="方正仿宋_GBK"/>
          <w:color w:val="auto"/>
          <w:sz w:val="32"/>
          <w:szCs w:val="32"/>
          <w:shd w:val="clear" w:color="auto" w:fill="FFFFFF"/>
        </w:rPr>
        <w:t>较年初预算数减少1.30万元，下降6.9%</w:t>
      </w:r>
      <w:r>
        <w:rPr>
          <w:rFonts w:ascii="方正仿宋_GBK" w:hAnsi="方正仿宋_GBK" w:eastAsia="方正仿宋_GBK" w:cs="方正仿宋_GBK"/>
          <w:color w:val="auto"/>
          <w:sz w:val="32"/>
          <w:szCs w:val="32"/>
          <w:shd w:val="clear" w:color="auto" w:fill="FFFFFF"/>
        </w:rPr>
        <w:t>，主要原因是厉行节约，压缩一般性支出。。</w:t>
      </w:r>
      <w:r>
        <w:rPr>
          <w:rFonts w:hint="default" w:ascii="Times New Roman" w:hAnsi="Times New Roman" w:eastAsia="方正仿宋_GBK"/>
          <w:color w:val="auto"/>
          <w:sz w:val="32"/>
          <w:szCs w:val="32"/>
          <w:shd w:val="clear" w:color="auto" w:fill="FFFFFF"/>
        </w:rPr>
        <w:t>较上年支出数增加3.63万元，增长26.2%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大数据机构划转导致下乡调研督导等增加</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9.62</w:t>
      </w:r>
      <w:r>
        <w:rPr>
          <w:rFonts w:ascii="方正仿宋_GBK" w:hAnsi="方正仿宋_GBK" w:eastAsia="方正仿宋_GBK" w:cs="方正仿宋_GBK"/>
          <w:color w:val="auto"/>
          <w:sz w:val="32"/>
          <w:szCs w:val="32"/>
          <w:shd w:val="clear" w:color="auto" w:fill="FFFFFF"/>
        </w:rPr>
        <w:t>万元，主要用于接待市内其他区县到我单位学习调研以及接受相关部门检查指导工作发生的接待支出。费用支出</w:t>
      </w:r>
      <w:r>
        <w:rPr>
          <w:rFonts w:hint="default" w:ascii="Times New Roman" w:hAnsi="Times New Roman" w:eastAsia="方正仿宋_GBK"/>
          <w:color w:val="auto"/>
          <w:sz w:val="32"/>
          <w:szCs w:val="32"/>
          <w:shd w:val="clear" w:color="auto" w:fill="FFFFFF"/>
        </w:rPr>
        <w:t>较年初预算数增加0.36万元，增长3.9%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县大数据机构划转时将接待费划转列支</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较上年支出数减少0.73万元，下降7.1%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严格落实公务接待相关规定，厉行节约。</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90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857</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112.21</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2.92</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与2023年度相比，减少3.07万元，下降100.0%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厉行节约，精简会议，倡导会议资料无纸化等</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3.54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与2023年度相比，减少12.08万元，下降77.3%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减少市外专题</w:t>
      </w:r>
      <w:r>
        <w:rPr>
          <w:rFonts w:ascii="仿宋_GB2312" w:hAnsi="仿宋" w:eastAsia="仿宋_GB2312"/>
          <w:color w:val="auto"/>
          <w:sz w:val="32"/>
          <w:szCs w:val="32"/>
        </w:rPr>
        <w:t>培训班</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97.91</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与2023年度相比，减少35.61万元，下降26.7%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因经济科目核算有误，存在</w:t>
      </w:r>
      <w:r>
        <w:rPr>
          <w:rFonts w:hint="eastAsia" w:ascii="Times New Roman" w:hAnsi="Times New Roman" w:eastAsia="方正仿宋_GBK"/>
          <w:color w:val="auto"/>
          <w:sz w:val="32"/>
          <w:szCs w:val="32"/>
          <w:shd w:val="clear" w:color="auto" w:fill="FFFFFF"/>
          <w:lang w:val="en-US" w:eastAsia="zh-CN"/>
        </w:rPr>
        <w:t>27.82</w:t>
      </w:r>
      <w:r>
        <w:rPr>
          <w:rFonts w:hint="eastAsia" w:ascii="方正仿宋_GBK" w:hAnsi="方正仿宋_GBK" w:eastAsia="方正仿宋_GBK" w:cs="方正仿宋_GBK"/>
          <w:color w:val="auto"/>
          <w:sz w:val="32"/>
          <w:szCs w:val="32"/>
          <w:shd w:val="clear" w:color="auto" w:fill="FFFFFF"/>
          <w:lang w:val="en-US" w:eastAsia="zh-CN"/>
        </w:rPr>
        <w:t>万元差额。</w:t>
      </w:r>
    </w:p>
    <w:p>
      <w:pPr>
        <w:pStyle w:val="9"/>
        <w:keepNext w:val="0"/>
        <w:keepLines w:val="0"/>
        <w:pageBreakBefore w:val="0"/>
        <w:widowControl/>
        <w:kinsoku/>
        <w:wordWrap/>
        <w:overflowPunct/>
        <w:topLinePunct w:val="0"/>
        <w:autoSpaceDE w:val="0"/>
        <w:autoSpaceDN/>
        <w:bidi w:val="0"/>
        <w:adjustRightInd/>
        <w:snapToGrid/>
        <w:spacing w:line="596" w:lineRule="exact"/>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年度本部门机关运行经费支出</w:t>
      </w:r>
      <w:r>
        <w:rPr>
          <w:rFonts w:hint="default" w:ascii="Times New Roman" w:hAnsi="Times New Roman" w:eastAsia="方正仿宋_GBK"/>
          <w:color w:val="auto"/>
          <w:sz w:val="32"/>
          <w:szCs w:val="32"/>
          <w:shd w:val="clear" w:color="auto" w:fill="FFFFFF"/>
        </w:rPr>
        <w:t>159.88</w:t>
      </w:r>
      <w:r>
        <w:rPr>
          <w:rFonts w:ascii="方正仿宋_GBK" w:hAnsi="方正仿宋_GBK" w:eastAsia="方正仿宋_GBK" w:cs="方正仿宋_GBK"/>
          <w:color w:val="auto"/>
          <w:sz w:val="32"/>
          <w:szCs w:val="32"/>
          <w:shd w:val="clear" w:color="auto" w:fill="FFFFFF"/>
        </w:rPr>
        <w:t>万元，机关运行经费主要用于开支办公费、水费、电费、邮电费、差旅费、公务接待费、公车运行维护费、会议费、培训费、工会经费、其他交通费等。机关运行经费</w:t>
      </w:r>
      <w:r>
        <w:rPr>
          <w:rFonts w:hint="default" w:ascii="Times New Roman" w:hAnsi="Times New Roman" w:eastAsia="方正仿宋_GBK"/>
          <w:color w:val="auto"/>
          <w:sz w:val="32"/>
          <w:szCs w:val="32"/>
          <w:shd w:val="clear" w:color="auto" w:fill="FFFFFF"/>
        </w:rPr>
        <w:t>较上年支出数减少16.77万元，下降9.5%</w:t>
      </w:r>
      <w:r>
        <w:rPr>
          <w:rFonts w:ascii="方正仿宋_GBK" w:hAnsi="方正仿宋_GBK" w:eastAsia="方正仿宋_GBK" w:cs="方正仿宋_GBK"/>
          <w:color w:val="auto"/>
          <w:sz w:val="32"/>
          <w:szCs w:val="32"/>
          <w:shd w:val="clear" w:color="auto" w:fill="FFFFFF"/>
        </w:rPr>
        <w:t>，主要原因是</w:t>
      </w:r>
      <w:r>
        <w:rPr>
          <w:rFonts w:ascii="仿宋_GB2312" w:hAnsi="仿宋" w:eastAsia="仿宋_GB2312" w:cs="仿宋"/>
          <w:color w:val="auto"/>
          <w:sz w:val="32"/>
          <w:szCs w:val="32"/>
        </w:rPr>
        <w:t>厉行节约型机关，压缩一般性支出。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年度本部门政府采购支出总额</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国产化办公电脑、打印机及办公用纸</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600" w:lineRule="exact"/>
        <w:ind w:firstLine="643" w:firstLineChars="200"/>
        <w:jc w:val="both"/>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预算绩效管理情况说明</w:t>
      </w:r>
    </w:p>
    <w:p>
      <w:pPr>
        <w:pStyle w:val="9"/>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（一）部门自评情况</w:t>
      </w:r>
    </w:p>
    <w:p>
      <w:pPr>
        <w:pStyle w:val="9"/>
        <w:autoSpaceDE w:val="0"/>
        <w:ind w:firstLine="643"/>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根据预算绩效管理要求，我单位对</w:t>
      </w:r>
      <w:r>
        <w:rPr>
          <w:rFonts w:hint="eastAsia" w:ascii="Times New Roman" w:hAnsi="Times New Roman" w:eastAsia="方正仿宋_GBK" w:cs="Times New Roman"/>
          <w:color w:val="auto"/>
          <w:sz w:val="32"/>
          <w:szCs w:val="32"/>
          <w:shd w:val="clear" w:color="auto" w:fill="FFFFFF"/>
          <w:lang w:val="en-US" w:eastAsia="zh-CN" w:bidi="ar-SA"/>
        </w:rPr>
        <w:t>28</w:t>
      </w:r>
      <w:r>
        <w:rPr>
          <w:rFonts w:hint="eastAsia" w:ascii="方正仿宋_GBK" w:hAnsi="方正仿宋_GBK" w:eastAsia="方正仿宋_GBK" w:cs="方正仿宋_GBK"/>
          <w:color w:val="auto"/>
          <w:sz w:val="32"/>
          <w:szCs w:val="32"/>
          <w:shd w:val="clear" w:color="auto" w:fill="FFFFFF"/>
          <w:lang w:val="en-US" w:eastAsia="zh-CN" w:bidi="ar-SA"/>
        </w:rPr>
        <w:t>个项目开展了绩效自评，其中，以填报自评表形式开展自评</w:t>
      </w:r>
      <w:r>
        <w:rPr>
          <w:rFonts w:hint="eastAsia" w:ascii="Times New Roman" w:hAnsi="Times New Roman" w:eastAsia="方正仿宋_GBK" w:cs="Times New Roman"/>
          <w:color w:val="auto"/>
          <w:sz w:val="32"/>
          <w:szCs w:val="32"/>
          <w:shd w:val="clear" w:color="auto" w:fill="FFFFFF"/>
          <w:lang w:val="en-US" w:eastAsia="zh-CN" w:bidi="ar-SA"/>
        </w:rPr>
        <w:t>28</w:t>
      </w:r>
      <w:r>
        <w:rPr>
          <w:rFonts w:hint="eastAsia" w:ascii="方正仿宋_GBK" w:hAnsi="方正仿宋_GBK" w:eastAsia="方正仿宋_GBK" w:cs="方正仿宋_GBK"/>
          <w:color w:val="auto"/>
          <w:sz w:val="32"/>
          <w:szCs w:val="32"/>
          <w:shd w:val="clear" w:color="auto" w:fill="FFFFFF"/>
          <w:lang w:val="en-US" w:eastAsia="zh-CN" w:bidi="ar-SA"/>
        </w:rPr>
        <w:t>项，涉及资金</w:t>
      </w:r>
      <w:r>
        <w:rPr>
          <w:rFonts w:hint="eastAsia" w:ascii="Times New Roman" w:hAnsi="Times New Roman" w:eastAsia="方正仿宋_GBK" w:cs="Times New Roman"/>
          <w:color w:val="auto"/>
          <w:sz w:val="32"/>
          <w:szCs w:val="32"/>
          <w:shd w:val="clear" w:color="auto" w:fill="FFFFFF"/>
          <w:lang w:val="en-US" w:eastAsia="zh-CN" w:bidi="ar-SA"/>
        </w:rPr>
        <w:t>2304.21</w:t>
      </w:r>
      <w:r>
        <w:rPr>
          <w:rFonts w:hint="eastAsia" w:ascii="方正仿宋_GBK" w:hAnsi="方正仿宋_GBK" w:eastAsia="方正仿宋_GBK" w:cs="方正仿宋_GBK"/>
          <w:color w:val="auto"/>
          <w:sz w:val="32"/>
          <w:szCs w:val="32"/>
          <w:shd w:val="clear" w:color="auto" w:fill="FFFFFF"/>
          <w:lang w:val="en-US" w:eastAsia="zh-CN" w:bidi="ar-SA"/>
        </w:rPr>
        <w:t>万元。</w:t>
      </w:r>
    </w:p>
    <w:p>
      <w:pPr>
        <w:pStyle w:val="9"/>
        <w:numPr>
          <w:ilvl w:val="0"/>
          <w:numId w:val="2"/>
        </w:numPr>
        <w:autoSpaceDE w:val="0"/>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单位绩效评价情况</w:t>
      </w: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9"/>
        <w:numPr>
          <w:ilvl w:val="0"/>
          <w:numId w:val="0"/>
        </w:numPr>
        <w:autoSpaceDE w:val="0"/>
        <w:rPr>
          <w:rFonts w:hint="eastAsia" w:ascii="楷体" w:hAnsi="楷体" w:eastAsia="楷体" w:cs="楷体"/>
          <w:b/>
          <w:bCs/>
          <w:color w:val="auto"/>
          <w:sz w:val="32"/>
          <w:szCs w:val="32"/>
          <w:shd w:val="clear" w:color="auto" w:fill="FFFFFF"/>
        </w:rPr>
      </w:pPr>
    </w:p>
    <w:p>
      <w:pPr>
        <w:pStyle w:val="10"/>
        <w:autoSpaceDE w:val="0"/>
        <w:spacing w:before="0" w:beforeAutospacing="0" w:after="0" w:afterAutospacing="0" w:line="600" w:lineRule="exact"/>
        <w:rPr>
          <w:rFonts w:ascii="方正仿宋_GBK" w:hAnsi="方正仿宋_GBK" w:eastAsia="方正仿宋_GBK" w:cs="方正仿宋_GBK"/>
          <w:color w:val="auto"/>
          <w:sz w:val="28"/>
          <w:szCs w:val="28"/>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pPr w:leftFromText="180" w:rightFromText="180" w:vertAnchor="text" w:horzAnchor="page" w:tblpX="1438" w:tblpY="101"/>
        <w:tblOverlap w:val="never"/>
        <w:tblW w:w="20907" w:type="dxa"/>
        <w:tblInd w:w="0" w:type="dxa"/>
        <w:shd w:val="clear" w:color="auto" w:fill="auto"/>
        <w:tblLayout w:type="autofit"/>
        <w:tblCellMar>
          <w:top w:w="0" w:type="dxa"/>
          <w:left w:w="0" w:type="dxa"/>
          <w:bottom w:w="0" w:type="dxa"/>
          <w:right w:w="0" w:type="dxa"/>
        </w:tblCellMar>
      </w:tblPr>
      <w:tblGrid>
        <w:gridCol w:w="3074"/>
        <w:gridCol w:w="2388"/>
        <w:gridCol w:w="1898"/>
        <w:gridCol w:w="1918"/>
        <w:gridCol w:w="1381"/>
        <w:gridCol w:w="2029"/>
        <w:gridCol w:w="1785"/>
        <w:gridCol w:w="1776"/>
        <w:gridCol w:w="1113"/>
        <w:gridCol w:w="1650"/>
        <w:gridCol w:w="1895"/>
      </w:tblGrid>
      <w:tr>
        <w:tblPrEx>
          <w:shd w:val="clear" w:color="auto" w:fill="auto"/>
          <w:tblCellMar>
            <w:top w:w="0" w:type="dxa"/>
            <w:left w:w="0" w:type="dxa"/>
            <w:bottom w:w="0" w:type="dxa"/>
            <w:right w:w="0" w:type="dxa"/>
          </w:tblCellMar>
        </w:tblPrEx>
        <w:trPr>
          <w:trHeight w:val="800" w:hRule="atLeast"/>
        </w:trPr>
        <w:tc>
          <w:tcPr>
            <w:tcW w:w="2090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2024年度部门整体绩效自评表</w:t>
            </w:r>
          </w:p>
        </w:tc>
      </w:tr>
      <w:tr>
        <w:tblPrEx>
          <w:tblCellMar>
            <w:top w:w="0" w:type="dxa"/>
            <w:left w:w="0" w:type="dxa"/>
            <w:bottom w:w="0" w:type="dxa"/>
            <w:right w:w="0" w:type="dxa"/>
          </w:tblCellMar>
        </w:tblPrEx>
        <w:trPr>
          <w:trHeight w:val="500" w:hRule="atLeast"/>
        </w:trPr>
        <w:tc>
          <w:tcPr>
            <w:tcW w:w="2090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状态：已送审</w:t>
            </w: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42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石柱土家族自治县发展和改革委员会整体监控</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3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50024000024P000038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99.02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42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062-石柱土家族自治县发展和改革委员会</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3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508-经济建设和产业发展科</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张帆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13896247127</w:t>
            </w:r>
          </w:p>
        </w:tc>
      </w:tr>
      <w:tr>
        <w:tblPrEx>
          <w:tblCellMar>
            <w:top w:w="0" w:type="dxa"/>
            <w:left w:w="0" w:type="dxa"/>
            <w:bottom w:w="0" w:type="dxa"/>
            <w:right w:w="0" w:type="dxa"/>
          </w:tblCellMar>
        </w:tblPrEx>
        <w:trPr>
          <w:trHeight w:val="600" w:hRule="atLeast"/>
        </w:trPr>
        <w:tc>
          <w:tcPr>
            <w:tcW w:w="2090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3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238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9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97,838,282.82 </w:t>
            </w:r>
          </w:p>
        </w:tc>
        <w:tc>
          <w:tcPr>
            <w:tcW w:w="138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0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45,618,623.14 </w:t>
            </w:r>
          </w:p>
        </w:tc>
        <w:tc>
          <w:tcPr>
            <w:tcW w:w="17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77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41,144,939.59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238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9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97,838,282.82 </w:t>
            </w:r>
          </w:p>
        </w:tc>
        <w:tc>
          <w:tcPr>
            <w:tcW w:w="138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0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45,618,623.14 </w:t>
            </w:r>
          </w:p>
        </w:tc>
        <w:tc>
          <w:tcPr>
            <w:tcW w:w="17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77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41,144,939.59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90.19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9.02 </w:t>
            </w: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238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9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97,838,282.82 </w:t>
            </w:r>
          </w:p>
        </w:tc>
        <w:tc>
          <w:tcPr>
            <w:tcW w:w="138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0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45,618,623.14 </w:t>
            </w:r>
          </w:p>
        </w:tc>
        <w:tc>
          <w:tcPr>
            <w:tcW w:w="17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77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41,144,939.59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90.19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59" w:hRule="atLeast"/>
        </w:trPr>
        <w:tc>
          <w:tcPr>
            <w:tcW w:w="2090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trPr>
        <w:tc>
          <w:tcPr>
            <w:tcW w:w="92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697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140" w:hRule="atLeast"/>
        </w:trPr>
        <w:tc>
          <w:tcPr>
            <w:tcW w:w="92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加快重大项目建设，持续优化营商环境，国防动员，保障粮油安全和物价稳定，加强招投标监督，推动以康养经济为重点在县域经济高质量发展、社会大局和谐稳定。</w:t>
            </w:r>
          </w:p>
        </w:tc>
        <w:tc>
          <w:tcPr>
            <w:tcW w:w="69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auto"/>
                <w:sz w:val="22"/>
                <w:szCs w:val="22"/>
                <w:u w:val="none"/>
              </w:rPr>
            </w:pPr>
          </w:p>
        </w:tc>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加快重大项目建设，持续优化营商环境，国防动员，保障粮油安全和物价稳定，加强招投标监督，推动以康养经济为重点在县域经济高质量发展、社会大局和谐稳定。</w:t>
            </w:r>
          </w:p>
        </w:tc>
      </w:tr>
      <w:tr>
        <w:tblPrEx>
          <w:tblCellMar>
            <w:top w:w="0" w:type="dxa"/>
            <w:left w:w="0" w:type="dxa"/>
            <w:bottom w:w="0" w:type="dxa"/>
            <w:right w:w="0" w:type="dxa"/>
          </w:tblCellMar>
        </w:tblPrEx>
        <w:trPr>
          <w:trHeight w:val="314" w:hRule="atLeast"/>
        </w:trPr>
        <w:tc>
          <w:tcPr>
            <w:tcW w:w="2090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招投标规范程度</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优良中差</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项目资金使用年限</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咨询服务答复时间</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个工作日</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城市稳定发展</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优良中差</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粮食储备保障</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优良中差</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企业营商环境满意度</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行政运行管理费用控制</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优良中差</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pStyle w:val="10"/>
        <w:tabs>
          <w:tab w:val="left" w:pos="4267"/>
        </w:tabs>
        <w:autoSpaceDE w:val="0"/>
        <w:spacing w:before="0" w:beforeAutospacing="0" w:after="0" w:afterAutospacing="0" w:line="600" w:lineRule="exact"/>
        <w:rPr>
          <w:rFonts w:hint="eastAsia" w:ascii="方正仿宋_GBK" w:hAnsi="方正仿宋_GBK" w:eastAsia="方正仿宋_GBK" w:cs="方正仿宋_GBK"/>
          <w:color w:val="auto"/>
          <w:sz w:val="28"/>
          <w:szCs w:val="28"/>
          <w:shd w:val="clear" w:color="auto" w:fill="FFFFFF"/>
          <w:lang w:eastAsia="zh-CN"/>
        </w:rPr>
        <w:sectPr>
          <w:pgSz w:w="23757" w:h="16783" w:orient="landscape"/>
          <w:pgMar w:top="1800" w:right="1440" w:bottom="1800" w:left="1440" w:header="851" w:footer="992" w:gutter="0"/>
          <w:pgNumType w:fmt="numberInDash"/>
          <w:cols w:space="720" w:num="1"/>
          <w:docGrid w:type="lines" w:linePitch="312" w:charSpace="0"/>
        </w:sectPr>
      </w:pPr>
    </w:p>
    <w:p>
      <w:pPr>
        <w:pStyle w:val="9"/>
        <w:numPr>
          <w:ilvl w:val="0"/>
          <w:numId w:val="2"/>
        </w:numPr>
        <w:autoSpaceDE w:val="0"/>
        <w:ind w:left="0" w:leftChars="0"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财政绩效评价情况</w:t>
      </w:r>
    </w:p>
    <w:p>
      <w:pPr>
        <w:pStyle w:val="9"/>
        <w:numPr>
          <w:ilvl w:val="0"/>
          <w:numId w:val="0"/>
        </w:numPr>
        <w:autoSpaceDE w:val="0"/>
        <w:ind w:leftChars="200" w:firstLine="320" w:firstLineChars="1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市财政局未委托第三方对我部门开展绩效评价。</w:t>
      </w:r>
    </w:p>
    <w:p>
      <w:pPr>
        <w:pStyle w:val="5"/>
        <w:shd w:val="clear" w:color="auto" w:fill="FFFFFF"/>
        <w:spacing w:before="0" w:beforeAutospacing="0" w:after="0" w:afterAutospacing="0"/>
        <w:ind w:firstLine="643" w:firstLineChars="200"/>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spacing w:before="0" w:beforeAutospacing="0" w:after="0" w:afterAutospacing="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5"/>
        <w:snapToGrid w:val="0"/>
        <w:spacing w:before="0" w:beforeAutospacing="0" w:after="0" w:afterAutospacing="0" w:line="600" w:lineRule="exact"/>
        <w:ind w:firstLine="640" w:firstLineChars="200"/>
        <w:jc w:val="both"/>
        <w:rPr>
          <w:rStyle w:val="8"/>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 xml:space="preserve">张帆  </w:t>
      </w:r>
      <w:r>
        <w:rPr>
          <w:rFonts w:hint="eastAsia" w:ascii="Times New Roman" w:hAnsi="Times New Roman" w:eastAsia="方正仿宋_GBK" w:cs="Times New Roman"/>
          <w:color w:val="auto"/>
          <w:sz w:val="32"/>
          <w:szCs w:val="32"/>
          <w:shd w:val="clear" w:color="auto" w:fill="FFFFFF"/>
          <w:lang w:val="en-US" w:eastAsia="zh-CN" w:bidi="ar-SA"/>
        </w:rPr>
        <w:t>023-73332293</w:t>
      </w:r>
    </w:p>
    <w:p>
      <w:pPr>
        <w:pStyle w:val="9"/>
        <w:numPr>
          <w:ilvl w:val="0"/>
          <w:numId w:val="0"/>
        </w:numPr>
        <w:autoSpaceDE w:val="0"/>
        <w:ind w:leftChars="200" w:firstLine="320" w:firstLineChars="100"/>
        <w:rPr>
          <w:rFonts w:hint="eastAsia" w:ascii="方正仿宋_GBK" w:hAnsi="方正仿宋_GBK" w:eastAsia="方正仿宋_GBK" w:cs="方正仿宋_GBK"/>
          <w:color w:val="auto"/>
          <w:sz w:val="32"/>
          <w:szCs w:val="32"/>
          <w:shd w:val="clear" w:color="auto" w:fill="FFFFFF"/>
        </w:rPr>
        <w:sectPr>
          <w:pgSz w:w="11850" w:h="16783"/>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18,507,404.02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2,016,433.75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4,054,435.99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1,005,569.83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10,436,000.00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946,096.00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3,475,000.00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41,144,939.59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41,144,939.59</w:t>
            </w:r>
          </w:p>
        </w:tc>
      </w:tr>
    </w:tbl>
    <w:p>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1"/>
                <w:szCs w:val="21"/>
                <w:lang w:eastAsia="zh-CN"/>
              </w:rPr>
              <w:t>部门</w:t>
            </w:r>
            <w:r>
              <w:rPr>
                <w:rFonts w:cs="宋体"/>
                <w:color w:val="auto"/>
                <w:sz w:val="20"/>
                <w:szCs w:val="20"/>
              </w:rPr>
              <w:t>：</w:t>
            </w:r>
            <w:r>
              <w:rPr>
                <w:color w:val="auto"/>
                <w:sz w:val="20"/>
                <w:u w:color="auto"/>
              </w:rPr>
              <w:t>石柱土家族自治县发展和改革委员会</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41,144,939.59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41,144,939.59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18,507,404.02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18,507,404.02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18,382,719.02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18,382,719.02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6,926,148.75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6,926,148.75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日常经济运行调节</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社会事业发展规划</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物价管理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5,170,565.93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5,170,565.93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其他发展与改革事务支出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948,994.34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948,994.34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124,685.00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124,685.00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124,685.00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124,685.00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科学技术支出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20607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科学技术普及</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2060799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其他科学技术普及支出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2,016,433.75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2,016,433.75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4,054,435.99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4,054,435.99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3,551,083.99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3,551,083.99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1,384,407.00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1,384,407.00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1,362,886.76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1,362,886.76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666,738.23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666,738.23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137,052.00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137,052.00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465,934.51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465,934.51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220,587.97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220,587.97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319,047.35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319,047.35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城乡社区规划与管理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2120201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城乡社区规划与管理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946,096.00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946,096.00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粮油物资储备支出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2220199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其他粮油物资事务支出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22204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粮油储备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2220401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储备粮油补贴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2220499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其他粮油储备支出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石柱土家族自治县发展和改革委员会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41,144,939.59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18,102,816.50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23,042,123.09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18,507,404.02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12,096,714.68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6,410,689.34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18,382,719.02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12,096,714.68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6,286,004.34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6,926,148.75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6,926,148.75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日常经济运行调节</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社会事业发展规划</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物价管理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5,170,565.93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5,170,565.93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其他发展与改革事务支出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948,994.34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948,994.34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124,685.00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124,685.00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124,685.00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124,685.00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科学技术支出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20607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科学技术普及</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2060799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其他科学技术普及支出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2,016,433.75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2,016,433.75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4,054,435.99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4,054,435.99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3,551,083.99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3,551,083.99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1,384,407.00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1,384,407.00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1,362,886.76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1,362,886.76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666,738.23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666,738.23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137,052.00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137,052.00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465,934.51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465,934.51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220,587.97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220,587.97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319,047.35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319,047.35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城乡社区规划与管理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2120201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城乡社区规划与管理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946,096.00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946,096.00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粮油物资储备支出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2220199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其他粮油物资事务支出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22204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粮油储备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2220401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储备粮油补贴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2220499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其他粮油储备支出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18,507,404.02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18,507,404.02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2,016,433.75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2,016,433.75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4,054,435.99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4,054,435.99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1,005,569.83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1,005,569.83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704,000.00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704,000.00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10,436,000.00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10,436,000.00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946,096.00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946,096.00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3,475,000.00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3,475,000.00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41,144,939.59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18,102,816.50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23,042,123.09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41,144,939.59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18,102,816.50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23,042,123.09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18,507,404.02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12,096,714.68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6,410,689.34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18,507,404.02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12,096,714.68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6,410,689.34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18,382,719.02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12,096,714.68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6,286,004.34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18,382,719.02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12,096,714.68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6,286,004.34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6,926,148.75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6,926,148.75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6,926,148.75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6,926,148.75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日常经济运行调节</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社会事业发展规划</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物价管理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5,170,565.93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5,170,565.93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5,170,565.93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5,170,565.93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其他发展与改革事务支出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948,994.34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948,994.34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948,994.34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948,994.34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124,685.00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124,685.00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124,685.00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124,685.00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124,685.00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124,685.00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124,685.00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124,685.00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科学技术支出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20607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科学技术普及</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2060799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其他科学技术普及支出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2,016,433.75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2,016,433.75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2,016,433.75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2,016,433.75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4,054,435.99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4,054,435.99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4,054,435.99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4,054,435.99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3,551,083.99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3,551,083.99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3,551,083.99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3,551,083.99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1,384,407.00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1,384,407.00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1,384,407.00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1,384,407.00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1,362,886.76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1,362,886.76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1,362,886.76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1,362,886.76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666,738.23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666,738.23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666,738.23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666,738.23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137,052.00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137,052.00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137,052.00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137,052.00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465,934.51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465,934.51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465,934.51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465,934.51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220,587.97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220,587.97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220,587.97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220,587.97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319,047.35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319,047.35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319,047.35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319,047.35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城乡社区规划与管理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2120201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城乡社区规划与管理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946,096.00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946,096.00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946,096.00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946,096.00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粮油物资储备支出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粮油物资事务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2220199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其他粮油物资事务支出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粮油储备</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2220401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储备粮油补贴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2220499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其他粮油储备支出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13,203,178.74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2,642,960.76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56,591.00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3,133,644.00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199,797.24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1,568,247.00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31,665.00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56,591.00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2,073,627.00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2,549,522.00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31,932.08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1,362,886.76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120,629.99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666,738.23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261,048.11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722,961.97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65,493.42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33,626.77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802,072.50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946,096.00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145,829.01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26,209.51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4,530.80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2,200,086.00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3,786.28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96,165.00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503,352.00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1,524,059.00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242,295.87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172,675.00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117,133.48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175,046.27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329,400.00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135,755.21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15,403,264.74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2,699,551.76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1,598,785.08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271,211.27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755,788.84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842,996.24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175,046.27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175,046.27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96,165.00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96,165.00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6</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90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857</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35,430.28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auto"/>
                <w:kern w:val="2"/>
                <w:sz w:val="22"/>
                <w:szCs w:val="22"/>
                <w:u w:val="none"/>
                <w:lang w:val="en-US" w:eastAsia="zh-CN" w:bidi="ar-SA"/>
              </w:rPr>
            </w:pPr>
            <w:r>
              <w:rPr>
                <w:rFonts w:hint="eastAsia" w:ascii="宋体" w:hAnsi="宋体" w:eastAsia="宋体" w:cs="宋体"/>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979,056.99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9"/>
        <w:autoSpaceDE w:val="0"/>
        <w:ind w:firstLine="0" w:firstLineChars="0"/>
        <w:rPr>
          <w:rFonts w:hint="default" w:ascii="宋体" w:hAnsi="宋体" w:eastAsia="宋体" w:cs="宋体"/>
          <w:color w:val="auto"/>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b+vBR7cBAABUAwAADgAAAAAAAAABACAAAAAfAQAAZHJzL2Uyb0RvYy54bWxQSwUGAAAAAAYABgBZ&#10;AQAASA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04DD0A"/>
    <w:multiLevelType w:val="singleLevel"/>
    <w:tmpl w:val="C804DD0A"/>
    <w:lvl w:ilvl="0" w:tentative="0">
      <w:start w:val="2"/>
      <w:numFmt w:val="chineseCounting"/>
      <w:suff w:val="nothing"/>
      <w:lvlText w:val="（%1）"/>
      <w:lvlJc w:val="left"/>
      <w:rPr>
        <w:rFonts w:hint="eastAsia"/>
      </w:rPr>
    </w:lvl>
  </w:abstractNum>
  <w:abstractNum w:abstractNumId="1">
    <w:nsid w:val="14EA55D7"/>
    <w:multiLevelType w:val="singleLevel"/>
    <w:tmpl w:val="14EA55D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8F661B"/>
    <w:rsid w:val="1DD26311"/>
    <w:rsid w:val="1DE57DAF"/>
    <w:rsid w:val="1EF67CA4"/>
    <w:rsid w:val="1F213FD9"/>
    <w:rsid w:val="1FCD26AF"/>
    <w:rsid w:val="20642787"/>
    <w:rsid w:val="20C83310"/>
    <w:rsid w:val="20EC77A3"/>
    <w:rsid w:val="21556F04"/>
    <w:rsid w:val="22403BD3"/>
    <w:rsid w:val="24B92327"/>
    <w:rsid w:val="2533755C"/>
    <w:rsid w:val="25D04865"/>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EA5B3A"/>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22</TotalTime>
  <ScaleCrop>false</ScaleCrop>
  <LinksUpToDate>false</LinksUpToDate>
  <CharactersWithSpaces>21460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2025-10-15T02:44:06Z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ies>
</file>