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2586">
      <w:pPr>
        <w:adjustRightInd w:val="0"/>
        <w:snapToGrid w:val="0"/>
        <w:spacing w:line="560" w:lineRule="exact"/>
        <w:jc w:val="center"/>
        <w:rPr>
          <w:rFonts w:hint="eastAsia" w:ascii="Times New Roman" w:hAnsi="Times New Roman" w:eastAsia="方正小标宋_GBK" w:cs="Times New Roman"/>
          <w:b/>
          <w:bCs/>
          <w:kern w:val="2"/>
          <w:sz w:val="44"/>
          <w:szCs w:val="44"/>
          <w:lang w:val="en-US" w:eastAsia="zh-CN" w:bidi="ar-SA"/>
        </w:rPr>
      </w:pPr>
      <w:r>
        <w:rPr>
          <w:rFonts w:hint="eastAsia" w:ascii="Times New Roman" w:hAnsi="Times New Roman" w:eastAsia="方正小标宋_GBK" w:cs="Times New Roman"/>
          <w:b/>
          <w:bCs/>
          <w:sz w:val="44"/>
          <w:szCs w:val="44"/>
          <w:lang w:val="en-US" w:eastAsia="zh-CN"/>
        </w:rPr>
        <w:t>石柱土家族自治县公共资源交易监督事务中心</w:t>
      </w:r>
      <w:r>
        <w:rPr>
          <w:rFonts w:hint="eastAsia" w:ascii="Times New Roman" w:hAnsi="Times New Roman" w:eastAsia="方正小标宋_GBK" w:cs="Times New Roman"/>
          <w:b/>
          <w:bCs/>
          <w:kern w:val="2"/>
          <w:sz w:val="44"/>
          <w:szCs w:val="44"/>
          <w:lang w:val="en-US" w:eastAsia="zh-CN" w:bidi="ar-SA"/>
        </w:rPr>
        <w:t>关于十五届县委第七轮巡察整改工作</w:t>
      </w:r>
    </w:p>
    <w:p w14:paraId="10997FA8">
      <w:pPr>
        <w:adjustRightInd w:val="0"/>
        <w:snapToGrid w:val="0"/>
        <w:spacing w:line="560" w:lineRule="exact"/>
        <w:jc w:val="center"/>
        <w:rPr>
          <w:rFonts w:hint="eastAsia" w:ascii="Times New Roman" w:hAnsi="Times New Roman" w:eastAsia="方正小标宋_GBK" w:cs="Times New Roman"/>
          <w:b/>
          <w:bCs/>
          <w:kern w:val="2"/>
          <w:sz w:val="44"/>
          <w:szCs w:val="44"/>
          <w:lang w:val="en-US" w:eastAsia="zh-CN" w:bidi="ar-SA"/>
        </w:rPr>
      </w:pPr>
      <w:r>
        <w:rPr>
          <w:rFonts w:hint="eastAsia" w:ascii="Times New Roman" w:hAnsi="Times New Roman" w:eastAsia="方正小标宋_GBK" w:cs="Times New Roman"/>
          <w:b/>
          <w:bCs/>
          <w:kern w:val="2"/>
          <w:sz w:val="44"/>
          <w:szCs w:val="44"/>
          <w:lang w:val="en-US" w:eastAsia="zh-CN" w:bidi="ar-SA"/>
        </w:rPr>
        <w:t>进展情况的通报</w:t>
      </w:r>
    </w:p>
    <w:p w14:paraId="1DB14574">
      <w:pPr>
        <w:pStyle w:val="2"/>
        <w:rPr>
          <w:rFonts w:hint="eastAsia"/>
          <w:lang w:val="en-US" w:eastAsia="zh-CN"/>
        </w:rPr>
      </w:pPr>
    </w:p>
    <w:p w14:paraId="5915C834">
      <w:pPr>
        <w:pStyle w:val="2"/>
        <w:rPr>
          <w:rFonts w:hint="eastAsia"/>
          <w:lang w:val="en-US" w:eastAsia="zh-CN"/>
        </w:rPr>
      </w:pPr>
    </w:p>
    <w:p w14:paraId="67897A66">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sz w:val="32"/>
          <w:szCs w:val="32"/>
          <w:lang w:eastAsia="zh-CN"/>
        </w:rPr>
        <w:t>根据县委巡察工作的统一安排，</w:t>
      </w:r>
      <w:r>
        <w:rPr>
          <w:rFonts w:hint="eastAsia" w:ascii="方正仿宋_GBK" w:hAnsi="方正仿宋_GBK" w:eastAsia="方正仿宋_GBK" w:cs="方正仿宋_GBK"/>
          <w:sz w:val="32"/>
          <w:szCs w:val="32"/>
          <w:lang w:val="en-US" w:eastAsia="zh-CN"/>
        </w:rPr>
        <w:t>2024年11月1日至2025年1月20日，县委第三巡察组对县公共资源交易监督事务中心开展了巡察工作。2025年5月，县委第三巡察组向县公共资源交易监督事务中心反馈了巡察意见。按照巡察工作的相关要求，现将巡察整改进展情况予以公布。</w:t>
      </w:r>
    </w:p>
    <w:p w14:paraId="6D5F5F7E">
      <w:pPr>
        <w:overflowPunct w:val="0"/>
        <w:spacing w:line="590" w:lineRule="exact"/>
        <w:ind w:firstLine="652" w:firstLineChars="200"/>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一、提高政治站位，强化政治担当，坚决履行巡察整改政治责任</w:t>
      </w:r>
    </w:p>
    <w:p w14:paraId="0C822E7F">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kern w:val="2"/>
          <w:sz w:val="32"/>
          <w:szCs w:val="32"/>
          <w:lang w:val="en-US" w:eastAsia="zh-CN" w:bidi="ar-SA"/>
        </w:rPr>
        <w:t>中心始终将巡察整改视为重大政治任务，以高度的政治自觉和强烈的使命意识，全力以赴做好巡察整改“后半篇文章”。</w:t>
      </w:r>
    </w:p>
    <w:p w14:paraId="10696687">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（一）深化思想认识，提升行动自觉</w:t>
      </w:r>
    </w:p>
    <w:p w14:paraId="0E954DAD">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kern w:val="2"/>
          <w:sz w:val="32"/>
          <w:szCs w:val="32"/>
          <w:lang w:val="en-US" w:eastAsia="zh-CN" w:bidi="ar-SA"/>
        </w:rPr>
        <w:t>巡察意见反馈后，中心立即召开专题会议，深入学习贯彻习近平总书记关于巡视工作的重要论述以及县委的部署要求，全面系统地学习《中国共产党巡视工作条例》等党内法规。通过多次组织学习活动，全体干部职工深刻认识到巡察是一项严肃的“政治体检”，切实将思想和行动统一到县委的决策部署上来，为推进整改工作奠定了坚实的思想基础。</w:t>
      </w:r>
    </w:p>
    <w:p w14:paraId="44B1855D">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（二）压实主体责任，强化组织保障</w:t>
      </w:r>
    </w:p>
    <w:p w14:paraId="36FB00C6">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kern w:val="2"/>
          <w:sz w:val="32"/>
          <w:szCs w:val="32"/>
          <w:lang w:val="en-US" w:eastAsia="zh-CN" w:bidi="ar-SA"/>
        </w:rPr>
        <w:t>中心坚决承担起整改主体责任，成立了以县发改委党组成员、中心主任为组长，其他班子成员为副组长，各科室负责人为成员的巡察反馈问题整改工作组。严格落实“第一责任人”责任和“一岗双责”，构建起主要领导亲自抓、分管领导具体抓、各科室负责落实的责任体系。在集中整改期间，专题研究整改工作达5次，确保整改责任得以层层落实。</w:t>
      </w:r>
    </w:p>
    <w:p w14:paraId="53218452">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（三）制定专项方案，确保整改实效</w:t>
      </w:r>
    </w:p>
    <w:p w14:paraId="0DA81B59">
      <w:pPr>
        <w:keepNext w:val="0"/>
        <w:keepLines w:val="0"/>
        <w:pageBreakBefore w:val="0"/>
        <w:kinsoku/>
        <w:wordWrap/>
        <w:overflowPunct/>
        <w:topLinePunct w:val="0"/>
        <w:autoSpaceDE/>
        <w:autoSpaceDN/>
        <w:bidi w:val="0"/>
        <w:adjustRightInd/>
        <w:snapToGrid/>
        <w:ind w:firstLine="652"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针对巡察反馈的3方面9个问题19条具体表现，制定46条整改措施，建立问题、任务、责任“三张清单”。将整改工作与全面从严治党、优化营商环境等重点任务结合，建立“周汇总、月调度、季督查”机制，实行销号管理，形成整改闭环，实现解决一个问题、完善一套制度、堵塞一批漏洞的综合效果。 </w:t>
      </w:r>
    </w:p>
    <w:p w14:paraId="61FCF078">
      <w:pPr>
        <w:overflowPunct w:val="0"/>
        <w:spacing w:line="590" w:lineRule="exact"/>
        <w:ind w:firstLine="652" w:firstLineChars="200"/>
        <w:jc w:val="left"/>
        <w:rPr>
          <w:rFonts w:hint="default" w:ascii="方正黑体_GBK" w:hAnsi="方正黑体_GBK" w:eastAsia="方正黑体_GBK" w:cs="方正黑体_GBK"/>
          <w:b w:val="0"/>
          <w:bCs/>
          <w:sz w:val="32"/>
          <w:szCs w:val="32"/>
          <w:lang w:val="en-US" w:eastAsia="zh-CN"/>
        </w:rPr>
      </w:pPr>
      <w:r>
        <w:rPr>
          <w:rFonts w:hint="default" w:ascii="方正黑体_GBK" w:hAnsi="方正黑体_GBK" w:eastAsia="方正黑体_GBK" w:cs="方正黑体_GBK"/>
          <w:b w:val="0"/>
          <w:bCs/>
          <w:sz w:val="32"/>
          <w:szCs w:val="32"/>
          <w:lang w:val="en-US" w:eastAsia="zh-CN"/>
        </w:rPr>
        <w:t>二、聚焦问题整改，注重常态长效，巡察整改工作取得显著阶段性成效</w:t>
      </w:r>
    </w:p>
    <w:p w14:paraId="60AFCC97">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（一）针对“贯彻落实上级决策部署不到位，推进公共资源交易高质量发展有差距”方面问题</w:t>
      </w:r>
    </w:p>
    <w:p w14:paraId="30DFBA45">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是理论武装持续深化，意识形态责任压紧压实。坚持把理论学习作为首要任务，依托“三学三比”活动、职工大会及“三会一课”等多种载体，系统组织学习《中华人民共和国招标投标法》及其实施条例等法律法规，实现人员全覆盖、参学率100%，干部职工政策理解能力和业务水平显著提升。围绕党的二十届三中全会和市委六届六次全会精神，创新采用“集体学习—中心发言—研讨交流—总结讲评”四步学习法，深入开展专题研讨，推动上级精神入脑入心、落地见效。严格落实“第一议题”制度，将意识形态工作纳入年度考核及民主生活会重要内容，全年召开专题研究会议2次，切实筑牢思想根基、压实政治责任。</w:t>
      </w:r>
    </w:p>
    <w:p w14:paraId="1429EAD8">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是改革效能不断释放，监管服务实现提质增效。积极推进公共资源交易平台整合共享，主动与市联交所集团对接，累计开展沟通洽谈7次，召开专题部署会议2次，稳步推进市县平台共建。全面推行“不见面开标”与远程异地评标，实现工程项目全流程电子化率100%，有效提升交易效率和透明度。严格执行《保证金退还“123”制度》，建立超期通报机制，推动逾期率显著下降。持续优化营商环境，将相关工作纳入年度工作要点，市场主体满意度稳步提升。创新建立《招标计划表》《项目流标表》两本台账，实施季度专项检查，2025年1—8月投诉量同比下降30%。专家抽取流程严格规范，确保评审公平公正。</w:t>
      </w:r>
    </w:p>
    <w:p w14:paraId="39330653">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是技术赋能步伐加快，智慧监管体系加速构建。积极学习借鉴先进地区经验，组织赴四川达州考察大数据监管平台建设运行情况，形成专题考察报告，成功推动“石柱县公共资源交易智能监督管理平台”纳入县级“十五五”规划重大储备项目。全面完善采购文件范本体系，严格排查并纠正各类“排他性”条款，切实保障采购文件的公平性与合规性，营造更加开放、透明的交易环境。</w:t>
      </w:r>
    </w:p>
    <w:p w14:paraId="5E3AD62C">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（二）针对“落实中央八项规定精神不够严格，作风建设不够有力”方面问题</w:t>
      </w:r>
    </w:p>
    <w:p w14:paraId="5FCBC743">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一是财经纪律严格执行，财务管理全面规范。深入开展财经领域问题整治，全面清退违规发放的工会福利、超标准报销等费用，完成资金报销附件的补正与完善工作。持续优化固定资产管理机制，建立健全台账体系，实现账实相符率100%。加强财会队伍专业能力建设，组织参加县级会计知识竞赛并荣获优秀奖，财务管理规范化水平显著提升。</w:t>
      </w:r>
    </w:p>
    <w:p w14:paraId="4BB2C989">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二是制度笼子持续扎紧，作风效能显著增强。修订完善《机关运行管理制度》，强化文件全流程闭环管理，实现问题整改完成率100%。创新建立“月调度、季督查、年考核”工作机制，对推进不力、作风不实的责任人及时约谈、严肃问责。常态化开展警示教育，不断增强干部职工的纪律意识、规矩意识，推动形成严实硬朗的工作作风。</w:t>
      </w:r>
    </w:p>
    <w:p w14:paraId="38A7A1D6">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（三）针对“基层党组织建设不扎实，党建引领作用发挥不充分”方面问题</w:t>
      </w:r>
    </w:p>
    <w:p w14:paraId="6FAEF3D7">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一是党建责任层层压实，组织基础不断夯实。严格执行“第一议题”制度，每季度专题研究党建工作，积极申报清廉机关优秀案例，</w:t>
      </w:r>
      <w:r>
        <w:rPr>
          <w:rFonts w:hint="eastAsia" w:ascii="方正仿宋_GBK" w:hAnsi="方正仿宋_GBK" w:eastAsia="方正仿宋_GBK" w:cs="方正仿宋_GBK"/>
          <w:kern w:val="2"/>
          <w:sz w:val="32"/>
          <w:szCs w:val="32"/>
          <w:lang w:val="en-US" w:eastAsia="zh-CN" w:bidi="ar-SA"/>
        </w:rPr>
        <w:t>成功</w:t>
      </w:r>
      <w:r>
        <w:rPr>
          <w:rFonts w:hint="default" w:ascii="方正仿宋_GBK" w:hAnsi="方正仿宋_GBK" w:eastAsia="方正仿宋_GBK" w:cs="方正仿宋_GBK"/>
          <w:kern w:val="2"/>
          <w:sz w:val="32"/>
          <w:szCs w:val="32"/>
          <w:lang w:val="en-US" w:eastAsia="zh-CN" w:bidi="ar-SA"/>
        </w:rPr>
        <w:t>创建“红岩先锋·四强支部”。规范落实“三会一课”、主题党日、</w:t>
      </w:r>
      <w:r>
        <w:rPr>
          <w:rFonts w:hint="eastAsia" w:ascii="方正仿宋_GBK" w:hAnsi="方正仿宋_GBK" w:eastAsia="方正仿宋_GBK" w:cs="方正仿宋_GBK"/>
          <w:kern w:val="2"/>
          <w:sz w:val="32"/>
          <w:szCs w:val="32"/>
          <w:lang w:val="en-US" w:eastAsia="zh-CN" w:bidi="ar-SA"/>
        </w:rPr>
        <w:t>党员“政治生日”</w:t>
      </w:r>
      <w:r>
        <w:rPr>
          <w:rFonts w:hint="default" w:ascii="方正仿宋_GBK" w:hAnsi="方正仿宋_GBK" w:eastAsia="方正仿宋_GBK" w:cs="方正仿宋_GBK"/>
          <w:kern w:val="2"/>
          <w:sz w:val="32"/>
          <w:szCs w:val="32"/>
          <w:lang w:val="en-US" w:eastAsia="zh-CN" w:bidi="ar-SA"/>
        </w:rPr>
        <w:t>等制度，高质量召开巡察整改专题组织生活会，确保</w:t>
      </w:r>
      <w:r>
        <w:rPr>
          <w:rFonts w:hint="eastAsia" w:ascii="方正仿宋_GBK" w:hAnsi="方正仿宋_GBK" w:eastAsia="方正仿宋_GBK" w:cs="方正仿宋_GBK"/>
          <w:kern w:val="2"/>
          <w:sz w:val="32"/>
          <w:szCs w:val="32"/>
          <w:lang w:val="en-US" w:eastAsia="zh-CN" w:bidi="ar-SA"/>
        </w:rPr>
        <w:t>党内政治生活基本规范</w:t>
      </w:r>
      <w:r>
        <w:rPr>
          <w:rFonts w:hint="default" w:ascii="方正仿宋_GBK" w:hAnsi="方正仿宋_GBK" w:eastAsia="方正仿宋_GBK" w:cs="方正仿宋_GBK"/>
          <w:kern w:val="2"/>
          <w:sz w:val="32"/>
          <w:szCs w:val="32"/>
          <w:lang w:val="en-US" w:eastAsia="zh-CN" w:bidi="ar-SA"/>
        </w:rPr>
        <w:t>、富有成效。</w:t>
      </w:r>
    </w:p>
    <w:p w14:paraId="704AF99D">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二是党员管理精细规范，队伍活力有效激发。修订完善《干部考核细则》，明确科室岗位职责并实行上墙公示，确保职责知晓率100%。全面完成文件补签及闭环整改工作，实现制度执行与文件管理双提升。通过细化任务分解、加强督查考核，推动干部作风持续向好，制度执行力、工作落实力显著增强。</w:t>
      </w:r>
    </w:p>
    <w:p w14:paraId="54D7A0C2">
      <w:pPr>
        <w:overflowPunct w:val="0"/>
        <w:spacing w:line="590" w:lineRule="exact"/>
        <w:ind w:firstLine="652" w:firstLineChars="200"/>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三、立足常态长效，持续深化整改，推动公共资源交易工作上新台阶</w:t>
      </w:r>
    </w:p>
    <w:p w14:paraId="2BA766CA">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巡察整改是起点，更是推动工作提质增效的重要契机。中心将坚持标准不降、力度不减，持续巩固整改成果，推动公共资源交易工作实现新突破。</w:t>
      </w:r>
    </w:p>
    <w:p w14:paraId="7428132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（一）强化政治引领，压实整改责任。</w:t>
      </w:r>
      <w:r>
        <w:rPr>
          <w:rFonts w:hint="eastAsia" w:ascii="方正仿宋_GBK" w:hAnsi="方正仿宋_GBK" w:eastAsia="方正仿宋_GBK" w:cs="方正仿宋_GBK"/>
          <w:kern w:val="2"/>
          <w:sz w:val="32"/>
          <w:szCs w:val="32"/>
          <w:lang w:val="en-US" w:eastAsia="zh-CN" w:bidi="ar-SA"/>
        </w:rPr>
        <w:t>始终把党的政治建设摆在首位，持续深化党的创新理论武装。严格落实“第一责任人”职责和“一岗双责”，将整改任务纳入常态化管理，加强跟踪问效，确保责任层层传导、落实到位。</w:t>
      </w:r>
    </w:p>
    <w:p w14:paraId="317036CC">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（二）健全制度机制，推动标本兼治。</w:t>
      </w:r>
      <w:r>
        <w:rPr>
          <w:rFonts w:hint="eastAsia" w:ascii="方正仿宋_GBK" w:hAnsi="方正仿宋_GBK" w:eastAsia="方正仿宋_GBK" w:cs="方正仿宋_GBK"/>
          <w:kern w:val="2"/>
          <w:sz w:val="32"/>
          <w:szCs w:val="32"/>
          <w:lang w:val="en-US" w:eastAsia="zh-CN" w:bidi="ar-SA"/>
        </w:rPr>
        <w:t>坚持“当下改”与“长久立”相结合，深挖问题根源，举一反三。对已建立的制度狠抓执行，对不适应形势要求的及时修订，对制度空白加快填补，构建用制度管权、管事、管人的长效机制。</w:t>
      </w:r>
    </w:p>
    <w:p w14:paraId="1F5449D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（三）深化成果转化，服务发展大局。</w:t>
      </w:r>
      <w:r>
        <w:rPr>
          <w:rFonts w:hint="eastAsia" w:ascii="方正仿宋_GBK" w:hAnsi="方正仿宋_GBK" w:eastAsia="方正仿宋_GBK" w:cs="方正仿宋_GBK"/>
          <w:kern w:val="2"/>
          <w:sz w:val="32"/>
          <w:szCs w:val="32"/>
          <w:lang w:val="en-US" w:eastAsia="zh-CN" w:bidi="ar-SA"/>
        </w:rPr>
        <w:t>推动巡察整改与主责主业深度融合，与优化营商环境、服务县域发展协同推进。以整改实效助推公共资源交易规范化、数字化、智能化发展，努力营造更加公开公平、高效廉洁的交易环境，为全县高质量发展贡献力量。</w:t>
      </w:r>
    </w:p>
    <w:p w14:paraId="7B570965">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欢迎广大干部群众对巡察整改落实情况进行监督。如有意见和建议，请及时向我们反映。联系电话：73327118。</w:t>
      </w:r>
    </w:p>
    <w:p w14:paraId="21B98A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top"/>
        <w:rPr>
          <w:rFonts w:hint="eastAsia" w:ascii="宋体" w:hAnsi="宋体" w:eastAsia="宋体" w:cs="宋体"/>
          <w:i w:val="0"/>
          <w:iCs w:val="0"/>
          <w:caps w:val="0"/>
          <w:color w:val="121212"/>
          <w:spacing w:val="0"/>
          <w:sz w:val="31"/>
          <w:szCs w:val="31"/>
          <w:shd w:val="clear" w:fill="FFFFFF"/>
        </w:rPr>
      </w:pPr>
    </w:p>
    <w:p w14:paraId="06577A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top"/>
        <w:rPr>
          <w:rFonts w:hint="eastAsia" w:ascii="宋体" w:hAnsi="宋体" w:eastAsia="宋体" w:cs="宋体"/>
          <w:i w:val="0"/>
          <w:iCs w:val="0"/>
          <w:caps w:val="0"/>
          <w:color w:val="121212"/>
          <w:spacing w:val="0"/>
          <w:sz w:val="31"/>
          <w:szCs w:val="31"/>
          <w:shd w:val="clear" w:fill="FFFFFF"/>
        </w:rPr>
      </w:pPr>
    </w:p>
    <w:p w14:paraId="46A5915A">
      <w:pPr>
        <w:keepNext w:val="0"/>
        <w:keepLines w:val="0"/>
        <w:pageBreakBefore w:val="0"/>
        <w:widowControl/>
        <w:kinsoku/>
        <w:wordWrap/>
        <w:overflowPunct/>
        <w:topLinePunct w:val="0"/>
        <w:autoSpaceDE/>
        <w:autoSpaceDN/>
        <w:bidi w:val="0"/>
        <w:spacing w:line="560" w:lineRule="exact"/>
        <w:jc w:val="right"/>
        <w:textAlignment w:val="auto"/>
        <w:rPr>
          <w:rFonts w:ascii="Times New Roman" w:hAnsi="Times New Roman" w:cs="Times New Roman"/>
          <w:sz w:val="33"/>
          <w:szCs w:val="33"/>
        </w:rPr>
      </w:pPr>
      <w:r>
        <w:rPr>
          <w:rFonts w:hint="eastAsia" w:ascii="Times New Roman" w:hAnsi="Times New Roman" w:eastAsia="方正仿宋_GBK" w:cs="Times New Roman"/>
          <w:color w:val="000000"/>
          <w:kern w:val="0"/>
          <w:sz w:val="33"/>
          <w:szCs w:val="33"/>
          <w:lang w:bidi="ar"/>
        </w:rPr>
        <w:t>石柱土家族自治县公共资源交易监督事务中心</w:t>
      </w:r>
      <w:r>
        <w:rPr>
          <w:rFonts w:ascii="Times New Roman" w:hAnsi="Times New Roman" w:eastAsia="方正仿宋_GBK" w:cs="Times New Roman"/>
          <w:color w:val="000000"/>
          <w:kern w:val="0"/>
          <w:sz w:val="33"/>
          <w:szCs w:val="33"/>
          <w:lang w:bidi="ar"/>
        </w:rPr>
        <w:t xml:space="preserve"> </w:t>
      </w:r>
    </w:p>
    <w:p w14:paraId="1F347918">
      <w:pPr>
        <w:keepNext w:val="0"/>
        <w:keepLines w:val="0"/>
        <w:pageBreakBefore w:val="0"/>
        <w:widowControl w:val="0"/>
        <w:kinsoku/>
        <w:wordWrap/>
        <w:overflowPunct/>
        <w:topLinePunct w:val="0"/>
        <w:autoSpaceDE/>
        <w:autoSpaceDN/>
        <w:bidi w:val="0"/>
        <w:adjustRightInd/>
        <w:snapToGrid/>
        <w:spacing w:line="590" w:lineRule="exact"/>
        <w:ind w:firstLine="672" w:firstLineChars="200"/>
        <w:jc w:val="center"/>
        <w:textAlignment w:val="auto"/>
        <w:rPr>
          <w:rFonts w:hint="eastAsia" w:ascii="Times New Roman" w:hAnsi="Times New Roman" w:eastAsia="方正仿宋_GBK" w:cs="Times New Roman"/>
          <w:b w:val="0"/>
          <w:bCs/>
          <w:color w:val="000000"/>
          <w:kern w:val="2"/>
          <w:sz w:val="33"/>
          <w:szCs w:val="33"/>
          <w:lang w:val="en-US" w:eastAsia="zh-CN" w:bidi="ar-SA"/>
        </w:rPr>
      </w:pPr>
      <w:r>
        <w:rPr>
          <w:rFonts w:hint="eastAsia" w:cs="Times New Roman"/>
          <w:color w:val="000000"/>
          <w:kern w:val="0"/>
          <w:sz w:val="33"/>
          <w:szCs w:val="33"/>
          <w:lang w:val="en-US" w:eastAsia="zh-CN" w:bidi="ar"/>
        </w:rPr>
        <w:t xml:space="preserve">       </w:t>
      </w:r>
      <w:r>
        <w:rPr>
          <w:rFonts w:hint="eastAsia" w:eastAsia="方正仿宋_GBK" w:cs="Times New Roman"/>
          <w:color w:val="000000"/>
          <w:kern w:val="0"/>
          <w:sz w:val="33"/>
          <w:szCs w:val="33"/>
          <w:lang w:val="en-US" w:eastAsia="zh-CN" w:bidi="ar"/>
        </w:rPr>
        <w:t>2025</w:t>
      </w:r>
      <w:r>
        <w:rPr>
          <w:rFonts w:ascii="Times New Roman" w:hAnsi="Times New Roman" w:eastAsia="方正仿宋_GBK" w:cs="Times New Roman"/>
          <w:color w:val="000000"/>
          <w:kern w:val="0"/>
          <w:sz w:val="33"/>
          <w:szCs w:val="33"/>
          <w:lang w:bidi="ar"/>
        </w:rPr>
        <w:t>年</w:t>
      </w:r>
      <w:r>
        <w:rPr>
          <w:rFonts w:hint="eastAsia" w:eastAsia="方正仿宋_GBK" w:cs="Times New Roman"/>
          <w:color w:val="000000"/>
          <w:kern w:val="0"/>
          <w:sz w:val="33"/>
          <w:szCs w:val="33"/>
          <w:lang w:val="en-US" w:eastAsia="zh-CN" w:bidi="ar"/>
        </w:rPr>
        <w:t>12</w:t>
      </w:r>
      <w:r>
        <w:rPr>
          <w:rFonts w:ascii="Times New Roman" w:hAnsi="Times New Roman" w:eastAsia="方正仿宋_GBK" w:cs="Times New Roman"/>
          <w:color w:val="000000"/>
          <w:kern w:val="0"/>
          <w:sz w:val="33"/>
          <w:szCs w:val="33"/>
          <w:lang w:bidi="ar"/>
        </w:rPr>
        <w:t>月</w:t>
      </w:r>
      <w:r>
        <w:rPr>
          <w:rFonts w:hint="eastAsia" w:ascii="Times New Roman" w:hAnsi="Times New Roman" w:eastAsia="方正仿宋_GBK" w:cs="Times New Roman"/>
          <w:color w:val="000000"/>
          <w:kern w:val="0"/>
          <w:sz w:val="33"/>
          <w:szCs w:val="33"/>
          <w:lang w:val="en-US" w:eastAsia="zh-CN" w:bidi="ar"/>
        </w:rPr>
        <w:t>1</w:t>
      </w:r>
      <w:bookmarkStart w:id="0" w:name="_GoBack"/>
      <w:bookmarkEnd w:id="0"/>
      <w:r>
        <w:rPr>
          <w:rFonts w:ascii="Times New Roman" w:hAnsi="Times New Roman" w:eastAsia="方正仿宋_GBK" w:cs="Times New Roman"/>
          <w:color w:val="000000"/>
          <w:kern w:val="0"/>
          <w:sz w:val="33"/>
          <w:szCs w:val="33"/>
          <w:lang w:bidi="ar"/>
        </w:rPr>
        <w:t>日</w:t>
      </w:r>
    </w:p>
    <w:p w14:paraId="344B828C">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（此件公开发布）</w:t>
      </w:r>
    </w:p>
    <w:sectPr>
      <w:footerReference r:id="rId3" w:type="default"/>
      <w:pgSz w:w="11906" w:h="16838"/>
      <w:pgMar w:top="1962" w:right="1474" w:bottom="1848" w:left="1587" w:header="851" w:footer="1049" w:gutter="0"/>
      <w:pgNumType w:fmt="decimal"/>
      <w:cols w:space="425"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4326">
    <w:pPr>
      <w:pStyle w:val="2"/>
      <w:spacing w:line="471" w:lineRule="auto"/>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1A10">
                          <w:pPr>
                            <w:pStyle w:val="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18A61A10">
                    <w:pPr>
                      <w:pStyle w:val="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2"/>
  <w:drawingGridVerticalSpacing w:val="296"/>
  <w:displayHorizontalDrawingGridEvery w:val="1"/>
  <w:displayVerticalDrawingGridEvery w:val="2"/>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47941"/>
    <w:rsid w:val="012B64AF"/>
    <w:rsid w:val="017460A8"/>
    <w:rsid w:val="025022FC"/>
    <w:rsid w:val="035A0A58"/>
    <w:rsid w:val="04537379"/>
    <w:rsid w:val="04AF32DA"/>
    <w:rsid w:val="05CF7D50"/>
    <w:rsid w:val="089D4136"/>
    <w:rsid w:val="0FBF64FF"/>
    <w:rsid w:val="166F7C64"/>
    <w:rsid w:val="18876269"/>
    <w:rsid w:val="1EF736F4"/>
    <w:rsid w:val="26F4714B"/>
    <w:rsid w:val="28577E66"/>
    <w:rsid w:val="2D7B7CF2"/>
    <w:rsid w:val="2F0D0D20"/>
    <w:rsid w:val="30E43E01"/>
    <w:rsid w:val="33973635"/>
    <w:rsid w:val="33997628"/>
    <w:rsid w:val="3578787B"/>
    <w:rsid w:val="37634B3D"/>
    <w:rsid w:val="41344E48"/>
    <w:rsid w:val="438945E6"/>
    <w:rsid w:val="45C80E5F"/>
    <w:rsid w:val="4F4246BC"/>
    <w:rsid w:val="4F6C1739"/>
    <w:rsid w:val="51B06A69"/>
    <w:rsid w:val="5BCA1CC1"/>
    <w:rsid w:val="5E31427A"/>
    <w:rsid w:val="6CF52916"/>
    <w:rsid w:val="6F8C7562"/>
    <w:rsid w:val="7C147941"/>
    <w:rsid w:val="7D082B6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snapToGrid w:val="0"/>
      <w:jc w:val="left"/>
    </w:pPr>
    <w:rPr>
      <w:sz w:val="18"/>
      <w:szCs w:val="18"/>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319071c8-d5a1-45f4-9978-a86a1d5fec86</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39330653</paraID>
      <start>72</start>
      <end>75</end>
      <status>unmodified</status>
      <modifiedWord/>
      <trackRevisions>false</trackRevisions>
    </reviewItem>
    <reviewItem>
      <errorID>c6391765-f776-41f3-a979-470ece64fd70</errorID>
      <errorWord>。</errorWord>
      <group>L1_Punc</group>
      <groupName>标点问题</groupName>
      <ability>L2_Punc</ability>
      <abilityName>标点符号检查</abilityName>
      <candidateList>
        <item/>
      </candidateList>
      <explain>标题文本后不使用标点符号。</explain>
      <paraID>7428132F</paraID>
      <start>16</start>
      <end>17</end>
      <status>unmodified</status>
      <modifiedWord/>
      <trackRevisions>false</trackRevisions>
    </reviewItem>
    <reviewItem>
      <errorID>4e126a9e-52cf-4026-89eb-ba7a17940aca</errorID>
      <errorWord>。</errorWord>
      <group>L1_Punc</group>
      <groupName>标点问题</groupName>
      <ability>L2_Punc</ability>
      <abilityName>标点符号检查</abilityName>
      <candidateList>
        <item/>
      </candidateList>
      <explain>标题文本后不使用标点符号。</explain>
      <paraID>317036CC</paraID>
      <start>16</start>
      <end>17</end>
      <status>unmodified</status>
      <modifiedWord/>
      <trackRevisions>false</trackRevisions>
    </reviewItem>
    <reviewItem>
      <errorID>c4388828-97bd-4680-891d-fd590af0a3b6</errorID>
      <errorWord>。</errorWord>
      <group>L1_Punc</group>
      <groupName>标点问题</groupName>
      <ability>L2_Punc</ability>
      <abilityName>标点符号检查</abilityName>
      <candidateList>
        <item/>
      </candidateList>
      <explain>标题文本后不使用标点符号。</explain>
      <paraID>1F5449DF</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67166-feef-498d-8163-91b5741af34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2637</Words>
  <Characters>2684</Characters>
  <Lines>0</Lines>
  <Paragraphs>0</Paragraphs>
  <TotalTime>33</TotalTime>
  <ScaleCrop>false</ScaleCrop>
  <LinksUpToDate>false</LinksUpToDate>
  <CharactersWithSpaces>2693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2025-11-21T01:00:00Z</dcterms:created>
  <dc:creator>璞鹿</dc:creator>
  <cp:lastModifiedBy>Administrator</cp:lastModifiedBy>
  <cp:lastPrinted>2025-11-27T02:56:00Z</cp:lastPrinted>
  <dcterms:modified xsi:type="dcterms:W3CDTF">2026-01-13T01:25:58Z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7592069481A94C3F974FA13A844ECCEA_11</vt:lpwstr>
  </property>
  <property fmtid="{D5CDD505-2E9C-101B-9397-08002B2CF9AE}" pid="4" name="KSOTemplateDocerSaveRecord">
    <vt:lpwstr>eyJoZGlkIjoiZmQyOTA0Yzc2NWNjY2NjN2JjNjYwZGFhMjI5MTIwNjUiLCJ1c2VySWQiOiI1Nzc3MTA5NDkifQ==</vt:lpwstr>
  </property>
</Properties>
</file>