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F2586">
      <w:pPr>
        <w:adjustRightInd w:val="0"/>
        <w:snapToGrid w:val="0"/>
        <w:spacing w:line="560" w:lineRule="exact"/>
        <w:jc w:val="center"/>
        <w:rPr>
          <w:rFonts w:hint="eastAsia" w:ascii="Times New Roman" w:hAnsi="Times New Roman" w:eastAsia="方正小标宋_GBK" w:cs="Times New Roman"/>
          <w:b/>
          <w:bCs/>
          <w:kern w:val="2"/>
          <w:sz w:val="44"/>
          <w:szCs w:val="44"/>
          <w:lang w:val="en-US" w:eastAsia="zh-CN" w:bidi="ar-SA"/>
        </w:rPr>
      </w:pPr>
      <w:r>
        <w:rPr>
          <w:rFonts w:hint="eastAsia" w:ascii="Times New Roman" w:hAnsi="Times New Roman" w:eastAsia="方正小标宋_GBK" w:cs="Times New Roman"/>
          <w:b/>
          <w:bCs/>
          <w:sz w:val="44"/>
          <w:szCs w:val="44"/>
          <w:lang w:val="en-US" w:eastAsia="zh-CN"/>
        </w:rPr>
        <w:t>石柱土家族自治县公共资源交易监督事务中心</w:t>
      </w:r>
      <w:r>
        <w:rPr>
          <w:rFonts w:hint="eastAsia" w:ascii="Times New Roman" w:hAnsi="Times New Roman" w:eastAsia="方正小标宋_GBK" w:cs="Times New Roman"/>
          <w:b/>
          <w:bCs/>
          <w:kern w:val="2"/>
          <w:sz w:val="44"/>
          <w:szCs w:val="44"/>
          <w:lang w:val="en-US" w:eastAsia="zh-CN" w:bidi="ar-SA"/>
        </w:rPr>
        <w:t>关于十五届县委第七轮巡察整改工作</w:t>
      </w:r>
    </w:p>
    <w:p w14:paraId="10997FA8">
      <w:pPr>
        <w:adjustRightInd w:val="0"/>
        <w:snapToGrid w:val="0"/>
        <w:spacing w:line="560" w:lineRule="exact"/>
        <w:jc w:val="center"/>
        <w:rPr>
          <w:rFonts w:hint="eastAsia" w:ascii="Times New Roman" w:hAnsi="Times New Roman" w:eastAsia="方正小标宋_GBK" w:cs="Times New Roman"/>
          <w:b/>
          <w:bCs/>
          <w:kern w:val="2"/>
          <w:sz w:val="44"/>
          <w:szCs w:val="44"/>
          <w:lang w:val="en-US" w:eastAsia="zh-CN" w:bidi="ar-SA"/>
        </w:rPr>
      </w:pPr>
      <w:r>
        <w:rPr>
          <w:rFonts w:hint="eastAsia" w:ascii="Times New Roman" w:hAnsi="Times New Roman" w:eastAsia="方正小标宋_GBK" w:cs="Times New Roman"/>
          <w:b/>
          <w:bCs/>
          <w:kern w:val="2"/>
          <w:sz w:val="44"/>
          <w:szCs w:val="44"/>
          <w:lang w:val="en-US" w:eastAsia="zh-CN" w:bidi="ar-SA"/>
        </w:rPr>
        <w:t>进展情况的通报</w:t>
      </w:r>
    </w:p>
    <w:p w14:paraId="1DB14574">
      <w:pPr>
        <w:pStyle w:val="2"/>
        <w:rPr>
          <w:rFonts w:hint="eastAsia"/>
          <w:lang w:val="en-US" w:eastAsia="zh-CN"/>
        </w:rPr>
      </w:pPr>
    </w:p>
    <w:p w14:paraId="5915C834">
      <w:pPr>
        <w:pStyle w:val="2"/>
        <w:rPr>
          <w:rFonts w:hint="eastAsia"/>
          <w:lang w:val="en-US" w:eastAsia="zh-CN"/>
        </w:rPr>
      </w:pPr>
    </w:p>
    <w:p w14:paraId="67897A66">
      <w:pPr>
        <w:keepNext w:val="0"/>
        <w:keepLines w:val="0"/>
        <w:pageBreakBefore w:val="0"/>
        <w:kinsoku/>
        <w:wordWrap/>
        <w:overflowPunct/>
        <w:topLinePunct w:val="0"/>
        <w:autoSpaceDE/>
        <w:autoSpaceDN/>
        <w:bidi w:val="0"/>
        <w:adjustRightInd/>
        <w:snapToGrid/>
        <w:ind w:firstLine="652" w:firstLineChars="200"/>
        <w:textAlignment w:val="auto"/>
        <w:rPr>
          <w:rFonts w:hint="eastAsia" w:eastAsiaTheme="minorEastAsia"/>
          <w:lang w:eastAsia="zh-CN"/>
        </w:rPr>
      </w:pPr>
      <w:r>
        <w:rPr>
          <w:rFonts w:hint="eastAsia" w:ascii="方正仿宋_GBK" w:hAnsi="方正仿宋_GBK" w:eastAsia="方正仿宋_GBK" w:cs="方正仿宋_GBK"/>
          <w:sz w:val="32"/>
          <w:szCs w:val="32"/>
          <w:lang w:eastAsia="zh-CN"/>
        </w:rPr>
        <w:t>根据县委巡察工作的统一安排，</w:t>
      </w:r>
      <w:r>
        <w:rPr>
          <w:rFonts w:hint="eastAsia" w:ascii="方正仿宋_GBK" w:hAnsi="方正仿宋_GBK" w:eastAsia="方正仿宋_GBK" w:cs="方正仿宋_GBK"/>
          <w:sz w:val="32"/>
          <w:szCs w:val="32"/>
          <w:lang w:val="en-US" w:eastAsia="zh-CN"/>
        </w:rPr>
        <w:t>2024年11月1日至2025年1月20日，县委第三巡察组对县公共资源交易监督事务中心开展了巡察工作。2025年5月，县委第三巡察组向县公共资源交易监督事务中心反馈了巡察意见。按照巡察工作的相关要求，现将巡察整改进展情况予以公布。</w:t>
      </w:r>
    </w:p>
    <w:p w14:paraId="6D5F5F7E">
      <w:pPr>
        <w:overflowPunct w:val="0"/>
        <w:spacing w:line="590" w:lineRule="exact"/>
        <w:ind w:firstLine="652" w:firstLineChars="200"/>
        <w:jc w:val="left"/>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一、提高政治站位，强化政治担当，坚决履行巡察整改政治责任</w:t>
      </w:r>
    </w:p>
    <w:p w14:paraId="0C822E7F">
      <w:pPr>
        <w:keepNext w:val="0"/>
        <w:keepLines w:val="0"/>
        <w:pageBreakBefore w:val="0"/>
        <w:kinsoku/>
        <w:wordWrap/>
        <w:overflowPunct/>
        <w:topLinePunct w:val="0"/>
        <w:autoSpaceDE/>
        <w:autoSpaceDN/>
        <w:bidi w:val="0"/>
        <w:adjustRightInd/>
        <w:snapToGrid/>
        <w:ind w:firstLine="652" w:firstLineChars="200"/>
        <w:textAlignment w:val="auto"/>
        <w:rPr>
          <w:rFonts w:hint="eastAsia" w:eastAsiaTheme="minorEastAsia"/>
          <w:lang w:eastAsia="zh-CN"/>
        </w:rPr>
      </w:pPr>
      <w:r>
        <w:rPr>
          <w:rFonts w:hint="eastAsia" w:ascii="方正仿宋_GBK" w:hAnsi="方正仿宋_GBK" w:eastAsia="方正仿宋_GBK" w:cs="方正仿宋_GBK"/>
          <w:kern w:val="2"/>
          <w:sz w:val="32"/>
          <w:szCs w:val="32"/>
          <w:lang w:val="en-US" w:eastAsia="zh-CN" w:bidi="ar-SA"/>
        </w:rPr>
        <w:t>中心始终将巡察整改视为重大政治任务，以高度的政治自觉和强烈的使命意识，全力以赴做好巡察整改“后半篇文章”。</w:t>
      </w:r>
    </w:p>
    <w:p w14:paraId="10696687">
      <w:pPr>
        <w:pStyle w:val="8"/>
        <w:keepNext w:val="0"/>
        <w:keepLines w:val="0"/>
        <w:pageBreakBefore w:val="0"/>
        <w:numPr>
          <w:ilvl w:val="0"/>
          <w:numId w:val="0"/>
        </w:numPr>
        <w:kinsoku/>
        <w:wordWrap/>
        <w:overflowPunct/>
        <w:topLinePunct w:val="0"/>
        <w:autoSpaceDE/>
        <w:autoSpaceDN/>
        <w:bidi w:val="0"/>
        <w:adjustRightInd/>
        <w:spacing w:line="560" w:lineRule="exact"/>
        <w:ind w:firstLine="652" w:firstLineChars="200"/>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（一）深化思想认识，提升行动自觉</w:t>
      </w:r>
    </w:p>
    <w:p w14:paraId="0E954DAD">
      <w:pPr>
        <w:keepNext w:val="0"/>
        <w:keepLines w:val="0"/>
        <w:pageBreakBefore w:val="0"/>
        <w:kinsoku/>
        <w:wordWrap/>
        <w:overflowPunct/>
        <w:topLinePunct w:val="0"/>
        <w:autoSpaceDE/>
        <w:autoSpaceDN/>
        <w:bidi w:val="0"/>
        <w:adjustRightInd/>
        <w:snapToGrid/>
        <w:ind w:firstLine="652" w:firstLineChars="200"/>
        <w:textAlignment w:val="auto"/>
        <w:rPr>
          <w:rFonts w:hint="eastAsia" w:eastAsiaTheme="minorEastAsia"/>
          <w:lang w:eastAsia="zh-CN"/>
        </w:rPr>
      </w:pPr>
      <w:r>
        <w:rPr>
          <w:rFonts w:hint="eastAsia" w:ascii="方正仿宋_GBK" w:hAnsi="方正仿宋_GBK" w:eastAsia="方正仿宋_GBK" w:cs="方正仿宋_GBK"/>
          <w:kern w:val="2"/>
          <w:sz w:val="32"/>
          <w:szCs w:val="32"/>
          <w:lang w:val="en-US" w:eastAsia="zh-CN" w:bidi="ar-SA"/>
        </w:rPr>
        <w:t>巡察意见反馈后，中心立即召开专题会议，深入学习贯彻习近平总书记关于巡视工作的重要论述以及县委的部署要求，全面系统地学习《中国共产党巡视工作条例》等党内法规。通过多次组织学习活动，全体干部职工深刻认识到巡察是一项严肃的“政治体检”，切实将思想和行动统一到县委的决策部署上来，为推进整改工作奠定了坚实的思想基础。</w:t>
      </w:r>
    </w:p>
    <w:p w14:paraId="44B1855D">
      <w:pPr>
        <w:pStyle w:val="8"/>
        <w:keepNext w:val="0"/>
        <w:keepLines w:val="0"/>
        <w:pageBreakBefore w:val="0"/>
        <w:numPr>
          <w:ilvl w:val="0"/>
          <w:numId w:val="0"/>
        </w:numPr>
        <w:kinsoku/>
        <w:wordWrap/>
        <w:overflowPunct/>
        <w:topLinePunct w:val="0"/>
        <w:autoSpaceDE/>
        <w:autoSpaceDN/>
        <w:bidi w:val="0"/>
        <w:adjustRightInd/>
        <w:spacing w:line="560" w:lineRule="exact"/>
        <w:ind w:firstLine="652" w:firstLineChars="200"/>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（二）压实主体责任，强化组织保障</w:t>
      </w:r>
    </w:p>
    <w:p w14:paraId="36FB00C6">
      <w:pPr>
        <w:keepNext w:val="0"/>
        <w:keepLines w:val="0"/>
        <w:pageBreakBefore w:val="0"/>
        <w:kinsoku/>
        <w:wordWrap/>
        <w:overflowPunct/>
        <w:topLinePunct w:val="0"/>
        <w:autoSpaceDE/>
        <w:autoSpaceDN/>
        <w:bidi w:val="0"/>
        <w:adjustRightInd/>
        <w:snapToGrid/>
        <w:ind w:firstLine="652" w:firstLineChars="200"/>
        <w:textAlignment w:val="auto"/>
        <w:rPr>
          <w:rFonts w:hint="eastAsia" w:eastAsiaTheme="minorEastAsia"/>
          <w:lang w:eastAsia="zh-CN"/>
        </w:rPr>
      </w:pPr>
      <w:r>
        <w:rPr>
          <w:rFonts w:hint="eastAsia" w:ascii="方正仿宋_GBK" w:hAnsi="方正仿宋_GBK" w:eastAsia="方正仿宋_GBK" w:cs="方正仿宋_GBK"/>
          <w:kern w:val="2"/>
          <w:sz w:val="32"/>
          <w:szCs w:val="32"/>
          <w:lang w:val="en-US" w:eastAsia="zh-CN" w:bidi="ar-SA"/>
        </w:rPr>
        <w:t>中心坚决承担起整改主体责任，成立了以县发改委党组成员、中心主任为组长，其他班子成员为副组长，各科室负责人为成员的巡察反馈问题整改工作组。严格落实“第一责任人”责任和“一岗双责”，构建起主要领导亲自抓、分管领导具体抓、各科室负责落实的责任体系。在集中整改期间，专题研究整改工作达5次，确保整改责任得以层层落实。</w:t>
      </w:r>
    </w:p>
    <w:p w14:paraId="53218452">
      <w:pPr>
        <w:pStyle w:val="8"/>
        <w:keepNext w:val="0"/>
        <w:keepLines w:val="0"/>
        <w:pageBreakBefore w:val="0"/>
        <w:numPr>
          <w:ilvl w:val="0"/>
          <w:numId w:val="0"/>
        </w:numPr>
        <w:kinsoku/>
        <w:wordWrap/>
        <w:overflowPunct/>
        <w:topLinePunct w:val="0"/>
        <w:autoSpaceDE/>
        <w:autoSpaceDN/>
        <w:bidi w:val="0"/>
        <w:adjustRightInd/>
        <w:spacing w:line="560" w:lineRule="exact"/>
        <w:ind w:firstLine="652" w:firstLineChars="200"/>
        <w:textAlignment w:val="auto"/>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（三）制定专项方案，确保整改实效</w:t>
      </w:r>
    </w:p>
    <w:p w14:paraId="0DA81B59">
      <w:pPr>
        <w:keepNext w:val="0"/>
        <w:keepLines w:val="0"/>
        <w:pageBreakBefore w:val="0"/>
        <w:kinsoku/>
        <w:wordWrap/>
        <w:overflowPunct/>
        <w:topLinePunct w:val="0"/>
        <w:autoSpaceDE/>
        <w:autoSpaceDN/>
        <w:bidi w:val="0"/>
        <w:adjustRightInd/>
        <w:snapToGrid/>
        <w:ind w:firstLine="652"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针对巡察反馈的3方面9个问题19条具体表现，制定46条整改措施，建立问题、任务、责任“三张清单”。将整改工作与全面从严治党、优化营商环境等重点任务结合，建立“周汇总、月调度、季督查”机制，实行销号管理，形成整改闭环，实现解决一个问题、完善一套制度、堵塞一批漏洞的综合效果。 </w:t>
      </w:r>
    </w:p>
    <w:p w14:paraId="61FCF078">
      <w:pPr>
        <w:overflowPunct w:val="0"/>
        <w:spacing w:line="590" w:lineRule="exact"/>
        <w:ind w:firstLine="652" w:firstLineChars="200"/>
        <w:jc w:val="left"/>
        <w:rPr>
          <w:rFonts w:hint="default" w:ascii="方正黑体_GBK" w:hAnsi="方正黑体_GBK" w:eastAsia="方正黑体_GBK" w:cs="方正黑体_GBK"/>
          <w:b w:val="0"/>
          <w:bCs/>
          <w:sz w:val="32"/>
          <w:szCs w:val="32"/>
          <w:lang w:val="en-US" w:eastAsia="zh-CN"/>
        </w:rPr>
      </w:pPr>
      <w:r>
        <w:rPr>
          <w:rFonts w:hint="default" w:ascii="方正黑体_GBK" w:hAnsi="方正黑体_GBK" w:eastAsia="方正黑体_GBK" w:cs="方正黑体_GBK"/>
          <w:b w:val="0"/>
          <w:bCs/>
          <w:sz w:val="32"/>
          <w:szCs w:val="32"/>
          <w:lang w:val="en-US" w:eastAsia="zh-CN"/>
        </w:rPr>
        <w:t>二、聚焦问题整改，注重常态长效，巡察整改工作取得显著阶段性成效</w:t>
      </w:r>
    </w:p>
    <w:p w14:paraId="60AFCC97">
      <w:pPr>
        <w:pStyle w:val="8"/>
        <w:keepNext w:val="0"/>
        <w:keepLines w:val="0"/>
        <w:pageBreakBefore w:val="0"/>
        <w:numPr>
          <w:ilvl w:val="0"/>
          <w:numId w:val="0"/>
        </w:numPr>
        <w:kinsoku/>
        <w:wordWrap/>
        <w:overflowPunct/>
        <w:topLinePunct w:val="0"/>
        <w:autoSpaceDE/>
        <w:autoSpaceDN/>
        <w:bidi w:val="0"/>
        <w:adjustRightInd/>
        <w:spacing w:line="560" w:lineRule="exact"/>
        <w:ind w:firstLine="652" w:firstLineChars="200"/>
        <w:textAlignment w:val="auto"/>
        <w:rPr>
          <w:rFonts w:hint="default" w:ascii="方正楷体_GBK" w:hAnsi="方正楷体_GBK" w:eastAsia="方正楷体_GBK" w:cs="方正楷体_GBK"/>
          <w:color w:val="000000"/>
          <w:kern w:val="0"/>
          <w:sz w:val="32"/>
          <w:szCs w:val="32"/>
          <w:lang w:val="en-US" w:eastAsia="zh-CN" w:bidi="ar"/>
        </w:rPr>
      </w:pPr>
      <w:r>
        <w:rPr>
          <w:rFonts w:hint="default" w:ascii="方正楷体_GBK" w:hAnsi="方正楷体_GBK" w:eastAsia="方正楷体_GBK" w:cs="方正楷体_GBK"/>
          <w:color w:val="000000"/>
          <w:kern w:val="0"/>
          <w:sz w:val="32"/>
          <w:szCs w:val="32"/>
          <w:lang w:val="en-US" w:eastAsia="zh-CN" w:bidi="ar"/>
        </w:rPr>
        <w:t>（一）针对“贯彻落实上级决策部署不到位，推进公共资源交易高质量发展有差距”方面问题</w:t>
      </w:r>
    </w:p>
    <w:p w14:paraId="30DFBA45">
      <w:pPr>
        <w:keepNext w:val="0"/>
        <w:keepLines w:val="0"/>
        <w:pageBreakBefore w:val="0"/>
        <w:widowControl/>
        <w:kinsoku/>
        <w:wordWrap/>
        <w:overflowPunct/>
        <w:topLinePunct w:val="0"/>
        <w:autoSpaceDE/>
        <w:autoSpaceDN/>
        <w:bidi w:val="0"/>
        <w:adjustRightInd/>
        <w:snapToGrid/>
        <w:spacing w:line="560" w:lineRule="exact"/>
        <w:ind w:firstLine="652"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是理论武装持续深化，意识形态责任压紧压实。坚持把理论学习作为首要任务，依托“三学三比”活动、职工大会及“三会一课”等多种载体，系统组织学习《中华人民共和国招标投标法》及其实施条例等法律法规，实现人员全覆盖、参学率100%，干部职工政策理解能力和业务水平显著提升。围绕党的二十届三中全会和市委六届六次全会精神，创新采用“集体学习—中心发言—研讨交流—总结讲评”四步学习法，深入开展专题研讨，推动上级精神入脑入心、落地见效。严格落实“第一议题”制度，将意识形态工作纳入年度考核及民主生活会重要内容，全年召开专题研究会议2次，切实筑牢思想根基、压实政治责任。</w:t>
      </w:r>
    </w:p>
    <w:p w14:paraId="1429EAD8">
      <w:pPr>
        <w:keepNext w:val="0"/>
        <w:keepLines w:val="0"/>
        <w:pageBreakBefore w:val="0"/>
        <w:widowControl/>
        <w:kinsoku/>
        <w:wordWrap/>
        <w:overflowPunct/>
        <w:topLinePunct w:val="0"/>
        <w:autoSpaceDE/>
        <w:autoSpaceDN/>
        <w:bidi w:val="0"/>
        <w:adjustRightInd/>
        <w:snapToGrid/>
        <w:spacing w:line="560" w:lineRule="exact"/>
        <w:ind w:firstLine="652"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是改革效能不断释放，监管服务实现提质增效。积极推进公共资源交易平台整合共享，主动与市联交所集团对接，累计开展沟通洽谈7次，召开专题部署会议2次，稳步推进市县平台共建。全面推行“不见面开标”与远程异地评标，实现工程项目全流程电子化率100%，有效提升交易效率和透明度。严格执行《保证金退还“123”制度》，建立超期通报机制，推动逾期率显著下降。持续优化营商环境，将相关工作纳入年度工作要点，市场主体满意度稳步提升。创新建立《招标计划表》《项目流标表》两本台账，实施季度专项检查，2025年1—8月投诉量同比下降30%。专家抽取流程严格规范，确保评审公平公正。</w:t>
      </w:r>
    </w:p>
    <w:p w14:paraId="39330653">
      <w:pPr>
        <w:keepNext w:val="0"/>
        <w:keepLines w:val="0"/>
        <w:pageBreakBefore w:val="0"/>
        <w:widowControl/>
        <w:kinsoku/>
        <w:wordWrap/>
        <w:overflowPunct/>
        <w:topLinePunct w:val="0"/>
        <w:autoSpaceDE/>
        <w:autoSpaceDN/>
        <w:bidi w:val="0"/>
        <w:adjustRightInd/>
        <w:snapToGrid/>
        <w:spacing w:line="560" w:lineRule="exact"/>
        <w:ind w:firstLine="652"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是技术赋能步伐加快，智慧监管体系加速构建。积极学习借鉴先进地区经验，组织赴四川达州考察大数据监管平台建设运行情况，形成专题考察报告，成功推动“石柱县公共资源交易智能监督管理平台”纳入县级“十五五”规划重大储备项目。全面完善采购文件范本体系，严格排查并纠正各类“排他性”条款，切实保障采购文件的公平性与合规性，营造更加开放、透明的交易环境。</w:t>
      </w:r>
    </w:p>
    <w:p w14:paraId="5E3AD62C">
      <w:pPr>
        <w:pStyle w:val="8"/>
        <w:keepNext w:val="0"/>
        <w:keepLines w:val="0"/>
        <w:pageBreakBefore w:val="0"/>
        <w:numPr>
          <w:ilvl w:val="0"/>
          <w:numId w:val="0"/>
        </w:numPr>
        <w:kinsoku/>
        <w:wordWrap/>
        <w:overflowPunct/>
        <w:topLinePunct w:val="0"/>
        <w:autoSpaceDE/>
        <w:autoSpaceDN/>
        <w:bidi w:val="0"/>
        <w:adjustRightInd/>
        <w:spacing w:line="560" w:lineRule="exact"/>
        <w:ind w:firstLine="652" w:firstLineChars="200"/>
        <w:textAlignment w:val="auto"/>
        <w:rPr>
          <w:rFonts w:hint="default" w:ascii="方正楷体_GBK" w:hAnsi="方正楷体_GBK" w:eastAsia="方正楷体_GBK" w:cs="方正楷体_GBK"/>
          <w:color w:val="000000"/>
          <w:kern w:val="0"/>
          <w:sz w:val="32"/>
          <w:szCs w:val="32"/>
          <w:lang w:val="en-US" w:eastAsia="zh-CN" w:bidi="ar"/>
        </w:rPr>
      </w:pPr>
      <w:r>
        <w:rPr>
          <w:rFonts w:hint="default" w:ascii="方正楷体_GBK" w:hAnsi="方正楷体_GBK" w:eastAsia="方正楷体_GBK" w:cs="方正楷体_GBK"/>
          <w:color w:val="000000"/>
          <w:kern w:val="0"/>
          <w:sz w:val="32"/>
          <w:szCs w:val="32"/>
          <w:lang w:val="en-US" w:eastAsia="zh-CN" w:bidi="ar"/>
        </w:rPr>
        <w:t>（二）针对“落实中央八项规定精神不够严格，作风建设不够有力”方面问题</w:t>
      </w:r>
    </w:p>
    <w:p w14:paraId="5FCBC743">
      <w:pPr>
        <w:keepNext w:val="0"/>
        <w:keepLines w:val="0"/>
        <w:pageBreakBefore w:val="0"/>
        <w:widowControl/>
        <w:kinsoku/>
        <w:wordWrap/>
        <w:overflowPunct/>
        <w:topLinePunct w:val="0"/>
        <w:autoSpaceDE/>
        <w:autoSpaceDN/>
        <w:bidi w:val="0"/>
        <w:adjustRightInd/>
        <w:snapToGrid/>
        <w:spacing w:line="560" w:lineRule="exact"/>
        <w:ind w:firstLine="652" w:firstLineChars="200"/>
        <w:jc w:val="left"/>
        <w:textAlignment w:val="auto"/>
        <w:rPr>
          <w:rFonts w:hint="default" w:ascii="方正仿宋_GBK" w:hAnsi="方正仿宋_GBK" w:eastAsia="方正仿宋_GBK" w:cs="方正仿宋_GBK"/>
          <w:kern w:val="2"/>
          <w:sz w:val="32"/>
          <w:szCs w:val="32"/>
          <w:lang w:val="en-US" w:eastAsia="zh-CN" w:bidi="ar-SA"/>
        </w:rPr>
      </w:pPr>
      <w:r>
        <w:rPr>
          <w:rFonts w:hint="default" w:ascii="方正仿宋_GBK" w:hAnsi="方正仿宋_GBK" w:eastAsia="方正仿宋_GBK" w:cs="方正仿宋_GBK"/>
          <w:kern w:val="2"/>
          <w:sz w:val="32"/>
          <w:szCs w:val="32"/>
          <w:lang w:val="en-US" w:eastAsia="zh-CN" w:bidi="ar-SA"/>
        </w:rPr>
        <w:t>一是财经纪律严格执行，财务管理全面规范。深入开展财经领域问题整治，全面清退违规发放的工会福利、超标准报销等费用，完成资金报销附件的补正与完善工作。持续优化固定资产管理机制，建立健全台账体系，实现账实相符率100%。加强财会队伍专业能力建设，组织参加县级会计知识竞赛并荣获优秀奖，财务管理规范化水平显著提升。</w:t>
      </w:r>
    </w:p>
    <w:p w14:paraId="4BB2C989">
      <w:pPr>
        <w:keepNext w:val="0"/>
        <w:keepLines w:val="0"/>
        <w:pageBreakBefore w:val="0"/>
        <w:widowControl/>
        <w:kinsoku/>
        <w:wordWrap/>
        <w:overflowPunct/>
        <w:topLinePunct w:val="0"/>
        <w:autoSpaceDE/>
        <w:autoSpaceDN/>
        <w:bidi w:val="0"/>
        <w:adjustRightInd/>
        <w:snapToGrid/>
        <w:spacing w:line="560" w:lineRule="exact"/>
        <w:ind w:firstLine="652" w:firstLineChars="200"/>
        <w:jc w:val="left"/>
        <w:textAlignment w:val="auto"/>
        <w:rPr>
          <w:rFonts w:hint="default" w:ascii="方正仿宋_GBK" w:hAnsi="方正仿宋_GBK" w:eastAsia="方正仿宋_GBK" w:cs="方正仿宋_GBK"/>
          <w:kern w:val="2"/>
          <w:sz w:val="32"/>
          <w:szCs w:val="32"/>
          <w:lang w:val="en-US" w:eastAsia="zh-CN" w:bidi="ar-SA"/>
        </w:rPr>
      </w:pPr>
      <w:r>
        <w:rPr>
          <w:rFonts w:hint="default" w:ascii="方正仿宋_GBK" w:hAnsi="方正仿宋_GBK" w:eastAsia="方正仿宋_GBK" w:cs="方正仿宋_GBK"/>
          <w:kern w:val="2"/>
          <w:sz w:val="32"/>
          <w:szCs w:val="32"/>
          <w:lang w:val="en-US" w:eastAsia="zh-CN" w:bidi="ar-SA"/>
        </w:rPr>
        <w:t>二是制度笼子持续扎紧，作风效能显著增强。修订完善《机关运行管理制度》，强化文件全流程闭环管理，实现问题整改完成率100%。创新建立“月调度、季督查、年考核”工作机制，对推进不力、作风不实的责任人及时约谈、严肃问责。常态化开展警示教育，不断增强干部职工的纪律意识、规矩意识，推动形成严实硬朗的工作作风。</w:t>
      </w:r>
    </w:p>
    <w:p w14:paraId="38A7A1D6">
      <w:pPr>
        <w:pStyle w:val="8"/>
        <w:keepNext w:val="0"/>
        <w:keepLines w:val="0"/>
        <w:pageBreakBefore w:val="0"/>
        <w:numPr>
          <w:ilvl w:val="0"/>
          <w:numId w:val="0"/>
        </w:numPr>
        <w:kinsoku/>
        <w:wordWrap/>
        <w:overflowPunct/>
        <w:topLinePunct w:val="0"/>
        <w:autoSpaceDE/>
        <w:autoSpaceDN/>
        <w:bidi w:val="0"/>
        <w:adjustRightInd/>
        <w:spacing w:line="560" w:lineRule="exact"/>
        <w:ind w:firstLine="652" w:firstLineChars="200"/>
        <w:textAlignment w:val="auto"/>
        <w:rPr>
          <w:rFonts w:hint="default" w:ascii="方正楷体_GBK" w:hAnsi="方正楷体_GBK" w:eastAsia="方正楷体_GBK" w:cs="方正楷体_GBK"/>
          <w:color w:val="000000"/>
          <w:kern w:val="0"/>
          <w:sz w:val="32"/>
          <w:szCs w:val="32"/>
          <w:lang w:val="en-US" w:eastAsia="zh-CN" w:bidi="ar"/>
        </w:rPr>
      </w:pPr>
      <w:r>
        <w:rPr>
          <w:rFonts w:hint="default" w:ascii="方正楷体_GBK" w:hAnsi="方正楷体_GBK" w:eastAsia="方正楷体_GBK" w:cs="方正楷体_GBK"/>
          <w:color w:val="000000"/>
          <w:kern w:val="0"/>
          <w:sz w:val="32"/>
          <w:szCs w:val="32"/>
          <w:lang w:val="en-US" w:eastAsia="zh-CN" w:bidi="ar"/>
        </w:rPr>
        <w:t>（三）针对“基层党组织建设不扎实，党建引领作用发挥不充分”方面问题</w:t>
      </w:r>
    </w:p>
    <w:p w14:paraId="6FAEF3D7">
      <w:pPr>
        <w:keepNext w:val="0"/>
        <w:keepLines w:val="0"/>
        <w:pageBreakBefore w:val="0"/>
        <w:widowControl/>
        <w:kinsoku/>
        <w:wordWrap/>
        <w:overflowPunct/>
        <w:topLinePunct w:val="0"/>
        <w:autoSpaceDE/>
        <w:autoSpaceDN/>
        <w:bidi w:val="0"/>
        <w:adjustRightInd/>
        <w:snapToGrid/>
        <w:spacing w:line="560" w:lineRule="exact"/>
        <w:ind w:firstLine="652" w:firstLineChars="200"/>
        <w:jc w:val="left"/>
        <w:textAlignment w:val="auto"/>
        <w:rPr>
          <w:rFonts w:hint="default" w:ascii="方正仿宋_GBK" w:hAnsi="方正仿宋_GBK" w:eastAsia="方正仿宋_GBK" w:cs="方正仿宋_GBK"/>
          <w:kern w:val="2"/>
          <w:sz w:val="32"/>
          <w:szCs w:val="32"/>
          <w:lang w:val="en-US" w:eastAsia="zh-CN" w:bidi="ar-SA"/>
        </w:rPr>
      </w:pPr>
      <w:r>
        <w:rPr>
          <w:rFonts w:hint="default" w:ascii="方正仿宋_GBK" w:hAnsi="方正仿宋_GBK" w:eastAsia="方正仿宋_GBK" w:cs="方正仿宋_GBK"/>
          <w:kern w:val="2"/>
          <w:sz w:val="32"/>
          <w:szCs w:val="32"/>
          <w:lang w:val="en-US" w:eastAsia="zh-CN" w:bidi="ar-SA"/>
        </w:rPr>
        <w:t>一是党建责任层层压实，组织基础不断夯实。严格执行“第一议题”制度，每季度专题研究党建工作，积极申报清廉机关优秀案例，</w:t>
      </w:r>
      <w:r>
        <w:rPr>
          <w:rFonts w:hint="eastAsia" w:ascii="方正仿宋_GBK" w:hAnsi="方正仿宋_GBK" w:eastAsia="方正仿宋_GBK" w:cs="方正仿宋_GBK"/>
          <w:kern w:val="2"/>
          <w:sz w:val="32"/>
          <w:szCs w:val="32"/>
          <w:lang w:val="en-US" w:eastAsia="zh-CN" w:bidi="ar-SA"/>
        </w:rPr>
        <w:t>成功</w:t>
      </w:r>
      <w:r>
        <w:rPr>
          <w:rFonts w:hint="default" w:ascii="方正仿宋_GBK" w:hAnsi="方正仿宋_GBK" w:eastAsia="方正仿宋_GBK" w:cs="方正仿宋_GBK"/>
          <w:kern w:val="2"/>
          <w:sz w:val="32"/>
          <w:szCs w:val="32"/>
          <w:lang w:val="en-US" w:eastAsia="zh-CN" w:bidi="ar-SA"/>
        </w:rPr>
        <w:t>创建“红岩先锋·四强支部”。规范落实“三会一课”、主题党日、</w:t>
      </w:r>
      <w:r>
        <w:rPr>
          <w:rFonts w:hint="eastAsia" w:ascii="方正仿宋_GBK" w:hAnsi="方正仿宋_GBK" w:eastAsia="方正仿宋_GBK" w:cs="方正仿宋_GBK"/>
          <w:kern w:val="2"/>
          <w:sz w:val="32"/>
          <w:szCs w:val="32"/>
          <w:lang w:val="en-US" w:eastAsia="zh-CN" w:bidi="ar-SA"/>
        </w:rPr>
        <w:t>党员“政治生日”</w:t>
      </w:r>
      <w:r>
        <w:rPr>
          <w:rFonts w:hint="default" w:ascii="方正仿宋_GBK" w:hAnsi="方正仿宋_GBK" w:eastAsia="方正仿宋_GBK" w:cs="方正仿宋_GBK"/>
          <w:kern w:val="2"/>
          <w:sz w:val="32"/>
          <w:szCs w:val="32"/>
          <w:lang w:val="en-US" w:eastAsia="zh-CN" w:bidi="ar-SA"/>
        </w:rPr>
        <w:t>等制度，高质量召开巡察整改专题组织生活会，确保</w:t>
      </w:r>
      <w:r>
        <w:rPr>
          <w:rFonts w:hint="eastAsia" w:ascii="方正仿宋_GBK" w:hAnsi="方正仿宋_GBK" w:eastAsia="方正仿宋_GBK" w:cs="方正仿宋_GBK"/>
          <w:kern w:val="2"/>
          <w:sz w:val="32"/>
          <w:szCs w:val="32"/>
          <w:lang w:val="en-US" w:eastAsia="zh-CN" w:bidi="ar-SA"/>
        </w:rPr>
        <w:t>党内政治生活基本规范</w:t>
      </w:r>
      <w:r>
        <w:rPr>
          <w:rFonts w:hint="default" w:ascii="方正仿宋_GBK" w:hAnsi="方正仿宋_GBK" w:eastAsia="方正仿宋_GBK" w:cs="方正仿宋_GBK"/>
          <w:kern w:val="2"/>
          <w:sz w:val="32"/>
          <w:szCs w:val="32"/>
          <w:lang w:val="en-US" w:eastAsia="zh-CN" w:bidi="ar-SA"/>
        </w:rPr>
        <w:t>、富有成效。</w:t>
      </w:r>
    </w:p>
    <w:p w14:paraId="704AF99D">
      <w:pPr>
        <w:keepNext w:val="0"/>
        <w:keepLines w:val="0"/>
        <w:pageBreakBefore w:val="0"/>
        <w:widowControl/>
        <w:kinsoku/>
        <w:wordWrap/>
        <w:overflowPunct/>
        <w:topLinePunct w:val="0"/>
        <w:autoSpaceDE/>
        <w:autoSpaceDN/>
        <w:bidi w:val="0"/>
        <w:adjustRightInd/>
        <w:snapToGrid/>
        <w:spacing w:line="560" w:lineRule="exact"/>
        <w:ind w:firstLine="652" w:firstLineChars="200"/>
        <w:jc w:val="left"/>
        <w:textAlignment w:val="auto"/>
        <w:rPr>
          <w:rFonts w:hint="default" w:ascii="方正仿宋_GBK" w:hAnsi="方正仿宋_GBK" w:eastAsia="方正仿宋_GBK" w:cs="方正仿宋_GBK"/>
          <w:kern w:val="2"/>
          <w:sz w:val="32"/>
          <w:szCs w:val="32"/>
          <w:lang w:val="en-US" w:eastAsia="zh-CN" w:bidi="ar-SA"/>
        </w:rPr>
      </w:pPr>
      <w:r>
        <w:rPr>
          <w:rFonts w:hint="default" w:ascii="方正仿宋_GBK" w:hAnsi="方正仿宋_GBK" w:eastAsia="方正仿宋_GBK" w:cs="方正仿宋_GBK"/>
          <w:kern w:val="2"/>
          <w:sz w:val="32"/>
          <w:szCs w:val="32"/>
          <w:lang w:val="en-US" w:eastAsia="zh-CN" w:bidi="ar-SA"/>
        </w:rPr>
        <w:t>二是党员管理精细规范，队伍活力有效激发。修订完善《干部考核细则》，明确科室岗位职责并实行上墙公示，确保职责知晓率100%。全面完成文件补签及闭环整改工作，实现制度执行与文件管理双提升。通过细化任务分解、加强督查考核，推动干部作风持续向好，制度执行力、工作落实力显著增强。</w:t>
      </w:r>
    </w:p>
    <w:p w14:paraId="54D7A0C2">
      <w:pPr>
        <w:overflowPunct w:val="0"/>
        <w:spacing w:line="590" w:lineRule="exact"/>
        <w:ind w:firstLine="652" w:firstLineChars="200"/>
        <w:jc w:val="left"/>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三、立足常态长效，持续深化整改，推动公共资源交易工作上新台阶</w:t>
      </w:r>
    </w:p>
    <w:p w14:paraId="2BA766CA">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52"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巡察整改是起点，更是推动工作提质增效的重要契机。中心将坚持标准不降、力度不减，持续巩固整改成果，推动公共资源交易工作实现新突破。</w:t>
      </w:r>
    </w:p>
    <w:p w14:paraId="7428132F">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52"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（一）强化政治引领，压实整改责任。</w:t>
      </w:r>
      <w:r>
        <w:rPr>
          <w:rFonts w:hint="eastAsia" w:ascii="方正仿宋_GBK" w:hAnsi="方正仿宋_GBK" w:eastAsia="方正仿宋_GBK" w:cs="方正仿宋_GBK"/>
          <w:kern w:val="2"/>
          <w:sz w:val="32"/>
          <w:szCs w:val="32"/>
          <w:lang w:val="en-US" w:eastAsia="zh-CN" w:bidi="ar-SA"/>
        </w:rPr>
        <w:t>始终把党的政治建设摆在首位，持续深化党的创新理论武装。严格落实“第一责任人”职责和“一岗双责”，将整改任务纳入常态化管理，加强跟踪问效，确保责任层层传导、落实到位。</w:t>
      </w:r>
    </w:p>
    <w:p w14:paraId="317036CC">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52"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（二）健全制度机制，推动标本兼治。</w:t>
      </w:r>
      <w:r>
        <w:rPr>
          <w:rFonts w:hint="eastAsia" w:ascii="方正仿宋_GBK" w:hAnsi="方正仿宋_GBK" w:eastAsia="方正仿宋_GBK" w:cs="方正仿宋_GBK"/>
          <w:kern w:val="2"/>
          <w:sz w:val="32"/>
          <w:szCs w:val="32"/>
          <w:lang w:val="en-US" w:eastAsia="zh-CN" w:bidi="ar-SA"/>
        </w:rPr>
        <w:t>坚持“当下改”与“长久立”相结合，深挖问题根源，举一反三。对已建立的制度狠抓执行，对不适应形势要求的及时修订，对制度空白加快填补，构建用制度管权、管事、管人的长效机制。</w:t>
      </w:r>
    </w:p>
    <w:p w14:paraId="1F5449DF">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52"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（三）深化成果转化，服务发展大局。</w:t>
      </w:r>
      <w:r>
        <w:rPr>
          <w:rFonts w:hint="eastAsia" w:ascii="方正仿宋_GBK" w:hAnsi="方正仿宋_GBK" w:eastAsia="方正仿宋_GBK" w:cs="方正仿宋_GBK"/>
          <w:kern w:val="2"/>
          <w:sz w:val="32"/>
          <w:szCs w:val="32"/>
          <w:lang w:val="en-US" w:eastAsia="zh-CN" w:bidi="ar-SA"/>
        </w:rPr>
        <w:t>推动巡察整改与主责主业深度融合，与优化营商环境、服务县域发展协同推进。以整改实效助推公共资源交易规范化、数字化、智能化发展，努力营造更加公开公平、高效廉洁的交易环境，为全县高质量发展贡献力量。</w:t>
      </w:r>
    </w:p>
    <w:p w14:paraId="7B570965">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52"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欢迎广大干部群众对巡察整改落实情况进行监督。如有意见和建议，请及时向我们反映。联系电话：73327118。</w:t>
      </w:r>
    </w:p>
    <w:p w14:paraId="21B98A6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both"/>
        <w:textAlignment w:val="top"/>
        <w:rPr>
          <w:rFonts w:hint="eastAsia" w:ascii="宋体" w:hAnsi="宋体" w:eastAsia="宋体" w:cs="宋体"/>
          <w:i w:val="0"/>
          <w:iCs w:val="0"/>
          <w:caps w:val="0"/>
          <w:color w:val="121212"/>
          <w:spacing w:val="0"/>
          <w:sz w:val="31"/>
          <w:szCs w:val="31"/>
          <w:shd w:val="clear" w:fill="FFFFFF"/>
        </w:rPr>
      </w:pPr>
    </w:p>
    <w:p w14:paraId="06577A5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both"/>
        <w:textAlignment w:val="top"/>
        <w:rPr>
          <w:rFonts w:hint="eastAsia" w:ascii="宋体" w:hAnsi="宋体" w:eastAsia="宋体" w:cs="宋体"/>
          <w:i w:val="0"/>
          <w:iCs w:val="0"/>
          <w:caps w:val="0"/>
          <w:color w:val="121212"/>
          <w:spacing w:val="0"/>
          <w:sz w:val="31"/>
          <w:szCs w:val="31"/>
          <w:shd w:val="clear" w:fill="FFFFFF"/>
        </w:rPr>
      </w:pPr>
    </w:p>
    <w:p w14:paraId="46A5915A">
      <w:pPr>
        <w:keepNext w:val="0"/>
        <w:keepLines w:val="0"/>
        <w:pageBreakBefore w:val="0"/>
        <w:widowControl/>
        <w:kinsoku/>
        <w:wordWrap/>
        <w:overflowPunct/>
        <w:topLinePunct w:val="0"/>
        <w:autoSpaceDE/>
        <w:autoSpaceDN/>
        <w:bidi w:val="0"/>
        <w:spacing w:line="560" w:lineRule="exact"/>
        <w:jc w:val="right"/>
        <w:textAlignment w:val="auto"/>
        <w:rPr>
          <w:rFonts w:ascii="Times New Roman" w:hAnsi="Times New Roman" w:cs="Times New Roman"/>
          <w:sz w:val="33"/>
          <w:szCs w:val="33"/>
        </w:rPr>
      </w:pPr>
      <w:r>
        <w:rPr>
          <w:rFonts w:hint="eastAsia" w:ascii="Times New Roman" w:hAnsi="Times New Roman" w:eastAsia="方正仿宋_GBK" w:cs="Times New Roman"/>
          <w:color w:val="000000"/>
          <w:kern w:val="0"/>
          <w:sz w:val="33"/>
          <w:szCs w:val="33"/>
          <w:lang w:bidi="ar"/>
        </w:rPr>
        <w:t>石柱土家族自治县公共资源交易监督事务中心</w:t>
      </w:r>
      <w:r>
        <w:rPr>
          <w:rFonts w:ascii="Times New Roman" w:hAnsi="Times New Roman" w:eastAsia="方正仿宋_GBK" w:cs="Times New Roman"/>
          <w:color w:val="000000"/>
          <w:kern w:val="0"/>
          <w:sz w:val="33"/>
          <w:szCs w:val="33"/>
          <w:lang w:bidi="ar"/>
        </w:rPr>
        <w:t xml:space="preserve"> </w:t>
      </w:r>
    </w:p>
    <w:p w14:paraId="1F347918">
      <w:pPr>
        <w:keepNext w:val="0"/>
        <w:keepLines w:val="0"/>
        <w:pageBreakBefore w:val="0"/>
        <w:widowControl w:val="0"/>
        <w:kinsoku/>
        <w:wordWrap/>
        <w:overflowPunct/>
        <w:topLinePunct w:val="0"/>
        <w:autoSpaceDE/>
        <w:autoSpaceDN/>
        <w:bidi w:val="0"/>
        <w:adjustRightInd/>
        <w:snapToGrid/>
        <w:spacing w:line="590" w:lineRule="exact"/>
        <w:ind w:firstLine="672" w:firstLineChars="200"/>
        <w:jc w:val="center"/>
        <w:textAlignment w:val="auto"/>
        <w:rPr>
          <w:rFonts w:hint="eastAsia" w:ascii="Times New Roman" w:hAnsi="Times New Roman" w:eastAsia="方正仿宋_GBK" w:cs="Times New Roman"/>
          <w:b w:val="0"/>
          <w:bCs/>
          <w:color w:val="000000"/>
          <w:kern w:val="2"/>
          <w:sz w:val="33"/>
          <w:szCs w:val="33"/>
          <w:lang w:val="en-US" w:eastAsia="zh-CN" w:bidi="ar-SA"/>
        </w:rPr>
      </w:pPr>
      <w:r>
        <w:rPr>
          <w:rFonts w:hint="eastAsia" w:cs="Times New Roman"/>
          <w:color w:val="000000"/>
          <w:kern w:val="0"/>
          <w:sz w:val="33"/>
          <w:szCs w:val="33"/>
          <w:lang w:val="en-US" w:eastAsia="zh-CN" w:bidi="ar"/>
        </w:rPr>
        <w:t xml:space="preserve">       </w:t>
      </w:r>
      <w:r>
        <w:rPr>
          <w:rFonts w:hint="eastAsia" w:eastAsia="方正仿宋_GBK" w:cs="Times New Roman"/>
          <w:color w:val="000000"/>
          <w:kern w:val="0"/>
          <w:sz w:val="33"/>
          <w:szCs w:val="33"/>
          <w:lang w:val="en-US" w:eastAsia="zh-CN" w:bidi="ar"/>
        </w:rPr>
        <w:t>2025</w:t>
      </w:r>
      <w:r>
        <w:rPr>
          <w:rFonts w:ascii="Times New Roman" w:hAnsi="Times New Roman" w:eastAsia="方正仿宋_GBK" w:cs="Times New Roman"/>
          <w:color w:val="000000"/>
          <w:kern w:val="0"/>
          <w:sz w:val="33"/>
          <w:szCs w:val="33"/>
          <w:lang w:bidi="ar"/>
        </w:rPr>
        <w:t>年</w:t>
      </w:r>
      <w:r>
        <w:rPr>
          <w:rFonts w:hint="eastAsia" w:eastAsia="方正仿宋_GBK" w:cs="Times New Roman"/>
          <w:color w:val="000000"/>
          <w:kern w:val="0"/>
          <w:sz w:val="33"/>
          <w:szCs w:val="33"/>
          <w:lang w:val="en-US" w:eastAsia="zh-CN" w:bidi="ar"/>
        </w:rPr>
        <w:t>10</w:t>
      </w:r>
      <w:r>
        <w:rPr>
          <w:rFonts w:ascii="Times New Roman" w:hAnsi="Times New Roman" w:eastAsia="方正仿宋_GBK" w:cs="Times New Roman"/>
          <w:color w:val="000000"/>
          <w:kern w:val="0"/>
          <w:sz w:val="33"/>
          <w:szCs w:val="33"/>
          <w:lang w:bidi="ar"/>
        </w:rPr>
        <w:t>月</w:t>
      </w:r>
      <w:r>
        <w:rPr>
          <w:rFonts w:hint="eastAsia" w:ascii="Times New Roman" w:hAnsi="Times New Roman" w:eastAsia="方正仿宋_GBK" w:cs="Times New Roman"/>
          <w:color w:val="000000"/>
          <w:kern w:val="0"/>
          <w:sz w:val="33"/>
          <w:szCs w:val="33"/>
          <w:lang w:val="en-US" w:eastAsia="zh-CN" w:bidi="ar"/>
        </w:rPr>
        <w:t>28</w:t>
      </w:r>
      <w:r>
        <w:rPr>
          <w:rFonts w:ascii="Times New Roman" w:hAnsi="Times New Roman" w:eastAsia="方正仿宋_GBK" w:cs="Times New Roman"/>
          <w:color w:val="000000"/>
          <w:kern w:val="0"/>
          <w:sz w:val="33"/>
          <w:szCs w:val="33"/>
          <w:lang w:bidi="ar"/>
        </w:rPr>
        <w:t>日</w:t>
      </w:r>
    </w:p>
    <w:p w14:paraId="344B828C">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652" w:firstLineChars="200"/>
        <w:jc w:val="left"/>
        <w:textAlignment w:val="auto"/>
        <w:rPr>
          <w:rFonts w:hint="eastAsia" w:ascii="方正仿宋_GBK" w:hAnsi="方正仿宋_GBK" w:eastAsia="方正仿宋_GBK" w:cs="方正仿宋_GBK"/>
          <w:kern w:val="2"/>
          <w:sz w:val="32"/>
          <w:szCs w:val="32"/>
          <w:lang w:val="en-US" w:eastAsia="zh-CN" w:bidi="ar-SA"/>
        </w:rPr>
      </w:pPr>
      <w:bookmarkStart w:id="0" w:name="_GoBack"/>
      <w:r>
        <w:rPr>
          <w:rFonts w:hint="eastAsia" w:ascii="方正仿宋_GBK" w:hAnsi="方正仿宋_GBK" w:eastAsia="方正仿宋_GBK" w:cs="方正仿宋_GBK"/>
          <w:kern w:val="2"/>
          <w:sz w:val="32"/>
          <w:szCs w:val="32"/>
          <w:lang w:val="en-US" w:eastAsia="zh-CN" w:bidi="ar-SA"/>
        </w:rPr>
        <w:t>（此件公开发布）</w:t>
      </w:r>
    </w:p>
    <w:bookmarkEnd w:id="0"/>
    <w:sectPr>
      <w:footerReference r:id="rId3" w:type="default"/>
      <w:pgSz w:w="11906" w:h="16838"/>
      <w:pgMar w:top="1962" w:right="1474" w:bottom="1848" w:left="1587" w:header="851" w:footer="1049" w:gutter="0"/>
      <w:pgNumType w:fmt="decimal"/>
      <w:cols w:space="425" w:num="1"/>
      <w:docGrid w:type="linesAndChars" w:linePitch="592"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34326">
    <w:pPr>
      <w:pStyle w:val="2"/>
      <w:spacing w:line="471" w:lineRule="auto"/>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61A10">
                          <w:pPr>
                            <w:pStyle w:val="2"/>
                            <w:rPr>
                              <w:rFonts w:hint="eastAsia" w:ascii="宋体" w:hAnsi="宋体" w:eastAsia="宋体" w:cs="宋体"/>
                              <w:b w:val="0"/>
                              <w:bCs w:val="0"/>
                              <w:sz w:val="28"/>
                            </w:rPr>
                          </w:pPr>
                          <w:r>
                            <w:rPr>
                              <w:rFonts w:hint="eastAsia" w:ascii="宋体" w:hAnsi="宋体" w:eastAsia="宋体" w:cs="宋体"/>
                              <w:b w:val="0"/>
                              <w:bCs w:val="0"/>
                              <w:sz w:val="28"/>
                            </w:rPr>
                            <w:t>—</w:t>
                          </w:r>
                          <w:r>
                            <w:rPr>
                              <w:rFonts w:hint="eastAsia" w:ascii="宋体" w:hAnsi="宋体" w:eastAsia="宋体" w:cs="宋体"/>
                              <w:b w:val="0"/>
                              <w:bCs w:val="0"/>
                              <w:sz w:val="24"/>
                            </w:rPr>
                            <w:t>　</w:t>
                          </w: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w:t>
                          </w:r>
                          <w:r>
                            <w:rPr>
                              <w:rFonts w:hint="eastAsia" w:ascii="宋体" w:hAnsi="宋体" w:eastAsia="宋体" w:cs="宋体"/>
                              <w:b w:val="0"/>
                              <w:bCs w:val="0"/>
                              <w:sz w:val="28"/>
                            </w:rPr>
                            <w:fldChar w:fldCharType="end"/>
                          </w:r>
                          <w:r>
                            <w:rPr>
                              <w:rFonts w:hint="eastAsia" w:ascii="宋体" w:hAnsi="宋体" w:eastAsia="宋体" w:cs="宋体"/>
                              <w:b w:val="0"/>
                              <w:bCs w:val="0"/>
                              <w:sz w:val="24"/>
                            </w:rPr>
                            <w:t>　</w:t>
                          </w:r>
                          <w:r>
                            <w:rPr>
                              <w:rFonts w:hint="eastAsia" w:ascii="宋体" w:hAnsi="宋体" w:eastAsia="宋体" w:cs="宋体"/>
                              <w:b w:val="0"/>
                              <w:bCs w:val="0"/>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18A61A10">
                    <w:pPr>
                      <w:pStyle w:val="2"/>
                      <w:rPr>
                        <w:rFonts w:hint="eastAsia" w:ascii="宋体" w:hAnsi="宋体" w:eastAsia="宋体" w:cs="宋体"/>
                        <w:b w:val="0"/>
                        <w:bCs w:val="0"/>
                        <w:sz w:val="28"/>
                      </w:rPr>
                    </w:pPr>
                    <w:r>
                      <w:rPr>
                        <w:rFonts w:hint="eastAsia" w:ascii="宋体" w:hAnsi="宋体" w:eastAsia="宋体" w:cs="宋体"/>
                        <w:b w:val="0"/>
                        <w:bCs w:val="0"/>
                        <w:sz w:val="28"/>
                      </w:rPr>
                      <w:t>—</w:t>
                    </w:r>
                    <w:r>
                      <w:rPr>
                        <w:rFonts w:hint="eastAsia" w:ascii="宋体" w:hAnsi="宋体" w:eastAsia="宋体" w:cs="宋体"/>
                        <w:b w:val="0"/>
                        <w:bCs w:val="0"/>
                        <w:sz w:val="24"/>
                      </w:rPr>
                      <w:t>　</w:t>
                    </w: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w:t>
                    </w:r>
                    <w:r>
                      <w:rPr>
                        <w:rFonts w:hint="eastAsia" w:ascii="宋体" w:hAnsi="宋体" w:eastAsia="宋体" w:cs="宋体"/>
                        <w:b w:val="0"/>
                        <w:bCs w:val="0"/>
                        <w:sz w:val="28"/>
                      </w:rPr>
                      <w:fldChar w:fldCharType="end"/>
                    </w:r>
                    <w:r>
                      <w:rPr>
                        <w:rFonts w:hint="eastAsia" w:ascii="宋体" w:hAnsi="宋体" w:eastAsia="宋体" w:cs="宋体"/>
                        <w:b w:val="0"/>
                        <w:bCs w:val="0"/>
                        <w:sz w:val="24"/>
                      </w:rPr>
                      <w:t>　</w:t>
                    </w:r>
                    <w:r>
                      <w:rPr>
                        <w:rFonts w:hint="eastAsia" w:ascii="宋体" w:hAnsi="宋体" w:eastAsia="宋体" w:cs="宋体"/>
                        <w:b w:val="0"/>
                        <w:bCs w:val="0"/>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212"/>
  <w:drawingGridVerticalSpacing w:val="296"/>
  <w:displayHorizontalDrawingGridEvery w:val="1"/>
  <w:displayVerticalDrawingGridEvery w:val="2"/>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47941"/>
    <w:rsid w:val="012B64AF"/>
    <w:rsid w:val="017460A8"/>
    <w:rsid w:val="035A0A58"/>
    <w:rsid w:val="04537379"/>
    <w:rsid w:val="04AF32DA"/>
    <w:rsid w:val="05CF7D50"/>
    <w:rsid w:val="089D4136"/>
    <w:rsid w:val="0FBF64FF"/>
    <w:rsid w:val="166F7C64"/>
    <w:rsid w:val="18876269"/>
    <w:rsid w:val="1EF736F4"/>
    <w:rsid w:val="26F4714B"/>
    <w:rsid w:val="28577E66"/>
    <w:rsid w:val="2D7B7CF2"/>
    <w:rsid w:val="2F0D0D20"/>
    <w:rsid w:val="30E43E01"/>
    <w:rsid w:val="33973635"/>
    <w:rsid w:val="33997628"/>
    <w:rsid w:val="3578787B"/>
    <w:rsid w:val="37634B3D"/>
    <w:rsid w:val="41344E48"/>
    <w:rsid w:val="438945E6"/>
    <w:rsid w:val="45C80E5F"/>
    <w:rsid w:val="4F4246BC"/>
    <w:rsid w:val="4F6C1739"/>
    <w:rsid w:val="51B06A69"/>
    <w:rsid w:val="5BCA1CC1"/>
    <w:rsid w:val="5E31427A"/>
    <w:rsid w:val="6CF52916"/>
    <w:rsid w:val="6F8C7562"/>
    <w:rsid w:val="7C147941"/>
    <w:rsid w:val="7D082B64"/>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snapToGrid w:val="0"/>
      <w:jc w:val="left"/>
    </w:pPr>
    <w:rPr>
      <w:sz w:val="18"/>
      <w:szCs w:val="18"/>
    </w:rPr>
  </w:style>
  <w:style w:type="paragraph" w:customStyle="1" w:styleId="3">
    <w:name w:val="索引 51"/>
    <w:basedOn w:val="1"/>
    <w:next w:val="1"/>
    <w:qFormat/>
    <w:uiPriority w:val="0"/>
    <w:pPr>
      <w:ind w:left="1680"/>
    </w:pPr>
    <w:rPr>
      <w:rFonts w:ascii="Times New Roman" w:hAnsi="Times New Roman" w:eastAsia="宋体" w:cs="Times New Roman"/>
    </w:rPr>
  </w:style>
  <w:style w:type="paragraph" w:styleId="6">
    <w:name w:val="table of authorities"/>
    <w:basedOn w:val="1"/>
    <w:next w:val="1"/>
    <w:qFormat/>
    <w:uiPriority w:val="0"/>
    <w:pPr>
      <w:spacing w:before="100" w:beforeAutospacing="1" w:after="100" w:afterAutospacing="1"/>
      <w:ind w:left="200" w:leftChars="200"/>
    </w:pPr>
    <w:rPr>
      <w:szCs w:val="21"/>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semiHidden/>
    <w:qFormat/>
    <w:uiPriority w:val="0"/>
    <w:pPr>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319071c8-d5a1-45f4-9978-a86a1d5fec86</errorID>
      <errorWord>石柱县</errorWord>
      <group>L1_Knowledge</group>
      <groupName>知识性问题</groupName>
      <ability>L2_Location</ability>
      <abilityName>地名检查</abilityName>
      <candidateList>
        <item>石柱土家族自治县</item>
      </candidateList>
      <explain>自治区州县缩写不规范。《地名管理条例》第十八条规定，标识牌、公共平台发布的信息、各类公文证件、学习类公开出版物、地图、法律法规规定等场景范围内必须使用标准地名。</explain>
      <paraID>39330653</paraID>
      <start>72</start>
      <end>75</end>
      <status>unmodified</status>
      <modifiedWord/>
      <trackRevisions>false</trackRevisions>
    </reviewItem>
    <reviewItem>
      <errorID>c6391765-f776-41f3-a979-470ece64fd70</errorID>
      <errorWord>。</errorWord>
      <group>L1_Punc</group>
      <groupName>标点问题</groupName>
      <ability>L2_Punc</ability>
      <abilityName>标点符号检查</abilityName>
      <candidateList>
        <item/>
      </candidateList>
      <explain>标题文本后不使用标点符号。</explain>
      <paraID>7428132F</paraID>
      <start>16</start>
      <end>17</end>
      <status>unmodified</status>
      <modifiedWord/>
      <trackRevisions>false</trackRevisions>
    </reviewItem>
    <reviewItem>
      <errorID>4e126a9e-52cf-4026-89eb-ba7a17940aca</errorID>
      <errorWord>。</errorWord>
      <group>L1_Punc</group>
      <groupName>标点问题</groupName>
      <ability>L2_Punc</ability>
      <abilityName>标点符号检查</abilityName>
      <candidateList>
        <item/>
      </candidateList>
      <explain>标题文本后不使用标点符号。</explain>
      <paraID>317036CC</paraID>
      <start>16</start>
      <end>17</end>
      <status>unmodified</status>
      <modifiedWord/>
      <trackRevisions>false</trackRevisions>
    </reviewItem>
    <reviewItem>
      <errorID>c4388828-97bd-4680-891d-fd590af0a3b6</errorID>
      <errorWord>。</errorWord>
      <group>L1_Punc</group>
      <groupName>标点问题</groupName>
      <ability>L2_Punc</ability>
      <abilityName>标点符号检查</abilityName>
      <candidateList>
        <item/>
      </candidateList>
      <explain>标题文本后不使用标点符号。</explain>
      <paraID>1F5449DF</paraID>
      <start>16</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467166-feef-498d-8163-91b5741af343}">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2629</Words>
  <Characters>2676</Characters>
  <Lines>0</Lines>
  <Paragraphs>0</Paragraphs>
  <TotalTime>33</TotalTime>
  <ScaleCrop>false</ScaleCrop>
  <LinksUpToDate>false</LinksUpToDate>
  <CharactersWithSpaces>2685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2025-11-21T01:00:00Z</dcterms:created>
  <dc:creator>璞鹿</dc:creator>
  <cp:lastModifiedBy>璞鹿</cp:lastModifiedBy>
  <cp:lastPrinted>2025-11-27T02:56:00Z</cp:lastPrinted>
  <dcterms:modified xsi:type="dcterms:W3CDTF">2025-12-01T08:40:13Z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7592069481A94C3F974FA13A844ECCEA_11</vt:lpwstr>
  </property>
  <property fmtid="{D5CDD505-2E9C-101B-9397-08002B2CF9AE}" pid="4" name="KSOTemplateDocerSaveRecord">
    <vt:lpwstr>eyJoZGlkIjoiYTMyZWYzMDk4ZWI4NzkyM2QxODRiZTJlZjljOTgyYTciLCJ1c2VySWQiOiIzNjExMzQwMTkifQ==</vt:lpwstr>
  </property>
</Properties>
</file>