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9839F">
      <w:pPr>
        <w:jc w:val="center"/>
        <w:rPr>
          <w:rFonts w:ascii="仿宋_GB2312" w:eastAsia="仿宋_GB2312"/>
        </w:rPr>
      </w:pPr>
      <w:bookmarkStart w:id="0" w:name="_GoBack"/>
      <w:bookmarkEnd w:id="0"/>
    </w:p>
    <w:p w14:paraId="5C2B13B7">
      <w:pPr>
        <w:jc w:val="center"/>
        <w:rPr>
          <w:rFonts w:ascii="仿宋_GB2312" w:eastAsia="仿宋_GB2312"/>
        </w:rPr>
      </w:pPr>
    </w:p>
    <w:p w14:paraId="393B2C44">
      <w:pPr>
        <w:jc w:val="center"/>
        <w:rPr>
          <w:rFonts w:ascii="仿宋_GB2312" w:eastAsia="仿宋_GB2312"/>
        </w:rPr>
      </w:pPr>
    </w:p>
    <w:p w14:paraId="2F98AF29">
      <w:pPr>
        <w:jc w:val="center"/>
        <w:rPr>
          <w:rFonts w:ascii="仿宋_GB2312" w:eastAsia="仿宋_GB2312"/>
        </w:rPr>
      </w:pPr>
      <w:r>
        <w:pict>
          <v:shape id="艺术字 32" o:spid="_x0000_s1027" o:spt="136" type="#_x0000_t136" style="position:absolute;left:0pt;margin-left:13.6pt;margin-top:2.25pt;height:52.45pt;width:425.2pt;z-index:251660288;mso-width-relative:page;mso-height-relative:page;" fillcolor="#FF0000" filled="t" stroked="t" coordsize="21600,21600">
            <v:path/>
            <v:fill on="t" focussize="0,0"/>
            <v:stroke color="#FF0000"/>
            <v:imagedata o:title=""/>
            <o:lock v:ext="edit"/>
            <v:textpath on="t" fitpath="t" trim="t" xscale="f" string="石柱土家族自治县优化营商环境工作领导小组办公室" style="font-family:方正小标宋_GBK;font-size:28pt;v-text-align:center;"/>
          </v:shape>
        </w:pict>
      </w:r>
    </w:p>
    <w:p w14:paraId="76C756F8">
      <w:pPr>
        <w:jc w:val="center"/>
        <w:rPr>
          <w:rFonts w:ascii="仿宋_GB2312" w:eastAsia="仿宋_GB2312"/>
        </w:rPr>
      </w:pPr>
    </w:p>
    <w:p w14:paraId="1F293405">
      <w:pPr>
        <w:spacing w:line="480" w:lineRule="exact"/>
        <w:jc w:val="center"/>
        <w:rPr>
          <w:rFonts w:ascii="仿宋_GB2312" w:eastAsia="仿宋_GB2312"/>
        </w:rPr>
      </w:pPr>
    </w:p>
    <w:p w14:paraId="16FC8BE9">
      <w:pPr>
        <w:spacing w:line="480" w:lineRule="exact"/>
        <w:jc w:val="center"/>
        <w:rPr>
          <w:rFonts w:ascii="仿宋_GB2312" w:eastAsia="仿宋_GB2312"/>
        </w:rPr>
      </w:pPr>
    </w:p>
    <w:p w14:paraId="02762D52">
      <w:pPr>
        <w:jc w:val="center"/>
        <w:rPr>
          <w:rFonts w:ascii="方正仿宋_GBK"/>
        </w:rPr>
      </w:pPr>
      <w:r>
        <w:rPr>
          <w:rFonts w:hint="eastAsia" w:ascii="方正仿宋_GBK" w:hAnsi="方正仿宋_GBK" w:cs="方正仿宋_GBK"/>
          <w:bCs/>
        </w:rPr>
        <w:t>石营商办发</w:t>
      </w:r>
      <w:r>
        <w:rPr>
          <w:rFonts w:hint="eastAsia" w:ascii="方正仿宋_GBK"/>
        </w:rPr>
        <w:t>〔</w:t>
      </w:r>
      <w:r>
        <w:rPr>
          <w:rFonts w:ascii="方正仿宋_GBK"/>
        </w:rPr>
        <w:t>2022</w:t>
      </w:r>
      <w:r>
        <w:rPr>
          <w:rFonts w:hint="eastAsia" w:ascii="方正仿宋_GBK"/>
        </w:rPr>
        <w:t>〕</w:t>
      </w:r>
      <w:r>
        <w:rPr>
          <w:rFonts w:ascii="方正仿宋_GBK"/>
        </w:rPr>
        <w:t>10</w:t>
      </w:r>
      <w:r>
        <w:rPr>
          <w:rFonts w:hint="eastAsia" w:ascii="方正仿宋_GBK"/>
        </w:rPr>
        <w:t>号</w:t>
      </w:r>
    </w:p>
    <w:p w14:paraId="5840CCD7">
      <w:pPr>
        <w:spacing w:line="560" w:lineRule="exact"/>
        <w:jc w:val="center"/>
      </w:pPr>
      <w:r>
        <w:pict>
          <v:line id="直线 31" o:spid="_x0000_s1028" o:spt="20" style="position:absolute;left:0pt;margin-left:-2.55pt;margin-top:-1.2pt;height:0pt;width:453.55pt;z-index:251659264;mso-width-relative:page;mso-height-relative:page;" stroked="t" coordsize="21600,21600">
            <v:path arrowok="t"/>
            <v:fill focussize="0,0"/>
            <v:stroke weight="2.25pt" color="#FF0000"/>
            <v:imagedata o:title=""/>
            <o:lock v:ext="edit"/>
          </v:line>
        </w:pict>
      </w:r>
    </w:p>
    <w:p w14:paraId="62224BF6">
      <w:pPr>
        <w:spacing w:line="560" w:lineRule="exact"/>
        <w:jc w:val="center"/>
      </w:pPr>
    </w:p>
    <w:p w14:paraId="1560A844">
      <w:pPr>
        <w:shd w:val="clear" w:color="auto" w:fill="FFFFFF"/>
        <w:spacing w:line="600" w:lineRule="exact"/>
        <w:jc w:val="center"/>
        <w:rPr>
          <w:rFonts w:ascii="方正仿宋_GBK" w:hAnsi="方正仿宋_GBK" w:eastAsia="方正小标宋_GBK"/>
          <w:kern w:val="44"/>
          <w:sz w:val="44"/>
          <w:szCs w:val="44"/>
        </w:rPr>
      </w:pPr>
      <w:r>
        <w:rPr>
          <w:rFonts w:hint="eastAsia" w:ascii="方正小标宋_GBK" w:eastAsia="方正小标宋_GBK"/>
          <w:spacing w:val="-30"/>
          <w:sz w:val="44"/>
          <w:szCs w:val="44"/>
        </w:rPr>
        <w:t>石柱土家族自治县优化营商环境工作领导小组办公室</w:t>
      </w:r>
      <w:r>
        <w:rPr>
          <w:rFonts w:hint="eastAsia" w:ascii="方正仿宋_GBK" w:hAnsi="方正仿宋_GBK" w:eastAsia="方正小标宋_GBK"/>
          <w:kern w:val="44"/>
          <w:sz w:val="44"/>
          <w:szCs w:val="44"/>
        </w:rPr>
        <w:t>关于全面落实《市场准入负面清单</w:t>
      </w:r>
    </w:p>
    <w:p w14:paraId="5E3DF3ED">
      <w:pPr>
        <w:shd w:val="clear" w:color="auto" w:fill="FFFFFF"/>
        <w:spacing w:line="600" w:lineRule="exact"/>
        <w:jc w:val="center"/>
        <w:rPr>
          <w:rFonts w:ascii="方正仿宋_GBK" w:hAnsi="方正仿宋_GBK" w:eastAsia="方正小标宋_GBK"/>
          <w:kern w:val="44"/>
          <w:sz w:val="44"/>
          <w:szCs w:val="44"/>
        </w:rPr>
      </w:pPr>
      <w:r>
        <w:rPr>
          <w:rFonts w:hint="eastAsia" w:ascii="方正仿宋_GBK" w:hAnsi="方正仿宋_GBK" w:eastAsia="方正小标宋_GBK"/>
          <w:kern w:val="44"/>
          <w:sz w:val="44"/>
          <w:szCs w:val="44"/>
        </w:rPr>
        <w:t>（</w:t>
      </w:r>
      <w:r>
        <w:rPr>
          <w:rFonts w:ascii="方正仿宋_GBK" w:hAnsi="方正仿宋_GBK" w:eastAsia="方正小标宋_GBK"/>
          <w:kern w:val="44"/>
          <w:sz w:val="44"/>
          <w:szCs w:val="44"/>
        </w:rPr>
        <w:t>2022</w:t>
      </w:r>
      <w:r>
        <w:rPr>
          <w:rFonts w:hint="eastAsia" w:ascii="方正仿宋_GBK" w:hAnsi="方正仿宋_GBK" w:eastAsia="方正小标宋_GBK"/>
          <w:kern w:val="44"/>
          <w:sz w:val="44"/>
          <w:szCs w:val="44"/>
        </w:rPr>
        <w:t>年版）》有关工作的通知</w:t>
      </w:r>
    </w:p>
    <w:p w14:paraId="638DD700">
      <w:pPr>
        <w:pStyle w:val="9"/>
        <w:adjustRightInd/>
        <w:snapToGrid w:val="0"/>
        <w:spacing w:after="0" w:line="600" w:lineRule="exact"/>
        <w:ind w:left="0" w:leftChars="0" w:firstLine="0" w:firstLineChars="0"/>
        <w:rPr>
          <w:rFonts w:ascii="方正仿宋_GBK" w:hAnsi="方正仿宋_GBK" w:eastAsia="方正小标宋_GBK"/>
          <w:kern w:val="44"/>
          <w:sz w:val="44"/>
          <w:szCs w:val="44"/>
        </w:rPr>
      </w:pPr>
    </w:p>
    <w:p w14:paraId="76A7934E">
      <w:pPr>
        <w:shd w:val="clear" w:color="auto" w:fill="FFFFFF"/>
        <w:spacing w:line="560" w:lineRule="exact"/>
        <w:rPr>
          <w:rFonts w:ascii="方正仿宋_GBK" w:cs="方正仿宋_GBK"/>
          <w:szCs w:val="32"/>
        </w:rPr>
      </w:pPr>
      <w:r>
        <w:rPr>
          <w:rFonts w:hint="eastAsia" w:ascii="方正仿宋_GBK" w:hAnsi="方正仿宋_GBK" w:cs="方正仿宋_GBK"/>
          <w:szCs w:val="32"/>
        </w:rPr>
        <w:t>各乡镇（街道）人民政府（办事处），县级相关部门，有关单位：</w:t>
      </w:r>
    </w:p>
    <w:p w14:paraId="0D3E7A4D">
      <w:pPr>
        <w:shd w:val="clear" w:color="auto" w:fill="FFFFFF"/>
        <w:spacing w:line="560" w:lineRule="exact"/>
        <w:ind w:firstLine="640" w:firstLineChars="200"/>
        <w:rPr>
          <w:rFonts w:ascii="方正仿宋_GBK" w:cs="方正仿宋_GBK"/>
          <w:bCs/>
          <w:color w:val="333333"/>
          <w:kern w:val="0"/>
          <w:szCs w:val="32"/>
          <w:shd w:val="clear" w:color="auto" w:fill="FFFFFF"/>
        </w:rPr>
      </w:pPr>
      <w:r>
        <w:rPr>
          <w:rFonts w:hint="eastAsia" w:ascii="方正仿宋_GBK" w:hAnsi="方正仿宋_GBK" w:cs="方正仿宋_GBK"/>
          <w:szCs w:val="32"/>
        </w:rPr>
        <w:t>实施全国统一的市场准入负面清单制度，是党中央、国务院作出的重大决策部署，是加快建设全国统一大市场、完善</w:t>
      </w:r>
      <w:r>
        <w:rPr>
          <w:rFonts w:hint="eastAsia" w:ascii="方正仿宋_GBK" w:hAnsi="方正仿宋_GBK" w:cs="方正仿宋_GBK"/>
          <w:szCs w:val="32"/>
          <w:lang w:eastAsia="zh-CN"/>
        </w:rPr>
        <w:t>社会主义市场经济</w:t>
      </w:r>
      <w:r>
        <w:rPr>
          <w:rFonts w:hint="eastAsia" w:ascii="方正仿宋_GBK" w:hAnsi="方正仿宋_GBK" w:cs="方正仿宋_GBK"/>
          <w:szCs w:val="32"/>
        </w:rPr>
        <w:t>体制的重要制度安排。《市场准入负面清单（</w:t>
      </w:r>
      <w:r>
        <w:rPr>
          <w:rFonts w:ascii="方正仿宋_GBK" w:hAnsi="方正仿宋_GBK" w:cs="方正仿宋_GBK"/>
          <w:szCs w:val="32"/>
        </w:rPr>
        <w:t>2022</w:t>
      </w:r>
      <w:r>
        <w:rPr>
          <w:rFonts w:hint="eastAsia" w:ascii="方正仿宋_GBK" w:hAnsi="方正仿宋_GBK" w:cs="方正仿宋_GBK"/>
          <w:szCs w:val="32"/>
        </w:rPr>
        <w:t>年版）》已由国家发展改革委、商务部联合发布实施，重庆市全面实施市场准入负面清单制度领导小组办公室已就《市场准入负面清单（</w:t>
      </w:r>
      <w:r>
        <w:rPr>
          <w:rFonts w:ascii="方正仿宋_GBK" w:hAnsi="方正仿宋_GBK" w:cs="方正仿宋_GBK"/>
          <w:szCs w:val="32"/>
        </w:rPr>
        <w:t>2022</w:t>
      </w:r>
      <w:r>
        <w:rPr>
          <w:rFonts w:hint="eastAsia" w:ascii="方正仿宋_GBK" w:hAnsi="方正仿宋_GBK" w:cs="方正仿宋_GBK"/>
          <w:szCs w:val="32"/>
        </w:rPr>
        <w:t>年版）》《与市场准入相关的禁止性规定》进行了市级层面的任务分工，现一并转发给你们，请对照对应市级部门任务分工抓好落实，同时就贯彻落实有关要求通知如下。</w:t>
      </w:r>
      <w:r>
        <w:rPr>
          <w:rFonts w:ascii="方正仿宋_GBK" w:cs="方正仿宋_GBK"/>
          <w:szCs w:val="32"/>
        </w:rPr>
        <w:br w:type="textWrapping"/>
      </w:r>
      <w:r>
        <w:rPr>
          <w:rFonts w:hint="eastAsia" w:ascii="方正仿宋_GBK" w:hAnsi="方正仿宋_GBK" w:cs="方正仿宋_GBK"/>
          <w:bCs/>
          <w:color w:val="333333"/>
          <w:kern w:val="0"/>
          <w:szCs w:val="32"/>
          <w:shd w:val="clear" w:color="auto" w:fill="FFFFFF"/>
        </w:rPr>
        <w:t>  </w:t>
      </w:r>
      <w:r>
        <w:rPr>
          <w:rFonts w:hint="eastAsia" w:ascii="方正黑体_GBK" w:hAnsi="方正黑体_GBK" w:eastAsia="方正黑体_GBK" w:cs="方正黑体_GBK"/>
          <w:szCs w:val="32"/>
        </w:rPr>
        <w:t>一、严格落实“全国一张清单”管理要求。</w:t>
      </w:r>
      <w:r>
        <w:rPr>
          <w:rFonts w:hint="eastAsia" w:ascii="方正仿宋_GBK" w:hAnsi="方正仿宋_GBK" w:cs="方正仿宋_GBK"/>
          <w:szCs w:val="32"/>
        </w:rPr>
        <w:t>各乡镇（街道）、各部门不得自行发布具有市场准入性质的负面清单，坚决维护市场准入负面清单制度的统一性、严肃性和权威性，确保“一单尽列、单外无单”。严格落实“非禁即入”要求，对清单之外的行业、领域、业务等，各类市场主体皆可依法平等进入，不得违规另设市场准入行政审批和变相设定准入障碍。对清单所列事项，各乡镇（街道）、各部门要持续优化管理方式，严格规范审批行为，优化审批流程，提高审批效率，正确高效地履行职责。对属于国家事权和市级事权（不属于县级职能职责）的准入事项，要做好衔接落实和向市场主体咨询服务工作。</w:t>
      </w:r>
    </w:p>
    <w:p w14:paraId="793F007A">
      <w:pPr>
        <w:shd w:val="clear" w:color="auto" w:fill="FFFFFF"/>
        <w:spacing w:line="560" w:lineRule="exact"/>
        <w:ind w:firstLine="640" w:firstLineChars="200"/>
        <w:rPr>
          <w:rFonts w:ascii="方正仿宋_GBK" w:cs="方正仿宋_GBK"/>
          <w:szCs w:val="32"/>
        </w:rPr>
      </w:pPr>
      <w:r>
        <w:rPr>
          <w:rFonts w:hint="eastAsia" w:ascii="方正黑体_GBK" w:hAnsi="方正黑体_GBK" w:eastAsia="方正黑体_GBK" w:cs="方正黑体_GBK"/>
          <w:szCs w:val="32"/>
        </w:rPr>
        <w:t>二、切实履行政府监管责任。</w:t>
      </w:r>
      <w:r>
        <w:rPr>
          <w:rFonts w:hint="eastAsia" w:ascii="方正仿宋_GBK" w:hAnsi="方正仿宋_GBK" w:cs="方正仿宋_GBK"/>
          <w:szCs w:val="32"/>
        </w:rPr>
        <w:t>各乡镇（街道）、各部门要落实法律法规和“三定”明确的监管职责，对法律法规和“三定”规定未明确监管职责的，按照“谁审批、谁监管，谁主管、谁监管”的原则，全面夯实监管责任。要严格落实放管结合、并重要求，坚决纠正“以批代管”“不批不管”等问题，防止出现监管真空。健全监管规则，创新监管方式，实现事前事中事后全链条全领域监管，提高监管的精准性有效性。强化反垄断监管，防止资本无序扩张、野蛮生长、违规炒作，冲击经济社会发展秩序。强化公平竞争审查刚性约束，清理废除妨碍依法平等准入的规定做法。进一步健全完善与市场准入负面清单制度相适应的准入机制、审批机制、社会信用体系和激励惩戒机制、商事登记制度等，系统集成、协同高效地推进市场准入制度改革工作。</w:t>
      </w:r>
    </w:p>
    <w:p w14:paraId="6F51075D">
      <w:pPr>
        <w:spacing w:line="560" w:lineRule="exact"/>
        <w:ind w:firstLine="640" w:firstLineChars="200"/>
        <w:rPr>
          <w:rFonts w:ascii="方正仿宋_GBK" w:cs="方正仿宋_GBK"/>
          <w:szCs w:val="32"/>
        </w:rPr>
      </w:pPr>
      <w:r>
        <w:rPr>
          <w:rFonts w:hint="eastAsia" w:ascii="方正黑体_GBK" w:hAnsi="方正黑体_GBK" w:eastAsia="方正黑体_GBK" w:cs="方正黑体_GBK"/>
          <w:szCs w:val="32"/>
        </w:rPr>
        <w:t>三、加强信息报送。</w:t>
      </w:r>
      <w:r>
        <w:rPr>
          <w:rFonts w:hint="eastAsia" w:ascii="方正仿宋_GBK" w:hAnsi="方正仿宋_GBK" w:cs="方正仿宋_GBK"/>
          <w:szCs w:val="32"/>
        </w:rPr>
        <w:t>各乡镇（街道）、各部门要建立定期排查、投诉受理、核查反馈和整改督办机制，重点排查清理违背市场准入负面清单禁止准入类或许可准入类事项要求进行审批；市场主体违规进入市场准入负面清单禁止或限制进入的行业、领域、业务；违规设置市场准入隐性壁垒等各类情况，如发现清单之外违规设立其他市场准入事项和准入隐形壁垒，应立即予以清理。对违规事实清晰或已查实案例，于每季度结束后</w:t>
      </w:r>
      <w:r>
        <w:rPr>
          <w:rFonts w:ascii="方正仿宋_GBK" w:hAnsi="方正仿宋_GBK" w:cs="方正仿宋_GBK"/>
          <w:szCs w:val="32"/>
        </w:rPr>
        <w:t>5</w:t>
      </w:r>
      <w:r>
        <w:rPr>
          <w:rFonts w:hint="eastAsia" w:ascii="方正仿宋_GBK" w:hAnsi="方正仿宋_GBK" w:cs="方正仿宋_GBK"/>
          <w:szCs w:val="32"/>
        </w:rPr>
        <w:t>日内报送县发展改革委汇总，按程序上报市发展改革委。</w:t>
      </w:r>
    </w:p>
    <w:p w14:paraId="49E0EEB1">
      <w:pPr>
        <w:pStyle w:val="2"/>
        <w:rPr>
          <w:rFonts w:ascii="方正仿宋_GBK" w:hAnsi="方正仿宋_GBK" w:eastAsia="方正仿宋_GBK" w:cs="方正仿宋_GBK"/>
          <w:sz w:val="32"/>
          <w:szCs w:val="32"/>
        </w:rPr>
      </w:pPr>
    </w:p>
    <w:p w14:paraId="7AAAC9A1">
      <w:pPr>
        <w:spacing w:line="560" w:lineRule="exact"/>
        <w:ind w:firstLine="640" w:firstLineChars="200"/>
        <w:rPr>
          <w:rFonts w:ascii="方正仿宋_GBK" w:cs="方正仿宋_GBK"/>
          <w:szCs w:val="32"/>
        </w:rPr>
      </w:pPr>
      <w:r>
        <w:rPr>
          <w:rFonts w:hint="eastAsia" w:ascii="方正仿宋_GBK" w:hAnsi="方正仿宋_GBK" w:cs="方正仿宋_GBK"/>
          <w:szCs w:val="32"/>
        </w:rPr>
        <w:t>附件：</w:t>
      </w:r>
      <w:r>
        <w:rPr>
          <w:rFonts w:ascii="方正仿宋_GBK" w:hAnsi="方正仿宋_GBK" w:cs="方正仿宋_GBK"/>
          <w:szCs w:val="32"/>
        </w:rPr>
        <w:t>1</w:t>
      </w:r>
      <w:r>
        <w:rPr>
          <w:rFonts w:hint="eastAsia" w:ascii="方正仿宋_GBK" w:hAnsi="方正仿宋_GBK" w:cs="方正仿宋_GBK"/>
          <w:szCs w:val="32"/>
        </w:rPr>
        <w:t>．市场准入负面清单（</w:t>
      </w:r>
      <w:r>
        <w:rPr>
          <w:rFonts w:ascii="方正仿宋_GBK" w:hAnsi="方正仿宋_GBK" w:cs="方正仿宋_GBK"/>
          <w:szCs w:val="32"/>
        </w:rPr>
        <w:t>2022</w:t>
      </w:r>
      <w:r>
        <w:rPr>
          <w:rFonts w:hint="eastAsia" w:ascii="方正仿宋_GBK" w:hAnsi="方正仿宋_GBK" w:cs="方正仿宋_GBK"/>
          <w:szCs w:val="32"/>
        </w:rPr>
        <w:t>年版）任务分工</w:t>
      </w:r>
    </w:p>
    <w:p w14:paraId="7DDC19EF">
      <w:pPr>
        <w:spacing w:line="560" w:lineRule="exact"/>
        <w:ind w:firstLine="1600" w:firstLineChars="500"/>
        <w:rPr>
          <w:rFonts w:ascii="方正仿宋_GBK" w:cs="方正仿宋_GBK"/>
          <w:szCs w:val="32"/>
        </w:rPr>
      </w:pPr>
      <w:r>
        <w:rPr>
          <w:rFonts w:ascii="方正仿宋_GBK" w:hAnsi="方正仿宋_GBK" w:cs="方正仿宋_GBK"/>
          <w:szCs w:val="32"/>
        </w:rPr>
        <w:t>2</w:t>
      </w:r>
      <w:r>
        <w:rPr>
          <w:rFonts w:hint="eastAsia" w:ascii="方正仿宋_GBK" w:hAnsi="方正仿宋_GBK" w:cs="方正仿宋_GBK"/>
          <w:szCs w:val="32"/>
        </w:rPr>
        <w:t>．与市场准入相关的禁止性规定任务分工</w:t>
      </w:r>
    </w:p>
    <w:p w14:paraId="78FF9701">
      <w:pPr>
        <w:pStyle w:val="2"/>
        <w:spacing w:line="560" w:lineRule="exact"/>
        <w:ind w:left="414"/>
        <w:rPr>
          <w:rFonts w:ascii="方正仿宋_GBK" w:hAnsi="方正仿宋_GBK" w:eastAsia="方正仿宋_GBK" w:cs="方正仿宋_GBK"/>
          <w:sz w:val="32"/>
          <w:szCs w:val="32"/>
        </w:rPr>
      </w:pPr>
    </w:p>
    <w:p w14:paraId="0D112A39">
      <w:pPr>
        <w:pStyle w:val="2"/>
        <w:spacing w:line="560" w:lineRule="exact"/>
        <w:ind w:left="414"/>
        <w:rPr>
          <w:rFonts w:ascii="方正仿宋_GBK" w:hAnsi="方正仿宋_GBK" w:eastAsia="方正仿宋_GBK" w:cs="方正仿宋_GBK"/>
          <w:sz w:val="32"/>
          <w:szCs w:val="32"/>
        </w:rPr>
      </w:pPr>
    </w:p>
    <w:p w14:paraId="32F073E1">
      <w:pPr>
        <w:spacing w:line="560" w:lineRule="exact"/>
        <w:ind w:firstLine="1440" w:firstLineChars="450"/>
        <w:rPr>
          <w:rFonts w:ascii="方正仿宋_GBK" w:cs="方正仿宋_GBK"/>
          <w:szCs w:val="32"/>
        </w:rPr>
      </w:pPr>
      <w:r>
        <w:rPr>
          <w:rFonts w:hint="eastAsia" w:ascii="方正仿宋_GBK" w:hAnsi="方正仿宋_GBK" w:cs="方正仿宋_GBK"/>
          <w:szCs w:val="32"/>
        </w:rPr>
        <w:t>石柱土家族自治县优化营商环境工作领导小组办公室</w:t>
      </w:r>
    </w:p>
    <w:p w14:paraId="0C607E84">
      <w:pPr>
        <w:spacing w:line="560" w:lineRule="exact"/>
        <w:ind w:firstLine="640" w:firstLineChars="200"/>
        <w:rPr>
          <w:rFonts w:ascii="方正仿宋_GBK" w:cs="方正仿宋_GBK"/>
          <w:szCs w:val="32"/>
        </w:rPr>
      </w:pPr>
      <w:r>
        <w:rPr>
          <w:rFonts w:ascii="方正仿宋_GBK" w:hAnsi="方正仿宋_GBK" w:cs="方正仿宋_GBK"/>
          <w:szCs w:val="32"/>
        </w:rPr>
        <w:t xml:space="preserve">        </w:t>
      </w:r>
      <w:r>
        <w:rPr>
          <w:rFonts w:hint="eastAsia" w:ascii="方正仿宋_GBK" w:hAnsi="方正仿宋_GBK" w:cs="方正仿宋_GBK"/>
          <w:szCs w:val="32"/>
        </w:rPr>
        <w:t>石柱土家族自治县发展和改革委员会（代章）</w:t>
      </w:r>
    </w:p>
    <w:p w14:paraId="6B58D23B">
      <w:pPr>
        <w:pStyle w:val="2"/>
        <w:spacing w:line="560" w:lineRule="exact"/>
        <w:ind w:left="412"/>
      </w:pPr>
      <w:r>
        <w:rPr>
          <w:rFonts w:ascii="方正仿宋_GBK" w:hAnsi="方正仿宋_GBK" w:eastAsia="方正仿宋_GBK" w:cs="方正仿宋_GBK"/>
          <w:sz w:val="32"/>
          <w:szCs w:val="32"/>
        </w:rPr>
        <w:t xml:space="preserve">                  2022</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16</w:t>
      </w:r>
      <w:r>
        <w:rPr>
          <w:rFonts w:hint="eastAsia" w:ascii="方正仿宋_GBK" w:hAnsi="方正仿宋_GBK" w:eastAsia="方正仿宋_GBK" w:cs="方正仿宋_GBK"/>
          <w:sz w:val="32"/>
          <w:szCs w:val="32"/>
        </w:rPr>
        <w:t>日</w:t>
      </w:r>
    </w:p>
    <w:p w14:paraId="0F90D383">
      <w:pPr>
        <w:rPr>
          <w:bCs/>
        </w:rPr>
      </w:pPr>
    </w:p>
    <w:p w14:paraId="2C43CE40">
      <w:pPr>
        <w:rPr>
          <w:bCs/>
        </w:rPr>
      </w:pPr>
    </w:p>
    <w:p w14:paraId="40D58613">
      <w:pPr>
        <w:rPr>
          <w:bCs/>
        </w:rPr>
      </w:pPr>
    </w:p>
    <w:p w14:paraId="4EB3286F">
      <w:pPr>
        <w:rPr>
          <w:bCs/>
        </w:rPr>
      </w:pPr>
    </w:p>
    <w:p w14:paraId="0031F97E"/>
    <w:p w14:paraId="0DC1F8FA">
      <w:pPr>
        <w:rPr>
          <w:rFonts w:ascii="方正仿宋_GBK" w:cs="方正仿宋_GBK"/>
          <w:spacing w:val="-11"/>
          <w:sz w:val="28"/>
          <w:szCs w:val="22"/>
        </w:rPr>
      </w:pPr>
      <w:r>
        <w:rPr>
          <w:rFonts w:ascii="方正仿宋_GBK" w:hAnsi="方正仿宋_GBK" w:cs="方正仿宋_GBK"/>
          <w:sz w:val="28"/>
          <w:szCs w:val="22"/>
        </w:rPr>
        <w:t xml:space="preserve"> </w:t>
      </w:r>
    </w:p>
    <w:p w14:paraId="1701E712">
      <w:pPr>
        <w:pStyle w:val="2"/>
      </w:pPr>
    </w:p>
    <w:p w14:paraId="2A727FF5">
      <w:pPr>
        <w:pStyle w:val="2"/>
      </w:pPr>
    </w:p>
    <w:p w14:paraId="108D7587">
      <w:pPr>
        <w:pStyle w:val="2"/>
      </w:pPr>
    </w:p>
    <w:p w14:paraId="74E4447F">
      <w:pPr>
        <w:pStyle w:val="2"/>
      </w:pPr>
    </w:p>
    <w:p w14:paraId="4F3D13A9">
      <w:pPr>
        <w:pStyle w:val="2"/>
      </w:pPr>
    </w:p>
    <w:p w14:paraId="18D3EF0C">
      <w:pPr>
        <w:pStyle w:val="2"/>
      </w:pPr>
    </w:p>
    <w:p w14:paraId="6E93C774">
      <w:pPr>
        <w:pStyle w:val="2"/>
      </w:pPr>
    </w:p>
    <w:p w14:paraId="1B21FA5F">
      <w:pPr>
        <w:pStyle w:val="2"/>
      </w:pPr>
    </w:p>
    <w:p w14:paraId="7FC01AA6">
      <w:pPr>
        <w:pStyle w:val="2"/>
      </w:pPr>
    </w:p>
    <w:p w14:paraId="4B7C8C71">
      <w:pPr>
        <w:pStyle w:val="2"/>
      </w:pPr>
    </w:p>
    <w:p w14:paraId="20628243">
      <w:pPr>
        <w:pStyle w:val="2"/>
      </w:pPr>
    </w:p>
    <w:p w14:paraId="74D09442">
      <w:pPr>
        <w:pStyle w:val="2"/>
      </w:pPr>
    </w:p>
    <w:p w14:paraId="3E0C2E4A">
      <w:pPr>
        <w:pStyle w:val="2"/>
      </w:pPr>
    </w:p>
    <w:p w14:paraId="1B2A87E9">
      <w:pPr>
        <w:pStyle w:val="2"/>
      </w:pPr>
    </w:p>
    <w:p w14:paraId="6F40FAB8">
      <w:pPr>
        <w:pStyle w:val="2"/>
      </w:pPr>
    </w:p>
    <w:p w14:paraId="6C9DEA5F">
      <w:pPr>
        <w:pStyle w:val="2"/>
      </w:pPr>
    </w:p>
    <w:p w14:paraId="581848D9">
      <w:pPr>
        <w:pStyle w:val="2"/>
      </w:pPr>
    </w:p>
    <w:p w14:paraId="249CCADE">
      <w:pPr>
        <w:pStyle w:val="2"/>
      </w:pPr>
    </w:p>
    <w:p w14:paraId="389D4577">
      <w:pPr>
        <w:pStyle w:val="2"/>
      </w:pPr>
    </w:p>
    <w:p w14:paraId="01291FD9">
      <w:pPr>
        <w:pStyle w:val="2"/>
      </w:pPr>
    </w:p>
    <w:p w14:paraId="2FCDCDB9">
      <w:pPr>
        <w:pStyle w:val="2"/>
      </w:pPr>
    </w:p>
    <w:p w14:paraId="5613D807">
      <w:pPr>
        <w:pStyle w:val="2"/>
      </w:pPr>
    </w:p>
    <w:p w14:paraId="3EB6DE57">
      <w:pPr>
        <w:pStyle w:val="2"/>
      </w:pPr>
    </w:p>
    <w:p w14:paraId="1F12FEB1">
      <w:pPr>
        <w:pStyle w:val="2"/>
      </w:pPr>
    </w:p>
    <w:p w14:paraId="4AA7457A">
      <w:pPr>
        <w:pStyle w:val="2"/>
      </w:pPr>
    </w:p>
    <w:p w14:paraId="4D92D3C4">
      <w:pPr>
        <w:pStyle w:val="2"/>
      </w:pPr>
    </w:p>
    <w:p w14:paraId="077E61CC">
      <w:pPr>
        <w:pStyle w:val="2"/>
      </w:pPr>
    </w:p>
    <w:p w14:paraId="4F0210A4">
      <w:pPr>
        <w:pStyle w:val="2"/>
      </w:pPr>
    </w:p>
    <w:p w14:paraId="6CBCC53C">
      <w:pPr>
        <w:pStyle w:val="2"/>
      </w:pPr>
    </w:p>
    <w:p w14:paraId="669CD6FE">
      <w:pPr>
        <w:pStyle w:val="2"/>
      </w:pPr>
    </w:p>
    <w:p w14:paraId="58C8C74C">
      <w:pPr>
        <w:pStyle w:val="2"/>
      </w:pPr>
    </w:p>
    <w:p w14:paraId="261BDF7E">
      <w:pPr>
        <w:pStyle w:val="2"/>
      </w:pPr>
    </w:p>
    <w:p w14:paraId="6E4C1D24">
      <w:pPr>
        <w:pStyle w:val="2"/>
      </w:pPr>
    </w:p>
    <w:p w14:paraId="10163369">
      <w:pPr>
        <w:pStyle w:val="2"/>
      </w:pPr>
    </w:p>
    <w:p w14:paraId="2A4D6150">
      <w:pPr>
        <w:pStyle w:val="2"/>
      </w:pPr>
    </w:p>
    <w:p w14:paraId="4BE015CD">
      <w:pPr>
        <w:pStyle w:val="2"/>
      </w:pPr>
    </w:p>
    <w:p w14:paraId="171CCEA5">
      <w:pPr>
        <w:pStyle w:val="2"/>
      </w:pPr>
    </w:p>
    <w:p w14:paraId="51FA4774">
      <w:pPr>
        <w:pStyle w:val="2"/>
      </w:pPr>
    </w:p>
    <w:p w14:paraId="537A3961">
      <w:pPr>
        <w:pStyle w:val="2"/>
      </w:pPr>
    </w:p>
    <w:p w14:paraId="7F456E01">
      <w:pPr>
        <w:pStyle w:val="2"/>
      </w:pPr>
    </w:p>
    <w:p w14:paraId="7D71F47F">
      <w:pPr>
        <w:pStyle w:val="2"/>
      </w:pPr>
    </w:p>
    <w:p w14:paraId="176D2E1B">
      <w:pPr>
        <w:pStyle w:val="2"/>
      </w:pPr>
    </w:p>
    <w:p w14:paraId="36EC44F3">
      <w:pPr>
        <w:pStyle w:val="2"/>
      </w:pPr>
    </w:p>
    <w:p w14:paraId="7AC1088A">
      <w:pPr>
        <w:pStyle w:val="2"/>
      </w:pPr>
    </w:p>
    <w:p w14:paraId="0BC30218">
      <w:pPr>
        <w:pStyle w:val="2"/>
      </w:pPr>
    </w:p>
    <w:p w14:paraId="605FC71B">
      <w:pPr>
        <w:pStyle w:val="2"/>
      </w:pPr>
    </w:p>
    <w:p w14:paraId="64283EFF">
      <w:pPr>
        <w:pStyle w:val="2"/>
      </w:pPr>
    </w:p>
    <w:p w14:paraId="184BEB6B">
      <w:pPr>
        <w:pStyle w:val="2"/>
      </w:pPr>
    </w:p>
    <w:p w14:paraId="6E7FBCBA">
      <w:pPr>
        <w:pStyle w:val="2"/>
      </w:pPr>
    </w:p>
    <w:p w14:paraId="0674ECDC">
      <w:pPr>
        <w:pStyle w:val="2"/>
      </w:pPr>
    </w:p>
    <w:p w14:paraId="746B7342">
      <w:pPr>
        <w:pStyle w:val="2"/>
      </w:pPr>
    </w:p>
    <w:p w14:paraId="52EC181E">
      <w:pPr>
        <w:pStyle w:val="2"/>
      </w:pPr>
    </w:p>
    <w:p w14:paraId="3BF4FB7F">
      <w:pPr>
        <w:pStyle w:val="2"/>
      </w:pPr>
    </w:p>
    <w:p w14:paraId="0101F42F">
      <w:pPr>
        <w:pStyle w:val="2"/>
      </w:pPr>
    </w:p>
    <w:p w14:paraId="0F73A365">
      <w:pPr>
        <w:pStyle w:val="2"/>
      </w:pPr>
    </w:p>
    <w:p w14:paraId="6DAA6982">
      <w:pPr>
        <w:pBdr>
          <w:top w:val="single" w:color="auto" w:sz="4" w:space="1"/>
          <w:bottom w:val="single" w:color="auto" w:sz="4" w:space="1"/>
          <w:between w:val="single" w:color="auto" w:sz="4" w:space="1"/>
        </w:pBdr>
        <w:spacing w:line="540" w:lineRule="exact"/>
        <w:ind w:left="840" w:hanging="840" w:hangingChars="300"/>
        <w:rPr>
          <w:rFonts w:ascii="方正仿宋_GBK"/>
          <w:sz w:val="28"/>
          <w:szCs w:val="28"/>
        </w:rPr>
      </w:pPr>
      <w:r>
        <w:rPr>
          <w:rFonts w:hint="eastAsia" w:ascii="方正仿宋_GBK"/>
          <w:sz w:val="28"/>
          <w:szCs w:val="28"/>
        </w:rPr>
        <w:t>石柱县发展和改革委员会办公室</w:t>
      </w:r>
      <w:r>
        <w:rPr>
          <w:rFonts w:ascii="方正仿宋_GBK"/>
          <w:sz w:val="28"/>
          <w:szCs w:val="28"/>
        </w:rPr>
        <w:t xml:space="preserve">               2022</w:t>
      </w:r>
      <w:r>
        <w:rPr>
          <w:rFonts w:hint="eastAsia" w:ascii="方正仿宋_GBK"/>
          <w:sz w:val="28"/>
          <w:szCs w:val="28"/>
        </w:rPr>
        <w:t>年</w:t>
      </w:r>
      <w:r>
        <w:rPr>
          <w:rFonts w:ascii="方正仿宋_GBK"/>
          <w:sz w:val="28"/>
          <w:szCs w:val="28"/>
        </w:rPr>
        <w:t>6</w:t>
      </w:r>
      <w:r>
        <w:rPr>
          <w:rFonts w:hint="eastAsia" w:ascii="方正仿宋_GBK"/>
          <w:sz w:val="28"/>
          <w:szCs w:val="28"/>
        </w:rPr>
        <w:t>月</w:t>
      </w:r>
      <w:r>
        <w:rPr>
          <w:rFonts w:ascii="方正仿宋_GBK"/>
          <w:sz w:val="28"/>
          <w:szCs w:val="28"/>
        </w:rPr>
        <w:t>16</w:t>
      </w:r>
      <w:r>
        <w:rPr>
          <w:rFonts w:hint="eastAsia" w:ascii="方正仿宋_GBK"/>
          <w:sz w:val="28"/>
          <w:szCs w:val="28"/>
        </w:rPr>
        <w:t>日印发</w:t>
      </w:r>
    </w:p>
    <w:sectPr>
      <w:footerReference r:id="rId3" w:type="default"/>
      <w:footerReference r:id="rId4" w:type="even"/>
      <w:pgSz w:w="11906" w:h="16838"/>
      <w:pgMar w:top="2098" w:right="1531" w:bottom="1984" w:left="1531"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B6D5">
    <w:pPr>
      <w:pStyle w:val="2"/>
      <w:tabs>
        <w:tab w:val="center" w:pos="4153"/>
        <w:tab w:val="right" w:pos="8306"/>
      </w:tabs>
      <w:jc w:val="right"/>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14:paraId="5CE7A5D5">
                <w:pPr>
                  <w:pStyle w:val="2"/>
                  <w:tabs>
                    <w:tab w:val="center" w:pos="4153"/>
                    <w:tab w:val="right" w:pos="8306"/>
                  </w:tabs>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1784">
    <w:pPr>
      <w:pStyle w:val="2"/>
      <w:framePr w:wrap="around" w:vAnchor="text" w:hAnchor="margin" w:xAlign="center" w:y="1"/>
      <w:tabs>
        <w:tab w:val="center" w:pos="4153"/>
        <w:tab w:val="right" w:pos="8306"/>
      </w:tabs>
      <w:rPr>
        <w:rStyle w:val="13"/>
      </w:rPr>
    </w:pPr>
    <w:r>
      <w:rPr>
        <w:rStyle w:val="13"/>
      </w:rPr>
      <w:fldChar w:fldCharType="begin"/>
    </w:r>
    <w:r>
      <w:rPr>
        <w:rStyle w:val="13"/>
      </w:rPr>
      <w:instrText xml:space="preserve">PAGE  </w:instrText>
    </w:r>
    <w:r>
      <w:rPr>
        <w:rStyle w:val="13"/>
      </w:rPr>
      <w:fldChar w:fldCharType="end"/>
    </w:r>
  </w:p>
  <w:p w14:paraId="30951352">
    <w:pPr>
      <w:pStyle w:val="2"/>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1ODJmYmZjNDhhNDY3OTcwMzVhZGM0ZThmYzlkZjIifQ=="/>
  </w:docVars>
  <w:rsids>
    <w:rsidRoot w:val="25972D6B"/>
    <w:rsid w:val="000303BC"/>
    <w:rsid w:val="000B6AFC"/>
    <w:rsid w:val="000E0AD1"/>
    <w:rsid w:val="00393B41"/>
    <w:rsid w:val="003E0E15"/>
    <w:rsid w:val="004409F8"/>
    <w:rsid w:val="004B289D"/>
    <w:rsid w:val="00577016"/>
    <w:rsid w:val="00833D30"/>
    <w:rsid w:val="008E60CD"/>
    <w:rsid w:val="009643FF"/>
    <w:rsid w:val="009C07AF"/>
    <w:rsid w:val="00A45454"/>
    <w:rsid w:val="00BF70A7"/>
    <w:rsid w:val="00CA5D54"/>
    <w:rsid w:val="00E26C15"/>
    <w:rsid w:val="0E3746E5"/>
    <w:rsid w:val="25972D6B"/>
    <w:rsid w:val="263F0482"/>
    <w:rsid w:val="521B6B6B"/>
    <w:rsid w:val="55AF69BF"/>
    <w:rsid w:val="6CBB2E90"/>
    <w:rsid w:val="79D032FF"/>
    <w:rsid w:val="79EB00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0"/>
      <w:lang w:val="en-US" w:eastAsia="zh-CN" w:bidi="ar-SA"/>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snapToGrid w:val="0"/>
      <w:jc w:val="left"/>
    </w:pPr>
    <w:rPr>
      <w:rFonts w:ascii="Times New Roman" w:hAnsi="Times New Roman" w:eastAsia="仿宋_GB2312"/>
      <w:sz w:val="18"/>
      <w:szCs w:val="18"/>
    </w:rPr>
  </w:style>
  <w:style w:type="paragraph" w:styleId="3">
    <w:name w:val="Normal Indent"/>
    <w:basedOn w:val="1"/>
    <w:qFormat/>
    <w:uiPriority w:val="99"/>
    <w:pPr>
      <w:spacing w:line="360" w:lineRule="auto"/>
      <w:ind w:left="200" w:leftChars="200"/>
    </w:pPr>
    <w:rPr>
      <w:rFonts w:ascii="Times New Roman" w:hAnsi="Times New Roman" w:eastAsia="仿宋_GB2312"/>
      <w:sz w:val="28"/>
      <w:szCs w:val="24"/>
    </w:rPr>
  </w:style>
  <w:style w:type="paragraph" w:styleId="4">
    <w:name w:val="Body Text"/>
    <w:basedOn w:val="1"/>
    <w:link w:val="17"/>
    <w:qFormat/>
    <w:uiPriority w:val="99"/>
    <w:pPr>
      <w:spacing w:after="120"/>
    </w:pPr>
    <w:rPr>
      <w:rFonts w:ascii="Times New Roman" w:hAnsi="Times New Roman" w:eastAsia="宋体"/>
      <w:sz w:val="21"/>
      <w:szCs w:val="24"/>
    </w:rPr>
  </w:style>
  <w:style w:type="paragraph" w:styleId="5">
    <w:name w:val="Body Text Indent"/>
    <w:basedOn w:val="1"/>
    <w:link w:val="15"/>
    <w:qFormat/>
    <w:uiPriority w:val="99"/>
    <w:pPr>
      <w:ind w:firstLine="200" w:firstLineChars="200"/>
    </w:pPr>
  </w:style>
  <w:style w:type="paragraph" w:styleId="6">
    <w:name w:val="Date"/>
    <w:basedOn w:val="1"/>
    <w:next w:val="1"/>
    <w:link w:val="18"/>
    <w:qFormat/>
    <w:uiPriority w:val="99"/>
    <w:pPr>
      <w:ind w:left="100" w:leftChars="2500"/>
    </w:pPr>
    <w:rPr>
      <w:rFonts w:ascii="Times New Roman" w:hAnsi="Times New Roman" w:eastAsia="宋体"/>
      <w:sz w:val="21"/>
      <w:szCs w:val="24"/>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8">
    <w:name w:val="Body Text First Indent"/>
    <w:basedOn w:val="4"/>
    <w:link w:val="20"/>
    <w:qFormat/>
    <w:uiPriority w:val="99"/>
    <w:pPr>
      <w:ind w:firstLine="420" w:firstLineChars="100"/>
    </w:pPr>
    <w:rPr>
      <w:rFonts w:ascii="Calibri" w:hAnsi="Calibri"/>
    </w:rPr>
  </w:style>
  <w:style w:type="paragraph" w:styleId="9">
    <w:name w:val="Body Text First Indent 2"/>
    <w:basedOn w:val="5"/>
    <w:link w:val="16"/>
    <w:qFormat/>
    <w:uiPriority w:val="99"/>
    <w:pPr>
      <w:adjustRightInd w:val="0"/>
      <w:spacing w:after="120" w:line="312" w:lineRule="atLeast"/>
      <w:ind w:left="420" w:leftChars="200" w:firstLine="420"/>
      <w:textAlignment w:val="baseline"/>
    </w:pPr>
    <w:rPr>
      <w:rFonts w:ascii="Times New Roman" w:hAnsi="Times New Roman" w:eastAsia="宋体"/>
      <w:szCs w:val="32"/>
    </w:rPr>
  </w:style>
  <w:style w:type="table" w:styleId="11">
    <w:name w:val="Table Grid"/>
    <w:basedOn w:val="1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customStyle="1" w:styleId="14">
    <w:name w:val="Footer Char"/>
    <w:basedOn w:val="12"/>
    <w:link w:val="2"/>
    <w:semiHidden/>
    <w:qFormat/>
    <w:locked/>
    <w:uiPriority w:val="99"/>
    <w:rPr>
      <w:rFonts w:eastAsia="方正仿宋_GBK" w:cs="Times New Roman"/>
      <w:sz w:val="18"/>
      <w:szCs w:val="18"/>
    </w:rPr>
  </w:style>
  <w:style w:type="character" w:customStyle="1" w:styleId="15">
    <w:name w:val="Body Text Indent Char"/>
    <w:basedOn w:val="12"/>
    <w:link w:val="5"/>
    <w:semiHidden/>
    <w:qFormat/>
    <w:locked/>
    <w:uiPriority w:val="99"/>
    <w:rPr>
      <w:rFonts w:eastAsia="方正仿宋_GBK" w:cs="Times New Roman"/>
      <w:sz w:val="20"/>
      <w:szCs w:val="20"/>
    </w:rPr>
  </w:style>
  <w:style w:type="character" w:customStyle="1" w:styleId="16">
    <w:name w:val="Body Text First Indent 2 Char"/>
    <w:basedOn w:val="15"/>
    <w:link w:val="9"/>
    <w:semiHidden/>
    <w:qFormat/>
    <w:locked/>
    <w:uiPriority w:val="99"/>
  </w:style>
  <w:style w:type="character" w:customStyle="1" w:styleId="17">
    <w:name w:val="Body Text Char"/>
    <w:basedOn w:val="12"/>
    <w:link w:val="4"/>
    <w:semiHidden/>
    <w:qFormat/>
    <w:locked/>
    <w:uiPriority w:val="99"/>
    <w:rPr>
      <w:rFonts w:eastAsia="方正仿宋_GBK" w:cs="Times New Roman"/>
      <w:sz w:val="20"/>
      <w:szCs w:val="20"/>
    </w:rPr>
  </w:style>
  <w:style w:type="character" w:customStyle="1" w:styleId="18">
    <w:name w:val="Date Char"/>
    <w:basedOn w:val="12"/>
    <w:link w:val="6"/>
    <w:semiHidden/>
    <w:qFormat/>
    <w:locked/>
    <w:uiPriority w:val="99"/>
    <w:rPr>
      <w:rFonts w:eastAsia="方正仿宋_GBK" w:cs="Times New Roman"/>
      <w:sz w:val="20"/>
      <w:szCs w:val="20"/>
    </w:rPr>
  </w:style>
  <w:style w:type="character" w:customStyle="1" w:styleId="19">
    <w:name w:val="Header Char"/>
    <w:basedOn w:val="12"/>
    <w:link w:val="7"/>
    <w:semiHidden/>
    <w:qFormat/>
    <w:locked/>
    <w:uiPriority w:val="99"/>
    <w:rPr>
      <w:rFonts w:eastAsia="方正仿宋_GBK" w:cs="Times New Roman"/>
      <w:sz w:val="18"/>
      <w:szCs w:val="18"/>
    </w:rPr>
  </w:style>
  <w:style w:type="character" w:customStyle="1" w:styleId="20">
    <w:name w:val="Body Text First Indent Char"/>
    <w:basedOn w:val="17"/>
    <w:link w:val="8"/>
    <w:semiHidden/>
    <w:qFormat/>
    <w:locked/>
    <w:uiPriority w:val="99"/>
  </w:style>
  <w:style w:type="paragraph" w:customStyle="1" w:styleId="21">
    <w:name w:val="样式3"/>
    <w:basedOn w:val="1"/>
    <w:qFormat/>
    <w:uiPriority w:val="99"/>
    <w:rPr>
      <w:rFonts w:ascii="Times New Roman" w:hAnsi="Times New Roman" w:eastAsia="宋体"/>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1234</Words>
  <Characters>1258</Characters>
  <Lines>0</Lines>
  <Paragraphs>0</Paragraphs>
  <TotalTime>4</TotalTime>
  <ScaleCrop>false</ScaleCrop>
  <LinksUpToDate>false</LinksUpToDate>
  <CharactersWithSpaces>1300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2022-06-16T03:13:00Z</dcterms:created>
  <dc:creator>心态决定人生</dc:creator>
  <cp:lastModifiedBy>安然弱水</cp:lastModifiedBy>
  <cp:lastPrinted>2022-06-16T03:14:00Z</cp:lastPrinted>
  <dcterms:modified xsi:type="dcterms:W3CDTF">2025-05-19T02:10:54Z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EF6AF14C420E407CA767986DF1FB14D3</vt:lpwstr>
  </property>
  <property fmtid="{D5CDD505-2E9C-101B-9397-08002B2CF9AE}" pid="4" name="KSOTemplateDocerSaveRecord">
    <vt:lpwstr>eyJoZGlkIjoiM2VmN2NkNzlhZDllNTk4ZDQyYWY1YjAzNzZkNTk2YWEiLCJ1c2VySWQiOiIxMzAwNjA3NzU5In0=</vt:lpwstr>
  </property>
</Properties>
</file>